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方正小标宋简体" w:eastAsia="方正小标宋简体"/>
          <w:sz w:val="44"/>
          <w:szCs w:val="44"/>
        </w:rPr>
      </w:pPr>
    </w:p>
    <w:p>
      <w:pPr>
        <w:spacing w:line="660" w:lineRule="exact"/>
        <w:jc w:val="center"/>
        <w:rPr>
          <w:rFonts w:ascii="方正小标宋简体" w:eastAsia="方正小标宋简体"/>
          <w:sz w:val="44"/>
          <w:szCs w:val="44"/>
        </w:rPr>
      </w:pPr>
    </w:p>
    <w:p>
      <w:pPr>
        <w:spacing w:line="660" w:lineRule="exact"/>
        <w:jc w:val="center"/>
        <w:rPr>
          <w:rFonts w:ascii="方正小标宋简体" w:eastAsia="方正小标宋简体"/>
          <w:sz w:val="44"/>
          <w:szCs w:val="44"/>
        </w:rPr>
      </w:pPr>
    </w:p>
    <w:p>
      <w:pPr>
        <w:spacing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浙江省机场集团有限公司</w:t>
      </w:r>
    </w:p>
    <w:p>
      <w:pPr>
        <w:spacing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流动资金贷款竞争性谈判公告</w:t>
      </w:r>
    </w:p>
    <w:p>
      <w:pPr>
        <w:spacing w:line="660" w:lineRule="exact"/>
        <w:jc w:val="center"/>
        <w:rPr>
          <w:rFonts w:hint="eastAsia" w:ascii="方正小标宋简体" w:eastAsia="方正小标宋简体"/>
          <w:sz w:val="44"/>
          <w:szCs w:val="44"/>
        </w:rPr>
      </w:pPr>
    </w:p>
    <w:p>
      <w:pPr>
        <w:spacing w:line="580" w:lineRule="exact"/>
        <w:ind w:firstLine="646"/>
        <w:rPr>
          <w:rFonts w:hint="eastAsia" w:ascii="仿宋_GB2312" w:eastAsia="仿宋_GB2312"/>
          <w:sz w:val="32"/>
          <w:szCs w:val="32"/>
        </w:rPr>
      </w:pPr>
      <w:r>
        <w:rPr>
          <w:rFonts w:hint="eastAsia" w:ascii="仿宋_GB2312" w:eastAsia="仿宋_GB2312"/>
          <w:sz w:val="32"/>
          <w:szCs w:val="32"/>
        </w:rPr>
        <w:t>浙江省机场集团有限公司是浙江省委省政府为加强全省航空产业发展和民航强省战略实施而成立的，下辖杭州萧山机场、宁波机场、温州机场、舟山机场，受托管理衢州机场、台州机场、义乌机场和即将新建的嘉兴机场、丽水机场以及建德千岛湖通用机场。近期，我公司计划申请流动资金贷款2亿元，用于集团日常经营周转，需于201</w:t>
      </w:r>
      <w:r>
        <w:rPr>
          <w:rFonts w:ascii="仿宋_GB2312" w:eastAsia="仿宋_GB2312"/>
          <w:sz w:val="32"/>
          <w:szCs w:val="32"/>
        </w:rPr>
        <w:t>9</w:t>
      </w:r>
      <w:r>
        <w:rPr>
          <w:rFonts w:hint="eastAsia" w:ascii="仿宋_GB2312" w:eastAsia="仿宋_GB2312"/>
          <w:sz w:val="32"/>
          <w:szCs w:val="32"/>
        </w:rPr>
        <w:t>年</w:t>
      </w:r>
      <w:r>
        <w:rPr>
          <w:rFonts w:ascii="仿宋_GB2312" w:eastAsia="仿宋_GB2312"/>
          <w:sz w:val="32"/>
          <w:szCs w:val="32"/>
        </w:rPr>
        <w:t>6</w:t>
      </w:r>
      <w:r>
        <w:rPr>
          <w:rFonts w:hint="eastAsia" w:ascii="仿宋_GB2312" w:eastAsia="仿宋_GB2312"/>
          <w:sz w:val="32"/>
          <w:szCs w:val="32"/>
        </w:rPr>
        <w:t>月下旬到位。</w:t>
      </w:r>
    </w:p>
    <w:p>
      <w:pPr>
        <w:spacing w:line="580" w:lineRule="exact"/>
        <w:ind w:firstLine="646"/>
        <w:rPr>
          <w:rFonts w:ascii="仿宋_GB2312" w:eastAsia="仿宋_GB2312"/>
          <w:sz w:val="32"/>
          <w:szCs w:val="32"/>
        </w:rPr>
      </w:pPr>
      <w:r>
        <w:rPr>
          <w:rFonts w:hint="eastAsia" w:ascii="仿宋_GB2312" w:eastAsia="仿宋_GB2312"/>
          <w:sz w:val="32"/>
          <w:szCs w:val="32"/>
        </w:rPr>
        <w:t>为确保上述资金需求，</w:t>
      </w:r>
      <w:r>
        <w:rPr>
          <w:rFonts w:hint="eastAsia" w:ascii="仿宋_GB2312" w:eastAsia="仿宋_GB2312"/>
          <w:sz w:val="32"/>
          <w:szCs w:val="32"/>
          <w:lang w:eastAsia="zh-CN"/>
        </w:rPr>
        <w:t>我公司</w:t>
      </w:r>
      <w:r>
        <w:rPr>
          <w:rFonts w:hint="eastAsia" w:ascii="仿宋_GB2312" w:eastAsia="仿宋_GB2312"/>
          <w:sz w:val="32"/>
          <w:szCs w:val="32"/>
        </w:rPr>
        <w:t>采用竞争性谈判方式（具体时间另行通知），评选流动资金贷款合作银行。</w:t>
      </w:r>
    </w:p>
    <w:p>
      <w:pPr>
        <w:spacing w:line="580" w:lineRule="exact"/>
        <w:ind w:firstLine="646"/>
        <w:rPr>
          <w:rFonts w:hint="eastAsia" w:ascii="仿宋_GB2312" w:eastAsia="仿宋_GB2312"/>
          <w:sz w:val="32"/>
          <w:szCs w:val="32"/>
        </w:rPr>
      </w:pPr>
      <w:r>
        <w:rPr>
          <w:rFonts w:hint="eastAsia" w:ascii="仿宋_GB2312" w:eastAsia="仿宋_GB2312"/>
          <w:sz w:val="32"/>
          <w:szCs w:val="32"/>
        </w:rPr>
        <w:t>我公司诚邀各银行参与本次竞争性谈判，并就承诺可提供流动资金贷款的最高规模，最低贷款利率，最长贷款期限，付息方式，预计审批时间等主要事项（包括但不限于）提供相关资料或做出明确响应。</w:t>
      </w:r>
    </w:p>
    <w:p>
      <w:pPr>
        <w:spacing w:line="580" w:lineRule="exact"/>
        <w:ind w:firstLine="646"/>
        <w:rPr>
          <w:rFonts w:hint="eastAsia" w:ascii="仿宋_GB2312" w:eastAsia="仿宋_GB2312"/>
          <w:sz w:val="32"/>
          <w:szCs w:val="32"/>
        </w:rPr>
      </w:pPr>
      <w:r>
        <w:rPr>
          <w:rFonts w:hint="eastAsia" w:ascii="仿宋_GB2312" w:eastAsia="仿宋_GB2312"/>
          <w:sz w:val="32"/>
          <w:szCs w:val="32"/>
        </w:rPr>
        <w:t>特别说明：</w:t>
      </w:r>
    </w:p>
    <w:p>
      <w:pPr>
        <w:keepNext w:val="0"/>
        <w:keepLines w:val="0"/>
        <w:pageBreakBefore w:val="0"/>
        <w:widowControl w:val="0"/>
        <w:numPr>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sz w:val="32"/>
          <w:szCs w:val="32"/>
        </w:rPr>
      </w:pPr>
      <w:r>
        <w:rPr>
          <w:rFonts w:hint="eastAsia" w:ascii="仿宋_GB2312" w:eastAsia="仿宋_GB2312"/>
          <w:sz w:val="32"/>
          <w:szCs w:val="32"/>
          <w:lang w:eastAsia="zh-CN"/>
        </w:rPr>
        <w:t>一、</w:t>
      </w:r>
      <w:r>
        <w:rPr>
          <w:rFonts w:hint="eastAsia" w:ascii="仿宋_GB2312" w:eastAsia="仿宋_GB2312"/>
          <w:sz w:val="32"/>
          <w:szCs w:val="32"/>
        </w:rPr>
        <w:t>如2019年下半年我公司有其他流动资金贷款和固定资产贷款需求，将在本次竞争性谈判入围的前三名银行中询价后确定。</w:t>
      </w:r>
    </w:p>
    <w:p>
      <w:pPr>
        <w:keepNext w:val="0"/>
        <w:keepLines w:val="0"/>
        <w:pageBreakBefore w:val="0"/>
        <w:widowControl w:val="0"/>
        <w:numPr>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lang w:eastAsia="zh-CN"/>
        </w:rPr>
        <w:t>二、</w:t>
      </w:r>
      <w:r>
        <w:rPr>
          <w:rFonts w:hint="eastAsia" w:ascii="仿宋_GB2312" w:eastAsia="仿宋_GB2312"/>
          <w:sz w:val="32"/>
          <w:szCs w:val="32"/>
        </w:rPr>
        <w:t>各银行敬请将发言时间控制在1</w:t>
      </w:r>
      <w:r>
        <w:rPr>
          <w:rFonts w:ascii="仿宋_GB2312" w:eastAsia="仿宋_GB2312"/>
          <w:sz w:val="32"/>
          <w:szCs w:val="32"/>
        </w:rPr>
        <w:t>0</w:t>
      </w:r>
      <w:r>
        <w:rPr>
          <w:rFonts w:hint="eastAsia" w:ascii="仿宋_GB2312" w:eastAsia="仿宋_GB2312"/>
          <w:sz w:val="32"/>
          <w:szCs w:val="32"/>
        </w:rPr>
        <w:t>分钟以内。</w:t>
      </w:r>
    </w:p>
    <w:p>
      <w:pPr>
        <w:keepNext w:val="0"/>
        <w:keepLines w:val="0"/>
        <w:pageBreakBefore w:val="0"/>
        <w:widowControl w:val="0"/>
        <w:numPr>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为便于公司安排谈判时间，请于201</w:t>
      </w:r>
      <w:r>
        <w:rPr>
          <w:rFonts w:ascii="仿宋_GB2312" w:eastAsia="仿宋_GB2312"/>
          <w:sz w:val="32"/>
          <w:szCs w:val="32"/>
        </w:rPr>
        <w:t>9</w:t>
      </w:r>
      <w:r>
        <w:rPr>
          <w:rFonts w:hint="eastAsia" w:ascii="仿宋_GB2312" w:eastAsia="仿宋_GB2312"/>
          <w:sz w:val="32"/>
          <w:szCs w:val="32"/>
        </w:rPr>
        <w:t>年</w:t>
      </w:r>
      <w:r>
        <w:rPr>
          <w:rFonts w:ascii="仿宋_GB2312" w:eastAsia="仿宋_GB2312"/>
          <w:sz w:val="32"/>
          <w:szCs w:val="32"/>
        </w:rPr>
        <w:t>6</w:t>
      </w:r>
      <w:r>
        <w:rPr>
          <w:rFonts w:hint="eastAsia" w:ascii="仿宋_GB2312" w:eastAsia="仿宋_GB2312"/>
          <w:sz w:val="32"/>
          <w:szCs w:val="32"/>
        </w:rPr>
        <w:t>月</w:t>
      </w:r>
      <w:r>
        <w:rPr>
          <w:rFonts w:hint="eastAsia" w:ascii="仿宋_GB2312" w:eastAsia="仿宋_GB2312"/>
          <w:sz w:val="32"/>
          <w:szCs w:val="32"/>
          <w:lang w:val="en-US" w:eastAsia="zh-CN"/>
        </w:rPr>
        <w:t>19</w:t>
      </w:r>
      <w:r>
        <w:rPr>
          <w:rFonts w:hint="eastAsia" w:ascii="仿宋_GB2312" w:eastAsia="仿宋_GB2312"/>
          <w:sz w:val="32"/>
          <w:szCs w:val="32"/>
        </w:rPr>
        <w:t>日</w:t>
      </w:r>
      <w:r>
        <w:rPr>
          <w:rFonts w:hint="eastAsia" w:ascii="仿宋_GB2312" w:eastAsia="仿宋_GB2312"/>
          <w:sz w:val="32"/>
          <w:szCs w:val="32"/>
          <w:lang w:val="en-US" w:eastAsia="zh-CN"/>
        </w:rPr>
        <w:t>16:00</w:t>
      </w:r>
      <w:r>
        <w:rPr>
          <w:rFonts w:hint="eastAsia" w:ascii="仿宋_GB2312" w:eastAsia="仿宋_GB2312"/>
          <w:sz w:val="32"/>
          <w:szCs w:val="32"/>
        </w:rPr>
        <w:t>前将谈判意向以书面或电子邮件的方式通报公司联系人。</w:t>
      </w:r>
    </w:p>
    <w:p>
      <w:pPr>
        <w:spacing w:line="580" w:lineRule="exact"/>
        <w:ind w:firstLine="646"/>
        <w:rPr>
          <w:rFonts w:ascii="仿宋_GB2312" w:eastAsia="仿宋_GB2312"/>
          <w:sz w:val="32"/>
          <w:szCs w:val="32"/>
        </w:rPr>
      </w:pPr>
      <w:r>
        <w:rPr>
          <w:rFonts w:hint="eastAsia" w:ascii="仿宋_GB2312" w:eastAsia="仿宋_GB2312"/>
          <w:sz w:val="32"/>
          <w:szCs w:val="32"/>
        </w:rPr>
        <w:t>联系人：贾思勰</w:t>
      </w:r>
    </w:p>
    <w:p>
      <w:pPr>
        <w:spacing w:line="580" w:lineRule="exact"/>
        <w:ind w:firstLine="646"/>
        <w:rPr>
          <w:rFonts w:ascii="仿宋_GB2312" w:eastAsia="仿宋_GB2312"/>
          <w:sz w:val="32"/>
          <w:szCs w:val="32"/>
        </w:rPr>
      </w:pPr>
      <w:r>
        <w:rPr>
          <w:rFonts w:hint="eastAsia" w:ascii="仿宋_GB2312" w:eastAsia="仿宋_GB2312"/>
          <w:sz w:val="32"/>
          <w:szCs w:val="32"/>
        </w:rPr>
        <w:t>电  话：</w:t>
      </w:r>
      <w:r>
        <w:rPr>
          <w:rFonts w:ascii="仿宋_GB2312" w:eastAsia="仿宋_GB2312"/>
          <w:sz w:val="32"/>
          <w:szCs w:val="32"/>
        </w:rPr>
        <w:t>0571-86662723</w:t>
      </w:r>
    </w:p>
    <w:p>
      <w:pPr>
        <w:spacing w:line="580" w:lineRule="exact"/>
        <w:ind w:firstLine="646"/>
        <w:rPr>
          <w:rFonts w:ascii="仿宋_GB2312" w:eastAsia="仿宋_GB2312"/>
          <w:sz w:val="32"/>
          <w:szCs w:val="32"/>
        </w:rPr>
      </w:pPr>
      <w:r>
        <w:rPr>
          <w:rFonts w:hint="eastAsia" w:ascii="仿宋_GB2312" w:eastAsia="仿宋_GB2312"/>
          <w:sz w:val="32"/>
          <w:szCs w:val="32"/>
        </w:rPr>
        <w:t>电  邮：</w:t>
      </w:r>
      <w:r>
        <w:rPr>
          <w:rFonts w:ascii="仿宋_GB2312" w:eastAsia="仿宋_GB2312"/>
          <w:sz w:val="32"/>
          <w:szCs w:val="32"/>
        </w:rPr>
        <w:t>zbzx@hzairport.com</w:t>
      </w: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特此公告</w:t>
      </w: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附：贷款合作银行评估办法</w:t>
      </w:r>
    </w:p>
    <w:p>
      <w:pPr>
        <w:spacing w:line="580" w:lineRule="exact"/>
        <w:ind w:firstLine="630"/>
        <w:rPr>
          <w:rFonts w:ascii="仿宋_GB2312" w:eastAsia="仿宋_GB2312"/>
          <w:sz w:val="32"/>
          <w:szCs w:val="32"/>
        </w:rPr>
      </w:pPr>
      <w:r>
        <w:rPr>
          <w:rFonts w:hint="eastAsia" w:ascii="仿宋_GB2312" w:eastAsia="仿宋_GB2312"/>
          <w:sz w:val="32"/>
          <w:szCs w:val="32"/>
        </w:rPr>
        <w:t>　</w:t>
      </w:r>
    </w:p>
    <w:p>
      <w:pPr>
        <w:spacing w:line="580" w:lineRule="exact"/>
        <w:ind w:firstLine="630"/>
        <w:rPr>
          <w:rFonts w:hint="eastAsia" w:ascii="仿宋_GB2312" w:eastAsia="仿宋_GB2312"/>
          <w:sz w:val="32"/>
          <w:szCs w:val="32"/>
        </w:rPr>
      </w:pPr>
      <w:r>
        <w:rPr>
          <w:rFonts w:hint="eastAsia" w:ascii="仿宋_GB2312" w:eastAsia="仿宋_GB2312"/>
          <w:sz w:val="32"/>
          <w:szCs w:val="32"/>
        </w:rPr>
        <w:t>　</w:t>
      </w:r>
    </w:p>
    <w:p>
      <w:pPr>
        <w:spacing w:line="580" w:lineRule="exact"/>
        <w:ind w:firstLine="4253" w:firstLineChars="1329"/>
        <w:rPr>
          <w:rFonts w:ascii="仿宋_GB2312" w:eastAsia="仿宋_GB2312"/>
          <w:sz w:val="32"/>
          <w:szCs w:val="32"/>
        </w:rPr>
      </w:pPr>
      <w:r>
        <w:rPr>
          <w:rFonts w:hint="eastAsia" w:ascii="仿宋_GB2312" w:eastAsia="仿宋_GB2312"/>
          <w:sz w:val="32"/>
          <w:szCs w:val="32"/>
        </w:rPr>
        <w:t>浙江省机场集团有限公司</w:t>
      </w:r>
    </w:p>
    <w:p>
      <w:pPr>
        <w:spacing w:line="580" w:lineRule="exact"/>
        <w:ind w:firstLine="4960" w:firstLineChars="1550"/>
        <w:rPr>
          <w:rFonts w:hint="eastAsia" w:ascii="仿宋_GB2312" w:eastAsia="仿宋_GB2312"/>
          <w:sz w:val="32"/>
          <w:szCs w:val="32"/>
        </w:rPr>
      </w:pPr>
      <w:r>
        <w:rPr>
          <w:rFonts w:hint="eastAsia" w:ascii="仿宋_GB2312" w:eastAsia="仿宋_GB2312"/>
          <w:sz w:val="32"/>
          <w:szCs w:val="32"/>
        </w:rPr>
        <w:t>2019年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12</w:t>
      </w:r>
      <w:bookmarkStart w:id="1" w:name="_GoBack"/>
      <w:bookmarkEnd w:id="1"/>
      <w:r>
        <w:rPr>
          <w:rFonts w:hint="eastAsia" w:ascii="仿宋_GB2312" w:eastAsia="仿宋_GB2312"/>
          <w:sz w:val="32"/>
          <w:szCs w:val="32"/>
        </w:rPr>
        <w:t>日</w:t>
      </w:r>
    </w:p>
    <w:p>
      <w:pPr>
        <w:spacing w:line="580" w:lineRule="exact"/>
        <w:ind w:firstLine="630"/>
        <w:rPr>
          <w:rFonts w:ascii="仿宋_GB2312" w:eastAsia="仿宋_GB2312"/>
          <w:sz w:val="32"/>
          <w:szCs w:val="32"/>
        </w:rPr>
      </w:pPr>
    </w:p>
    <w:p>
      <w:pPr>
        <w:spacing w:line="580" w:lineRule="exact"/>
        <w:ind w:firstLine="646"/>
        <w:rPr>
          <w:rFonts w:hint="eastAsia" w:ascii="仿宋_GB2312" w:eastAsia="仿宋_GB2312"/>
          <w:sz w:val="32"/>
          <w:szCs w:val="32"/>
        </w:rPr>
      </w:pPr>
    </w:p>
    <w:p>
      <w:pPr>
        <w:spacing w:line="580" w:lineRule="exact"/>
        <w:ind w:firstLine="646"/>
        <w:rPr>
          <w:rFonts w:hint="eastAsia" w:ascii="仿宋_GB2312" w:eastAsia="仿宋_GB2312"/>
          <w:sz w:val="32"/>
          <w:szCs w:val="32"/>
        </w:rPr>
      </w:pPr>
    </w:p>
    <w:p>
      <w:pPr>
        <w:jc w:val="left"/>
        <w:rPr>
          <w:rFonts w:hint="eastAsia" w:ascii="仿宋_GB2312" w:eastAsia="仿宋_GB2312"/>
          <w:sz w:val="32"/>
          <w:szCs w:val="32"/>
        </w:rPr>
      </w:pPr>
    </w:p>
    <w:p>
      <w:pPr>
        <w:jc w:val="left"/>
        <w:rPr>
          <w:rFonts w:hint="eastAsia" w:ascii="仿宋_GB2312" w:eastAsia="仿宋_GB2312"/>
          <w:sz w:val="32"/>
          <w:szCs w:val="32"/>
        </w:rPr>
      </w:pPr>
      <w:r>
        <w:rPr>
          <w:rFonts w:ascii="仿宋_GB2312" w:eastAsia="仿宋_GB2312"/>
          <w:sz w:val="32"/>
          <w:szCs w:val="32"/>
        </w:rPr>
        <w:br w:type="page"/>
      </w:r>
      <w:r>
        <w:rPr>
          <w:rFonts w:hint="eastAsia" w:ascii="仿宋_GB2312" w:eastAsia="仿宋_GB2312"/>
          <w:sz w:val="32"/>
          <w:szCs w:val="32"/>
        </w:rPr>
        <w:t>附：</w:t>
      </w:r>
    </w:p>
    <w:p>
      <w:pPr>
        <w:spacing w:line="660" w:lineRule="exact"/>
        <w:jc w:val="center"/>
        <w:rPr>
          <w:rFonts w:ascii="方正小标宋简体" w:eastAsia="方正小标宋简体"/>
          <w:sz w:val="44"/>
          <w:szCs w:val="44"/>
        </w:rPr>
      </w:pPr>
      <w:bookmarkStart w:id="0" w:name="_Hlk9426588"/>
      <w:r>
        <w:rPr>
          <w:rFonts w:hint="eastAsia" w:ascii="方正小标宋简体" w:eastAsia="方正小标宋简体"/>
          <w:sz w:val="44"/>
          <w:szCs w:val="44"/>
        </w:rPr>
        <w:t>浙江省机场集团有限公司</w:t>
      </w:r>
    </w:p>
    <w:bookmarkEnd w:id="0"/>
    <w:p>
      <w:pPr>
        <w:spacing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贷款合作银行评估办法</w:t>
      </w:r>
    </w:p>
    <w:p>
      <w:pPr>
        <w:spacing w:line="660" w:lineRule="exact"/>
        <w:jc w:val="center"/>
        <w:rPr>
          <w:rFonts w:hint="eastAsia" w:ascii="方正小标宋简体" w:eastAsia="方正小标宋简体"/>
          <w:sz w:val="44"/>
          <w:szCs w:val="44"/>
        </w:rPr>
      </w:pPr>
    </w:p>
    <w:p>
      <w:pPr>
        <w:spacing w:line="240" w:lineRule="atLeast"/>
        <w:ind w:firstLine="643" w:firstLineChars="200"/>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一、评估原则</w:t>
      </w:r>
    </w:p>
    <w:p>
      <w:pPr>
        <w:spacing w:line="240" w:lineRule="atLeast"/>
        <w:ind w:firstLine="640" w:firstLineChars="20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评估遵循“公平、公正、科学、择优”的原则。由公司自行组织，相关部门参加，采用综合评估法。评分方式为集体综合评议，独立打分。</w:t>
      </w:r>
    </w:p>
    <w:p>
      <w:pPr>
        <w:spacing w:line="240" w:lineRule="atLeast"/>
        <w:ind w:firstLine="643" w:firstLineChars="200"/>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二、评分总则</w:t>
      </w:r>
    </w:p>
    <w:p>
      <w:pPr>
        <w:spacing w:line="240" w:lineRule="atLeast"/>
        <w:ind w:firstLine="640" w:firstLineChars="20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评估总分为100分，其中商务报价占权重的60%，技术评审占权重的40%，分值保留到小数点后两位，第三位小数四舍五入。</w:t>
      </w:r>
    </w:p>
    <w:p>
      <w:pPr>
        <w:spacing w:line="240" w:lineRule="atLeast"/>
        <w:ind w:firstLine="640" w:firstLineChars="20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商务报价得分为贷款利率报价。</w:t>
      </w:r>
    </w:p>
    <w:p>
      <w:pPr>
        <w:spacing w:line="240" w:lineRule="atLeast"/>
        <w:ind w:firstLine="640" w:firstLineChars="20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技术评审得分由贷款审批时间、贷款额度、结息方式、提款保证、服务承诺和历史合作记录得分组成。</w:t>
      </w:r>
    </w:p>
    <w:p>
      <w:pPr>
        <w:spacing w:line="240" w:lineRule="atLeast"/>
        <w:ind w:firstLine="643" w:firstLineChars="200"/>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三、评分细则</w:t>
      </w:r>
    </w:p>
    <w:p>
      <w:pPr>
        <w:ind w:firstLine="640" w:firstLineChars="20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（一）商务报价评分：贷款利率报价评分（0-60分）</w:t>
      </w:r>
    </w:p>
    <w:p>
      <w:pPr>
        <w:widowControl/>
        <w:ind w:firstLine="480" w:firstLineChars="150"/>
        <w:jc w:val="left"/>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w:t>
      </w:r>
      <w:r>
        <w:rPr>
          <w:rFonts w:ascii="仿宋_GB2312" w:hAnsi="宋体" w:eastAsia="仿宋_GB2312" w:cs="宋体"/>
          <w:bCs/>
          <w:color w:val="000000"/>
          <w:kern w:val="0"/>
          <w:sz w:val="32"/>
          <w:szCs w:val="32"/>
        </w:rPr>
        <w:t>1</w:t>
      </w:r>
      <w:r>
        <w:rPr>
          <w:rFonts w:hint="eastAsia" w:ascii="仿宋_GB2312" w:hAnsi="宋体" w:eastAsia="仿宋_GB2312" w:cs="宋体"/>
          <w:bCs/>
          <w:color w:val="000000"/>
          <w:kern w:val="0"/>
          <w:sz w:val="32"/>
          <w:szCs w:val="32"/>
        </w:rPr>
        <w:t>）贷款款利率报价以人行最近一期公布的基准利率为基础，贷款利率报价为基准利率的，得40分；</w:t>
      </w:r>
    </w:p>
    <w:p>
      <w:pPr>
        <w:widowControl/>
        <w:ind w:firstLine="480" w:firstLineChars="150"/>
        <w:jc w:val="left"/>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w:t>
      </w:r>
      <w:r>
        <w:rPr>
          <w:rFonts w:ascii="仿宋_GB2312" w:hAnsi="宋体" w:eastAsia="仿宋_GB2312" w:cs="宋体"/>
          <w:bCs/>
          <w:color w:val="000000"/>
          <w:kern w:val="0"/>
          <w:sz w:val="32"/>
          <w:szCs w:val="32"/>
        </w:rPr>
        <w:t>2</w:t>
      </w:r>
      <w:r>
        <w:rPr>
          <w:rFonts w:hint="eastAsia" w:ascii="仿宋_GB2312" w:hAnsi="宋体" w:eastAsia="仿宋_GB2312" w:cs="宋体"/>
          <w:bCs/>
          <w:color w:val="000000"/>
          <w:kern w:val="0"/>
          <w:sz w:val="32"/>
          <w:szCs w:val="32"/>
        </w:rPr>
        <w:t>）贷款利率每下浮</w:t>
      </w:r>
      <w:r>
        <w:rPr>
          <w:rFonts w:ascii="仿宋_GB2312" w:hAnsi="宋体" w:eastAsia="仿宋_GB2312" w:cs="宋体"/>
          <w:bCs/>
          <w:color w:val="000000"/>
          <w:kern w:val="0"/>
          <w:sz w:val="32"/>
          <w:szCs w:val="32"/>
        </w:rPr>
        <w:t>1%</w:t>
      </w:r>
      <w:r>
        <w:rPr>
          <w:rFonts w:hint="eastAsia" w:ascii="仿宋_GB2312" w:hAnsi="宋体" w:eastAsia="仿宋_GB2312" w:cs="宋体"/>
          <w:bCs/>
          <w:color w:val="000000"/>
          <w:kern w:val="0"/>
          <w:sz w:val="32"/>
          <w:szCs w:val="32"/>
        </w:rPr>
        <w:t>，得1.5分；</w:t>
      </w:r>
    </w:p>
    <w:p>
      <w:pPr>
        <w:widowControl/>
        <w:ind w:firstLine="480" w:firstLineChars="150"/>
        <w:jc w:val="left"/>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w:t>
      </w:r>
      <w:r>
        <w:rPr>
          <w:rFonts w:ascii="仿宋_GB2312" w:hAnsi="宋体" w:eastAsia="仿宋_GB2312" w:cs="宋体"/>
          <w:bCs/>
          <w:color w:val="000000"/>
          <w:kern w:val="0"/>
          <w:sz w:val="32"/>
          <w:szCs w:val="32"/>
        </w:rPr>
        <w:t>3</w:t>
      </w:r>
      <w:r>
        <w:rPr>
          <w:rFonts w:hint="eastAsia" w:ascii="仿宋_GB2312" w:hAnsi="宋体" w:eastAsia="仿宋_GB2312" w:cs="宋体"/>
          <w:bCs/>
          <w:color w:val="000000"/>
          <w:kern w:val="0"/>
          <w:sz w:val="32"/>
          <w:szCs w:val="32"/>
        </w:rPr>
        <w:t>）贷款利率每上浮</w:t>
      </w:r>
      <w:r>
        <w:rPr>
          <w:rFonts w:ascii="仿宋_GB2312" w:hAnsi="宋体" w:eastAsia="仿宋_GB2312" w:cs="宋体"/>
          <w:bCs/>
          <w:color w:val="000000"/>
          <w:kern w:val="0"/>
          <w:sz w:val="32"/>
          <w:szCs w:val="32"/>
        </w:rPr>
        <w:t xml:space="preserve">1% </w:t>
      </w:r>
      <w:r>
        <w:rPr>
          <w:rFonts w:hint="eastAsia" w:ascii="仿宋_GB2312" w:hAnsi="宋体" w:eastAsia="仿宋_GB2312" w:cs="宋体"/>
          <w:bCs/>
          <w:color w:val="000000"/>
          <w:kern w:val="0"/>
          <w:sz w:val="32"/>
          <w:szCs w:val="32"/>
        </w:rPr>
        <w:t>，减1分；</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（4）如银行按额度给予两个以上的利率报价（如可以给予1亿元基准下浮10%的贷款，配套提供1亿元基准利率贷款），则按比例折算分数；</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（5）如银行按额度给予两个以上的利率报价，且可以只提低价部分，按低价部分计算商务分。</w:t>
      </w:r>
    </w:p>
    <w:p>
      <w:pPr>
        <w:widowControl/>
        <w:ind w:firstLine="480" w:firstLineChars="150"/>
        <w:jc w:val="left"/>
        <w:rPr>
          <w:rFonts w:hint="eastAsia" w:ascii="仿宋_GB2312" w:hAnsi="宋体" w:eastAsia="仿宋_GB2312" w:cs="宋体"/>
          <w:bCs/>
          <w:color w:val="000000"/>
          <w:kern w:val="0"/>
          <w:sz w:val="32"/>
          <w:szCs w:val="32"/>
        </w:rPr>
      </w:pPr>
      <w:r>
        <w:rPr>
          <w:rFonts w:ascii="仿宋_GB2312" w:hAnsi="宋体" w:eastAsia="仿宋_GB2312" w:cs="宋体"/>
          <w:bCs/>
          <w:color w:val="000000"/>
          <w:kern w:val="0"/>
          <w:sz w:val="32"/>
          <w:szCs w:val="32"/>
        </w:rPr>
        <w:t>(</w:t>
      </w:r>
      <w:r>
        <w:rPr>
          <w:rFonts w:hint="eastAsia" w:ascii="仿宋_GB2312" w:hAnsi="宋体" w:eastAsia="仿宋_GB2312" w:cs="宋体"/>
          <w:bCs/>
          <w:color w:val="000000"/>
          <w:kern w:val="0"/>
          <w:sz w:val="32"/>
          <w:szCs w:val="32"/>
        </w:rPr>
        <w:t>二</w:t>
      </w:r>
      <w:r>
        <w:rPr>
          <w:rFonts w:ascii="仿宋_GB2312" w:hAnsi="宋体" w:eastAsia="仿宋_GB2312" w:cs="宋体"/>
          <w:bCs/>
          <w:color w:val="000000"/>
          <w:kern w:val="0"/>
          <w:sz w:val="32"/>
          <w:szCs w:val="32"/>
        </w:rPr>
        <w:t>)</w:t>
      </w:r>
      <w:r>
        <w:rPr>
          <w:rFonts w:hint="eastAsia" w:ascii="仿宋_GB2312" w:hAnsi="宋体" w:eastAsia="仿宋_GB2312" w:cs="宋体"/>
          <w:bCs/>
          <w:color w:val="000000"/>
          <w:kern w:val="0"/>
          <w:sz w:val="32"/>
          <w:szCs w:val="32"/>
        </w:rPr>
        <w:t>技术部分评分原则（满分4</w:t>
      </w:r>
      <w:r>
        <w:rPr>
          <w:rFonts w:ascii="仿宋_GB2312" w:hAnsi="宋体" w:eastAsia="仿宋_GB2312" w:cs="宋体"/>
          <w:bCs/>
          <w:color w:val="000000"/>
          <w:kern w:val="0"/>
          <w:sz w:val="32"/>
          <w:szCs w:val="32"/>
        </w:rPr>
        <w:t>0</w:t>
      </w:r>
      <w:r>
        <w:rPr>
          <w:rFonts w:hint="eastAsia" w:ascii="仿宋_GB2312" w:hAnsi="宋体" w:eastAsia="仿宋_GB2312" w:cs="宋体"/>
          <w:bCs/>
          <w:color w:val="000000"/>
          <w:kern w:val="0"/>
          <w:sz w:val="32"/>
          <w:szCs w:val="32"/>
        </w:rPr>
        <w:t>分）：</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 xml:space="preserve">（1）审批时间在两周内，承诺自收到中标通知书之日起一周内根据公司要求保证额度、完成放款的得15分；审批时间在一个月内，承诺自收到中标通知书之日起二周内根据公司要求保证额度、完成放款的得10分；审批时间在两个月内，承诺自收到中标通知书之日起一个月内根据公司要求保证额度、完成放款的得5分；无法承诺的得0分； </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2）能按商务报价提供2亿元（含）以上额度的，得7分；提供1亿元（含）以上额度的得5分；提供0.5亿元（含）以上额度的得3分；低于0.5亿元额度的不得分；提供2个以上利率报价，且可以只提低价部分的，按可提供低价贷款的额度计算得分；</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（3）按季度结息额外加1分，按半年结息额外加2分，到期还本付息额外加3分；</w:t>
      </w:r>
    </w:p>
    <w:p>
      <w:pPr>
        <w:widowControl/>
        <w:ind w:firstLine="480" w:firstLineChars="150"/>
        <w:jc w:val="left"/>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（4）根据公司资金实际用途，提供使用方案和资料清单，视方案的完善程度和资料准备的可操作性给予1-5分；</w:t>
      </w:r>
    </w:p>
    <w:p>
      <w:pPr>
        <w:widowControl/>
        <w:ind w:firstLine="480" w:firstLineChars="15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（5）为上述额度、审批时间提供相应承诺文件的，视承诺效力给予1-5分；</w:t>
      </w:r>
    </w:p>
    <w:p>
      <w:pPr>
        <w:ind w:firstLine="640" w:firstLineChars="20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（6）银行规模、服务经验、历史合作情况介绍，视情况给予1-5分。</w:t>
      </w:r>
    </w:p>
    <w:p>
      <w:pPr>
        <w:jc w:val="left"/>
        <w:rPr>
          <w:rFonts w:hint="eastAsia" w:ascii="仿宋_GB2312" w:eastAsia="仿宋_GB2312"/>
          <w:sz w:val="32"/>
          <w:szCs w:val="32"/>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1</w:t>
    </w:r>
    <w:r>
      <w:rPr>
        <w:lang w:val="zh-CN"/>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650EB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2">
    <w:name w:val="annotation subject"/>
    <w:basedOn w:val="3"/>
    <w:next w:val="3"/>
    <w:link w:val="16"/>
    <w:uiPriority w:val="0"/>
    <w:rPr>
      <w:b/>
      <w:bCs/>
    </w:rPr>
  </w:style>
  <w:style w:type="paragraph" w:styleId="3">
    <w:name w:val="annotation text"/>
    <w:basedOn w:val="1"/>
    <w:link w:val="15"/>
    <w:uiPriority w:val="0"/>
    <w:pPr>
      <w:jc w:val="left"/>
    </w:pPr>
  </w:style>
  <w:style w:type="paragraph" w:styleId="4">
    <w:name w:val="Date"/>
    <w:basedOn w:val="1"/>
    <w:next w:val="1"/>
    <w:link w:val="11"/>
    <w:uiPriority w:val="0"/>
    <w:pPr>
      <w:ind w:left="100" w:leftChars="2500"/>
    </w:pPr>
  </w:style>
  <w:style w:type="paragraph" w:styleId="5">
    <w:name w:val="Balloon Text"/>
    <w:basedOn w:val="1"/>
    <w:link w:val="13"/>
    <w:uiPriority w:val="0"/>
    <w:rPr>
      <w:sz w:val="18"/>
      <w:szCs w:val="18"/>
    </w:rPr>
  </w:style>
  <w:style w:type="paragraph" w:styleId="6">
    <w:name w:val="footer"/>
    <w:basedOn w:val="1"/>
    <w:link w:val="14"/>
    <w:uiPriority w:val="0"/>
    <w:pPr>
      <w:tabs>
        <w:tab w:val="center" w:pos="4153"/>
        <w:tab w:val="right" w:pos="8306"/>
      </w:tabs>
      <w:snapToGrid w:val="0"/>
      <w:jc w:val="left"/>
    </w:pPr>
    <w:rPr>
      <w:kern w:val="0"/>
      <w:sz w:val="18"/>
      <w:szCs w:val="18"/>
    </w:rPr>
  </w:style>
  <w:style w:type="paragraph" w:styleId="7">
    <w:name w:val="header"/>
    <w:basedOn w:val="1"/>
    <w:link w:val="12"/>
    <w:uiPriority w:val="0"/>
    <w:pPr>
      <w:pBdr>
        <w:bottom w:val="single" w:color="auto" w:sz="6" w:space="1"/>
      </w:pBdr>
      <w:tabs>
        <w:tab w:val="center" w:pos="4153"/>
        <w:tab w:val="right" w:pos="8306"/>
      </w:tabs>
      <w:snapToGrid w:val="0"/>
      <w:jc w:val="center"/>
    </w:pPr>
    <w:rPr>
      <w:kern w:val="0"/>
      <w:sz w:val="18"/>
      <w:szCs w:val="18"/>
    </w:rPr>
  </w:style>
  <w:style w:type="character" w:styleId="9">
    <w:name w:val="annotation reference"/>
    <w:uiPriority w:val="0"/>
    <w:rPr>
      <w:rFonts w:ascii="Calibri" w:hAnsi="Calibri" w:eastAsia="宋体" w:cs="Times New Roman"/>
      <w:sz w:val="21"/>
      <w:szCs w:val="21"/>
    </w:rPr>
  </w:style>
  <w:style w:type="character" w:customStyle="1" w:styleId="11">
    <w:name w:val="日期 字符"/>
    <w:link w:val="4"/>
    <w:semiHidden/>
    <w:uiPriority w:val="99"/>
    <w:rPr>
      <w:rFonts w:ascii="Calibri" w:hAnsi="Calibri" w:eastAsia="宋体" w:cs="Times New Roman"/>
      <w:kern w:val="2"/>
      <w:sz w:val="21"/>
      <w:szCs w:val="22"/>
    </w:rPr>
  </w:style>
  <w:style w:type="character" w:customStyle="1" w:styleId="12">
    <w:name w:val="页眉 字符"/>
    <w:link w:val="7"/>
    <w:uiPriority w:val="99"/>
    <w:rPr>
      <w:rFonts w:ascii="Calibri" w:hAnsi="Calibri" w:eastAsia="宋体" w:cs="Times New Roman"/>
      <w:sz w:val="18"/>
      <w:szCs w:val="18"/>
    </w:rPr>
  </w:style>
  <w:style w:type="character" w:customStyle="1" w:styleId="13">
    <w:name w:val="批注框文本 字符"/>
    <w:link w:val="5"/>
    <w:semiHidden/>
    <w:uiPriority w:val="99"/>
    <w:rPr>
      <w:rFonts w:ascii="Calibri" w:hAnsi="Calibri" w:eastAsia="宋体" w:cs="Times New Roman"/>
      <w:kern w:val="2"/>
      <w:sz w:val="18"/>
      <w:szCs w:val="18"/>
    </w:rPr>
  </w:style>
  <w:style w:type="character" w:customStyle="1" w:styleId="14">
    <w:name w:val="页脚 字符"/>
    <w:link w:val="6"/>
    <w:uiPriority w:val="99"/>
    <w:rPr>
      <w:rFonts w:ascii="Calibri" w:hAnsi="Calibri" w:eastAsia="宋体" w:cs="Times New Roman"/>
      <w:sz w:val="18"/>
      <w:szCs w:val="18"/>
    </w:rPr>
  </w:style>
  <w:style w:type="character" w:customStyle="1" w:styleId="15">
    <w:name w:val="批注文字 字符"/>
    <w:link w:val="3"/>
    <w:semiHidden/>
    <w:uiPriority w:val="99"/>
    <w:rPr>
      <w:rFonts w:ascii="Calibri" w:hAnsi="Calibri" w:eastAsia="宋体" w:cs="Times New Roman"/>
      <w:kern w:val="2"/>
      <w:sz w:val="21"/>
      <w:szCs w:val="22"/>
    </w:rPr>
  </w:style>
  <w:style w:type="character" w:customStyle="1" w:styleId="16">
    <w:name w:val="批注主题 字符"/>
    <w:link w:val="2"/>
    <w:semiHidden/>
    <w:uiPriority w:val="99"/>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贾思勰</cp:lastModifiedBy>
  <dcterms:modified xsi:type="dcterms:W3CDTF">2019-06-12T09:28:54Z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