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hint="eastAsia" w:cs="Calibri"/>
          <w:kern w:val="0"/>
          <w:sz w:val="24"/>
          <w:szCs w:val="52"/>
        </w:rPr>
      </w:pPr>
      <w:bookmarkStart w:id="0" w:name="_Toc143421653"/>
      <w:bookmarkStart w:id="1" w:name="_Toc128451845"/>
      <w:bookmarkStart w:id="2" w:name="_Toc140045840"/>
    </w:p>
    <w:p>
      <w:pPr>
        <w:autoSpaceDE w:val="0"/>
        <w:autoSpaceDN w:val="0"/>
        <w:adjustRightInd w:val="0"/>
        <w:jc w:val="center"/>
        <w:rPr>
          <w:rFonts w:eastAsia="黑体" w:cs="Calibri"/>
          <w:b/>
          <w:sz w:val="44"/>
          <w:szCs w:val="44"/>
        </w:rPr>
      </w:pPr>
    </w:p>
    <w:p>
      <w:pPr>
        <w:autoSpaceDE w:val="0"/>
        <w:autoSpaceDN w:val="0"/>
        <w:adjustRightInd w:val="0"/>
        <w:jc w:val="center"/>
        <w:rPr>
          <w:rFonts w:eastAsia="黑体" w:cs="Calibri"/>
          <w:b/>
          <w:sz w:val="44"/>
          <w:szCs w:val="44"/>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p>
    <w:p>
      <w:pPr>
        <w:autoSpaceDE w:val="0"/>
        <w:autoSpaceDN w:val="0"/>
        <w:adjustRightInd w:val="0"/>
        <w:jc w:val="center"/>
        <w:rPr>
          <w:rFonts w:eastAsia="黑体" w:cs="Calibri"/>
          <w:b/>
          <w:sz w:val="44"/>
          <w:szCs w:val="44"/>
        </w:rPr>
      </w:pPr>
      <w:r>
        <w:rPr>
          <w:rFonts w:hint="eastAsia" w:eastAsia="黑体" w:cs="Calibri"/>
          <w:b/>
          <w:sz w:val="44"/>
          <w:szCs w:val="44"/>
        </w:rPr>
        <w:t xml:space="preserve">    </w:t>
      </w:r>
      <w:r>
        <w:rPr>
          <w:rFonts w:hint="eastAsia" w:eastAsia="黑体" w:cs="Calibri"/>
          <w:b/>
          <w:sz w:val="44"/>
          <w:szCs w:val="44"/>
          <w:u w:val="single"/>
        </w:rPr>
        <w:t>中央空调系统变频器维修</w:t>
      </w:r>
      <w:r>
        <w:rPr>
          <w:rFonts w:hint="eastAsia" w:eastAsia="黑体" w:cs="Calibri"/>
          <w:b/>
          <w:sz w:val="44"/>
          <w:szCs w:val="44"/>
        </w:rPr>
        <w:t>项目</w:t>
      </w:r>
    </w:p>
    <w:p>
      <w:pPr>
        <w:autoSpaceDE w:val="0"/>
        <w:autoSpaceDN w:val="0"/>
        <w:adjustRightInd w:val="0"/>
        <w:jc w:val="center"/>
        <w:rPr>
          <w:rFonts w:eastAsia="黑体" w:cs="Calibri"/>
          <w:b/>
          <w:bCs/>
          <w:spacing w:val="60"/>
          <w:sz w:val="82"/>
          <w:szCs w:val="82"/>
        </w:rPr>
      </w:pPr>
    </w:p>
    <w:p>
      <w:pPr>
        <w:autoSpaceDE w:val="0"/>
        <w:autoSpaceDN w:val="0"/>
        <w:adjustRightInd w:val="0"/>
        <w:jc w:val="center"/>
        <w:rPr>
          <w:rFonts w:eastAsia="黑体" w:cs="Calibri"/>
          <w:b/>
          <w:bCs/>
          <w:spacing w:val="60"/>
          <w:sz w:val="82"/>
          <w:szCs w:val="82"/>
        </w:rPr>
      </w:pPr>
      <w:r>
        <w:rPr>
          <w:rFonts w:eastAsia="黑体" w:cs="Calibri"/>
          <w:b/>
          <w:bCs/>
          <w:spacing w:val="60"/>
          <w:sz w:val="82"/>
          <w:szCs w:val="82"/>
        </w:rPr>
        <w:t>招标文件</w:t>
      </w:r>
    </w:p>
    <w:p>
      <w:pPr>
        <w:autoSpaceDE w:val="0"/>
        <w:autoSpaceDN w:val="0"/>
        <w:adjustRightInd w:val="0"/>
        <w:jc w:val="center"/>
        <w:rPr>
          <w:rFonts w:cs="Calibri"/>
          <w:b/>
          <w:kern w:val="0"/>
          <w:sz w:val="44"/>
          <w:szCs w:val="44"/>
        </w:rPr>
      </w:pPr>
    </w:p>
    <w:p>
      <w:pPr>
        <w:autoSpaceDE w:val="0"/>
        <w:autoSpaceDN w:val="0"/>
        <w:adjustRightInd w:val="0"/>
        <w:jc w:val="center"/>
        <w:rPr>
          <w:rFonts w:cs="Calibri"/>
          <w:b/>
          <w:kern w:val="0"/>
          <w:sz w:val="44"/>
          <w:szCs w:val="44"/>
        </w:rPr>
      </w:pPr>
    </w:p>
    <w:p>
      <w:pPr>
        <w:autoSpaceDE w:val="0"/>
        <w:autoSpaceDN w:val="0"/>
        <w:adjustRightInd w:val="0"/>
        <w:jc w:val="center"/>
        <w:rPr>
          <w:rFonts w:cs="Calibri"/>
          <w:kern w:val="0"/>
          <w:sz w:val="32"/>
          <w:szCs w:val="32"/>
        </w:rPr>
      </w:pPr>
    </w:p>
    <w:p>
      <w:pPr>
        <w:pStyle w:val="18"/>
        <w:spacing w:line="480" w:lineRule="auto"/>
        <w:jc w:val="center"/>
        <w:rPr>
          <w:rFonts w:ascii="Calibri" w:hAnsi="Calibri" w:eastAsia="隶书" w:cs="Calibri"/>
          <w:sz w:val="32"/>
        </w:rPr>
      </w:pPr>
    </w:p>
    <w:p>
      <w:pPr>
        <w:pStyle w:val="18"/>
        <w:spacing w:line="480" w:lineRule="auto"/>
        <w:jc w:val="center"/>
        <w:rPr>
          <w:rFonts w:ascii="Calibri" w:hAnsi="Calibri" w:eastAsia="隶书" w:cs="Calibri"/>
          <w:sz w:val="32"/>
        </w:rPr>
      </w:pPr>
    </w:p>
    <w:p>
      <w:pPr>
        <w:pStyle w:val="18"/>
        <w:spacing w:line="480" w:lineRule="auto"/>
        <w:rPr>
          <w:rFonts w:ascii="Calibri" w:hAnsi="Calibri" w:eastAsia="隶书" w:cs="Calibri"/>
          <w:sz w:val="32"/>
        </w:rPr>
      </w:pPr>
    </w:p>
    <w:p>
      <w:pPr>
        <w:pStyle w:val="18"/>
        <w:spacing w:line="480" w:lineRule="auto"/>
        <w:jc w:val="center"/>
        <w:rPr>
          <w:rFonts w:ascii="Calibri" w:hAnsi="Calibri" w:eastAsia="隶书" w:cs="Calibri"/>
          <w:sz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18"/>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rPr>
        <w:t>七</w:t>
      </w:r>
      <w:r>
        <w:rPr>
          <w:rFonts w:ascii="Calibri" w:hAnsi="Calibri" w:eastAsia="黑体" w:cs="Calibri"/>
          <w:sz w:val="32"/>
          <w:szCs w:val="32"/>
        </w:rPr>
        <w:t>月</w:t>
      </w:r>
    </w:p>
    <w:p>
      <w:pPr>
        <w:snapToGrid w:val="0"/>
        <w:spacing w:line="360" w:lineRule="auto"/>
        <w:jc w:val="center"/>
        <w:rPr>
          <w:rFonts w:cs="Calibri"/>
          <w:sz w:val="32"/>
          <w:szCs w:val="32"/>
        </w:rPr>
      </w:pPr>
    </w:p>
    <w:p>
      <w:pPr>
        <w:pStyle w:val="51"/>
        <w:ind w:firstLine="883"/>
        <w:rPr>
          <w:rFonts w:ascii="Calibri" w:cs="Calibri"/>
          <w:b/>
          <w:sz w:val="44"/>
        </w:rPr>
      </w:pPr>
      <w:bookmarkStart w:id="3" w:name="_Toc386359390"/>
      <w:bookmarkStart w:id="4" w:name="_Toc349011855"/>
      <w:bookmarkStart w:id="5" w:name="_Toc349007685"/>
      <w:bookmarkStart w:id="6" w:name="_Toc386363314"/>
      <w:r>
        <w:rPr>
          <w:rFonts w:hint="eastAsia" w:ascii="Calibri" w:cs="Calibri"/>
          <w:b/>
          <w:sz w:val="44"/>
        </w:rPr>
        <w:t xml:space="preserve"> </w:t>
      </w:r>
    </w:p>
    <w:p>
      <w:pPr>
        <w:pStyle w:val="51"/>
        <w:ind w:firstLine="883"/>
        <w:rPr>
          <w:rFonts w:ascii="Calibri" w:hAnsi="Calibri" w:cs="Calibri"/>
          <w:b/>
          <w:sz w:val="44"/>
        </w:rPr>
      </w:pPr>
      <w:bookmarkStart w:id="7" w:name="_Toc444173456"/>
      <w:bookmarkStart w:id="8" w:name="_Toc448002981"/>
      <w:bookmarkStart w:id="9" w:name="_Toc400369182"/>
      <w:bookmarkStart w:id="10" w:name="_Toc444174976"/>
      <w:bookmarkStart w:id="11" w:name="_Toc444811406"/>
      <w:r>
        <w:rPr>
          <w:rFonts w:ascii="Calibri" w:cs="Calibri"/>
          <w:b/>
          <w:sz w:val="44"/>
        </w:rPr>
        <w:t>目</w:t>
      </w:r>
      <w:r>
        <w:rPr>
          <w:rFonts w:ascii="Calibri" w:hAnsi="Calibri" w:cs="Calibri"/>
          <w:b/>
          <w:sz w:val="44"/>
        </w:rPr>
        <w:t xml:space="preserve">  </w:t>
      </w:r>
      <w:r>
        <w:rPr>
          <w:rFonts w:ascii="Calibri" w:cs="Calibri"/>
          <w:b/>
          <w:sz w:val="44"/>
        </w:rPr>
        <w:t>录</w:t>
      </w:r>
      <w:bookmarkEnd w:id="3"/>
      <w:bookmarkEnd w:id="4"/>
      <w:bookmarkEnd w:id="5"/>
      <w:bookmarkEnd w:id="6"/>
      <w:bookmarkEnd w:id="7"/>
      <w:bookmarkEnd w:id="8"/>
      <w:bookmarkEnd w:id="9"/>
      <w:bookmarkEnd w:id="10"/>
      <w:bookmarkEnd w:id="11"/>
    </w:p>
    <w:p>
      <w:pPr>
        <w:pStyle w:val="51"/>
        <w:spacing w:line="480" w:lineRule="auto"/>
        <w:rPr>
          <w:rFonts w:ascii="黑体" w:hAnsi="黑体" w:eastAsia="黑体"/>
          <w:bCs w:val="0"/>
          <w:kern w:val="2"/>
          <w:sz w:val="22"/>
          <w:szCs w:val="22"/>
        </w:rPr>
      </w:pPr>
      <w:r>
        <w:rPr>
          <w:rFonts w:hint="eastAsia" w:ascii="黑体" w:hAnsi="黑体" w:eastAsia="黑体"/>
          <w:bCs w:val="0"/>
          <w:kern w:val="2"/>
          <w:sz w:val="22"/>
          <w:szCs w:val="22"/>
        </w:rPr>
        <w:fldChar w:fldCharType="begin"/>
      </w:r>
      <w:r>
        <w:rPr>
          <w:rFonts w:hint="eastAsia" w:ascii="黑体" w:hAnsi="黑体" w:eastAsia="黑体"/>
          <w:bCs w:val="0"/>
          <w:kern w:val="2"/>
          <w:sz w:val="22"/>
          <w:szCs w:val="22"/>
        </w:rPr>
        <w:instrText xml:space="preserve"> TOC \o "1-3" \h \z \u </w:instrText>
      </w:r>
      <w:r>
        <w:rPr>
          <w:rFonts w:hint="eastAsia" w:ascii="黑体" w:hAnsi="黑体" w:eastAsia="黑体"/>
          <w:bCs w:val="0"/>
          <w:kern w:val="2"/>
          <w:sz w:val="22"/>
          <w:szCs w:val="22"/>
        </w:rPr>
        <w:fldChar w:fldCharType="separate"/>
      </w:r>
    </w:p>
    <w:p>
      <w:pPr>
        <w:pStyle w:val="51"/>
        <w:spacing w:line="480" w:lineRule="auto"/>
        <w:rPr>
          <w:rFonts w:ascii="黑体" w:hAnsi="黑体" w:eastAsia="黑体"/>
          <w:bCs w:val="0"/>
          <w:kern w:val="2"/>
          <w:sz w:val="22"/>
          <w:szCs w:val="22"/>
        </w:rPr>
      </w:pPr>
      <w:r>
        <w:fldChar w:fldCharType="begin"/>
      </w:r>
      <w:r>
        <w:instrText xml:space="preserve"> HYPERLINK \l "_Toc448002982" </w:instrText>
      </w:r>
      <w:r>
        <w:fldChar w:fldCharType="separate"/>
      </w:r>
      <w:r>
        <w:rPr>
          <w:rFonts w:hint="eastAsia"/>
          <w:bCs w:val="0"/>
          <w:kern w:val="2"/>
        </w:rPr>
        <w:t>第一章  招标公告</w:t>
      </w:r>
      <w:r>
        <w:rPr>
          <w:rFonts w:hint="eastAsia" w:ascii="黑体" w:hAnsi="黑体" w:eastAsia="黑体"/>
          <w:bCs w:val="0"/>
          <w:kern w:val="2"/>
          <w:sz w:val="22"/>
          <w:szCs w:val="22"/>
        </w:rPr>
        <w:tab/>
      </w:r>
      <w:r>
        <w:rPr>
          <w:rFonts w:hint="eastAsia" w:ascii="黑体" w:hAnsi="黑体" w:eastAsia="黑体"/>
          <w:bCs w:val="0"/>
          <w:kern w:val="2"/>
          <w:sz w:val="22"/>
          <w:szCs w:val="22"/>
        </w:rPr>
        <w:fldChar w:fldCharType="begin"/>
      </w:r>
      <w:r>
        <w:rPr>
          <w:rFonts w:hint="eastAsia" w:ascii="黑体" w:hAnsi="黑体" w:eastAsia="黑体"/>
          <w:bCs w:val="0"/>
          <w:kern w:val="2"/>
          <w:sz w:val="22"/>
          <w:szCs w:val="22"/>
        </w:rPr>
        <w:instrText xml:space="preserve"> PAGEREF _Toc448002982 \h </w:instrText>
      </w:r>
      <w:r>
        <w:rPr>
          <w:rFonts w:hint="eastAsia" w:ascii="黑体" w:hAnsi="黑体" w:eastAsia="黑体"/>
          <w:bCs w:val="0"/>
          <w:kern w:val="2"/>
          <w:sz w:val="22"/>
          <w:szCs w:val="22"/>
        </w:rPr>
        <w:fldChar w:fldCharType="separate"/>
      </w:r>
      <w:r>
        <w:rPr>
          <w:rFonts w:ascii="黑体" w:hAnsi="黑体" w:eastAsia="黑体"/>
          <w:bCs w:val="0"/>
          <w:kern w:val="2"/>
          <w:sz w:val="22"/>
          <w:szCs w:val="22"/>
        </w:rPr>
        <w:t>- 2 -</w:t>
      </w:r>
      <w:r>
        <w:rPr>
          <w:rFonts w:hint="eastAsia" w:ascii="黑体" w:hAnsi="黑体" w:eastAsia="黑体"/>
          <w:bCs w:val="0"/>
          <w:kern w:val="2"/>
          <w:sz w:val="22"/>
          <w:szCs w:val="22"/>
        </w:rPr>
        <w:fldChar w:fldCharType="end"/>
      </w:r>
      <w:r>
        <w:rPr>
          <w:rFonts w:hint="eastAsia" w:ascii="黑体" w:hAnsi="黑体" w:eastAsia="黑体"/>
          <w:bCs w:val="0"/>
          <w:kern w:val="2"/>
          <w:sz w:val="22"/>
          <w:szCs w:val="22"/>
        </w:rPr>
        <w:fldChar w:fldCharType="end"/>
      </w:r>
    </w:p>
    <w:p>
      <w:pPr>
        <w:pStyle w:val="51"/>
        <w:spacing w:line="480" w:lineRule="auto"/>
        <w:rPr>
          <w:rFonts w:ascii="黑体" w:hAnsi="黑体" w:eastAsia="黑体"/>
          <w:bCs w:val="0"/>
          <w:kern w:val="2"/>
          <w:sz w:val="22"/>
          <w:szCs w:val="22"/>
        </w:rPr>
      </w:pPr>
      <w:r>
        <w:fldChar w:fldCharType="begin"/>
      </w:r>
      <w:r>
        <w:instrText xml:space="preserve"> HYPERLINK \l "_Toc448002983" </w:instrText>
      </w:r>
      <w:r>
        <w:fldChar w:fldCharType="separate"/>
      </w:r>
      <w:r>
        <w:rPr>
          <w:rFonts w:hint="eastAsia"/>
          <w:bCs w:val="0"/>
          <w:kern w:val="2"/>
        </w:rPr>
        <w:t>第二章  投标人须知</w:t>
      </w:r>
      <w:r>
        <w:rPr>
          <w:rFonts w:hint="eastAsia" w:ascii="黑体" w:hAnsi="黑体" w:eastAsia="黑体"/>
          <w:bCs w:val="0"/>
          <w:kern w:val="2"/>
          <w:sz w:val="22"/>
          <w:szCs w:val="22"/>
        </w:rPr>
        <w:tab/>
      </w:r>
      <w:r>
        <w:rPr>
          <w:rFonts w:hint="eastAsia" w:ascii="黑体" w:hAnsi="黑体" w:eastAsia="黑体"/>
          <w:bCs w:val="0"/>
          <w:kern w:val="2"/>
          <w:sz w:val="22"/>
          <w:szCs w:val="22"/>
        </w:rPr>
        <w:fldChar w:fldCharType="begin"/>
      </w:r>
      <w:r>
        <w:rPr>
          <w:rFonts w:hint="eastAsia" w:ascii="黑体" w:hAnsi="黑体" w:eastAsia="黑体"/>
          <w:bCs w:val="0"/>
          <w:kern w:val="2"/>
          <w:sz w:val="22"/>
          <w:szCs w:val="22"/>
        </w:rPr>
        <w:instrText xml:space="preserve"> PAGEREF _Toc448002983 \h </w:instrText>
      </w:r>
      <w:r>
        <w:rPr>
          <w:rFonts w:hint="eastAsia" w:ascii="黑体" w:hAnsi="黑体" w:eastAsia="黑体"/>
          <w:bCs w:val="0"/>
          <w:kern w:val="2"/>
          <w:sz w:val="22"/>
          <w:szCs w:val="22"/>
        </w:rPr>
        <w:fldChar w:fldCharType="separate"/>
      </w:r>
      <w:r>
        <w:rPr>
          <w:rFonts w:ascii="黑体" w:hAnsi="黑体" w:eastAsia="黑体"/>
          <w:bCs w:val="0"/>
          <w:kern w:val="2"/>
          <w:sz w:val="22"/>
          <w:szCs w:val="22"/>
        </w:rPr>
        <w:t>- 3 -</w:t>
      </w:r>
      <w:r>
        <w:rPr>
          <w:rFonts w:hint="eastAsia" w:ascii="黑体" w:hAnsi="黑体" w:eastAsia="黑体"/>
          <w:bCs w:val="0"/>
          <w:kern w:val="2"/>
          <w:sz w:val="22"/>
          <w:szCs w:val="22"/>
        </w:rPr>
        <w:fldChar w:fldCharType="end"/>
      </w:r>
      <w:r>
        <w:rPr>
          <w:rFonts w:hint="eastAsia" w:ascii="黑体" w:hAnsi="黑体" w:eastAsia="黑体"/>
          <w:bCs w:val="0"/>
          <w:kern w:val="2"/>
          <w:sz w:val="22"/>
          <w:szCs w:val="22"/>
        </w:rPr>
        <w:fldChar w:fldCharType="end"/>
      </w:r>
    </w:p>
    <w:p>
      <w:pPr>
        <w:pStyle w:val="51"/>
        <w:spacing w:line="480" w:lineRule="auto"/>
        <w:rPr>
          <w:rFonts w:ascii="黑体" w:hAnsi="黑体" w:eastAsia="黑体"/>
          <w:bCs w:val="0"/>
          <w:kern w:val="2"/>
          <w:sz w:val="22"/>
          <w:szCs w:val="22"/>
        </w:rPr>
      </w:pPr>
      <w:r>
        <w:fldChar w:fldCharType="begin"/>
      </w:r>
      <w:r>
        <w:instrText xml:space="preserve"> HYPERLINK \l "_Toc448002985" </w:instrText>
      </w:r>
      <w:r>
        <w:fldChar w:fldCharType="separate"/>
      </w:r>
      <w:r>
        <w:rPr>
          <w:rFonts w:hint="eastAsia"/>
          <w:bCs w:val="0"/>
          <w:kern w:val="2"/>
        </w:rPr>
        <w:t>第三章  服务技术标准及要求</w:t>
      </w:r>
      <w:r>
        <w:rPr>
          <w:rFonts w:hint="eastAsia" w:ascii="黑体" w:hAnsi="黑体" w:eastAsia="黑体"/>
          <w:bCs w:val="0"/>
          <w:kern w:val="2"/>
          <w:sz w:val="22"/>
          <w:szCs w:val="22"/>
        </w:rPr>
        <w:tab/>
      </w:r>
      <w:r>
        <w:rPr>
          <w:rFonts w:hint="eastAsia" w:ascii="黑体" w:hAnsi="黑体" w:eastAsia="黑体"/>
          <w:bCs w:val="0"/>
          <w:kern w:val="2"/>
          <w:sz w:val="22"/>
          <w:szCs w:val="22"/>
        </w:rPr>
        <w:fldChar w:fldCharType="begin"/>
      </w:r>
      <w:r>
        <w:rPr>
          <w:rFonts w:hint="eastAsia" w:ascii="黑体" w:hAnsi="黑体" w:eastAsia="黑体"/>
          <w:bCs w:val="0"/>
          <w:kern w:val="2"/>
          <w:sz w:val="22"/>
          <w:szCs w:val="22"/>
        </w:rPr>
        <w:instrText xml:space="preserve"> PAGEREF _Toc448002985 \h </w:instrText>
      </w:r>
      <w:r>
        <w:rPr>
          <w:rFonts w:hint="eastAsia" w:ascii="黑体" w:hAnsi="黑体" w:eastAsia="黑体"/>
          <w:bCs w:val="0"/>
          <w:kern w:val="2"/>
          <w:sz w:val="22"/>
          <w:szCs w:val="22"/>
        </w:rPr>
        <w:fldChar w:fldCharType="separate"/>
      </w:r>
      <w:r>
        <w:rPr>
          <w:rFonts w:ascii="黑体" w:hAnsi="黑体" w:eastAsia="黑体"/>
          <w:bCs w:val="0"/>
          <w:kern w:val="2"/>
          <w:sz w:val="22"/>
          <w:szCs w:val="22"/>
        </w:rPr>
        <w:t>- 11 -</w:t>
      </w:r>
      <w:r>
        <w:rPr>
          <w:rFonts w:hint="eastAsia" w:ascii="黑体" w:hAnsi="黑体" w:eastAsia="黑体"/>
          <w:bCs w:val="0"/>
          <w:kern w:val="2"/>
          <w:sz w:val="22"/>
          <w:szCs w:val="22"/>
        </w:rPr>
        <w:fldChar w:fldCharType="end"/>
      </w:r>
      <w:r>
        <w:rPr>
          <w:rFonts w:hint="eastAsia" w:ascii="黑体" w:hAnsi="黑体" w:eastAsia="黑体"/>
          <w:bCs w:val="0"/>
          <w:kern w:val="2"/>
          <w:sz w:val="22"/>
          <w:szCs w:val="22"/>
        </w:rPr>
        <w:fldChar w:fldCharType="end"/>
      </w:r>
    </w:p>
    <w:p>
      <w:pPr>
        <w:pStyle w:val="51"/>
        <w:spacing w:line="480" w:lineRule="auto"/>
        <w:rPr>
          <w:rFonts w:ascii="黑体" w:hAnsi="黑体" w:eastAsia="黑体"/>
          <w:bCs w:val="0"/>
          <w:kern w:val="2"/>
          <w:sz w:val="22"/>
          <w:szCs w:val="22"/>
        </w:rPr>
      </w:pPr>
      <w:r>
        <w:fldChar w:fldCharType="begin"/>
      </w:r>
      <w:r>
        <w:instrText xml:space="preserve"> HYPERLINK \l "_Toc448002986" </w:instrText>
      </w:r>
      <w:r>
        <w:fldChar w:fldCharType="separate"/>
      </w:r>
      <w:r>
        <w:rPr>
          <w:rFonts w:hint="eastAsia"/>
          <w:bCs w:val="0"/>
          <w:kern w:val="2"/>
        </w:rPr>
        <w:t>第四章  合同条款</w:t>
      </w:r>
      <w:r>
        <w:rPr>
          <w:rFonts w:hint="eastAsia" w:ascii="黑体" w:hAnsi="黑体" w:eastAsia="黑体"/>
          <w:bCs w:val="0"/>
          <w:kern w:val="2"/>
          <w:sz w:val="22"/>
          <w:szCs w:val="22"/>
        </w:rPr>
        <w:tab/>
      </w:r>
      <w:r>
        <w:rPr>
          <w:rFonts w:hint="eastAsia" w:ascii="黑体" w:hAnsi="黑体" w:eastAsia="黑体"/>
          <w:bCs w:val="0"/>
          <w:kern w:val="2"/>
          <w:sz w:val="22"/>
          <w:szCs w:val="22"/>
        </w:rPr>
        <w:fldChar w:fldCharType="begin"/>
      </w:r>
      <w:r>
        <w:rPr>
          <w:rFonts w:hint="eastAsia" w:ascii="黑体" w:hAnsi="黑体" w:eastAsia="黑体"/>
          <w:bCs w:val="0"/>
          <w:kern w:val="2"/>
          <w:sz w:val="22"/>
          <w:szCs w:val="22"/>
        </w:rPr>
        <w:instrText xml:space="preserve"> PAGEREF _Toc448002986 \h </w:instrText>
      </w:r>
      <w:r>
        <w:rPr>
          <w:rFonts w:hint="eastAsia" w:ascii="黑体" w:hAnsi="黑体" w:eastAsia="黑体"/>
          <w:bCs w:val="0"/>
          <w:kern w:val="2"/>
          <w:sz w:val="22"/>
          <w:szCs w:val="22"/>
        </w:rPr>
        <w:fldChar w:fldCharType="separate"/>
      </w:r>
      <w:r>
        <w:rPr>
          <w:rFonts w:ascii="黑体" w:hAnsi="黑体" w:eastAsia="黑体"/>
          <w:bCs w:val="0"/>
          <w:kern w:val="2"/>
          <w:sz w:val="22"/>
          <w:szCs w:val="22"/>
        </w:rPr>
        <w:t>- 12 -</w:t>
      </w:r>
      <w:r>
        <w:rPr>
          <w:rFonts w:hint="eastAsia" w:ascii="黑体" w:hAnsi="黑体" w:eastAsia="黑体"/>
          <w:bCs w:val="0"/>
          <w:kern w:val="2"/>
          <w:sz w:val="22"/>
          <w:szCs w:val="22"/>
        </w:rPr>
        <w:fldChar w:fldCharType="end"/>
      </w:r>
      <w:r>
        <w:rPr>
          <w:rFonts w:hint="eastAsia" w:ascii="黑体" w:hAnsi="黑体" w:eastAsia="黑体"/>
          <w:bCs w:val="0"/>
          <w:kern w:val="2"/>
          <w:sz w:val="22"/>
          <w:szCs w:val="22"/>
        </w:rPr>
        <w:fldChar w:fldCharType="end"/>
      </w:r>
    </w:p>
    <w:p>
      <w:pPr>
        <w:pStyle w:val="51"/>
        <w:spacing w:line="480" w:lineRule="auto"/>
        <w:rPr>
          <w:rFonts w:ascii="黑体" w:hAnsi="黑体" w:eastAsia="黑体"/>
          <w:bCs w:val="0"/>
          <w:kern w:val="2"/>
          <w:sz w:val="22"/>
          <w:szCs w:val="22"/>
        </w:rPr>
      </w:pPr>
      <w:r>
        <w:fldChar w:fldCharType="begin"/>
      </w:r>
      <w:r>
        <w:instrText xml:space="preserve"> HYPERLINK \l "_Toc448002987" </w:instrText>
      </w:r>
      <w:r>
        <w:fldChar w:fldCharType="separate"/>
      </w:r>
      <w:r>
        <w:rPr>
          <w:rFonts w:hint="eastAsia"/>
          <w:bCs w:val="0"/>
          <w:kern w:val="2"/>
        </w:rPr>
        <w:t>第五章  评标方法及标准</w:t>
      </w:r>
      <w:r>
        <w:rPr>
          <w:rFonts w:hint="eastAsia" w:ascii="黑体" w:hAnsi="黑体" w:eastAsia="黑体"/>
          <w:bCs w:val="0"/>
          <w:kern w:val="2"/>
          <w:sz w:val="22"/>
          <w:szCs w:val="22"/>
        </w:rPr>
        <w:tab/>
      </w:r>
      <w:r>
        <w:rPr>
          <w:rFonts w:hint="eastAsia" w:ascii="黑体" w:hAnsi="黑体" w:eastAsia="黑体"/>
          <w:bCs w:val="0"/>
          <w:kern w:val="2"/>
          <w:sz w:val="22"/>
          <w:szCs w:val="22"/>
        </w:rPr>
        <w:fldChar w:fldCharType="begin"/>
      </w:r>
      <w:r>
        <w:rPr>
          <w:rFonts w:hint="eastAsia" w:ascii="黑体" w:hAnsi="黑体" w:eastAsia="黑体"/>
          <w:bCs w:val="0"/>
          <w:kern w:val="2"/>
          <w:sz w:val="22"/>
          <w:szCs w:val="22"/>
        </w:rPr>
        <w:instrText xml:space="preserve"> PAGEREF _Toc448002987 \h </w:instrText>
      </w:r>
      <w:r>
        <w:rPr>
          <w:rFonts w:hint="eastAsia" w:ascii="黑体" w:hAnsi="黑体" w:eastAsia="黑体"/>
          <w:bCs w:val="0"/>
          <w:kern w:val="2"/>
          <w:sz w:val="22"/>
          <w:szCs w:val="22"/>
        </w:rPr>
        <w:fldChar w:fldCharType="separate"/>
      </w:r>
      <w:r>
        <w:rPr>
          <w:rFonts w:ascii="黑体" w:hAnsi="黑体" w:eastAsia="黑体"/>
          <w:bCs w:val="0"/>
          <w:kern w:val="2"/>
          <w:sz w:val="22"/>
          <w:szCs w:val="22"/>
        </w:rPr>
        <w:t>- 13 -</w:t>
      </w:r>
      <w:r>
        <w:rPr>
          <w:rFonts w:hint="eastAsia" w:ascii="黑体" w:hAnsi="黑体" w:eastAsia="黑体"/>
          <w:bCs w:val="0"/>
          <w:kern w:val="2"/>
          <w:sz w:val="22"/>
          <w:szCs w:val="22"/>
        </w:rPr>
        <w:fldChar w:fldCharType="end"/>
      </w:r>
      <w:r>
        <w:rPr>
          <w:rFonts w:hint="eastAsia" w:ascii="黑体" w:hAnsi="黑体" w:eastAsia="黑体"/>
          <w:bCs w:val="0"/>
          <w:kern w:val="2"/>
          <w:sz w:val="22"/>
          <w:szCs w:val="22"/>
        </w:rPr>
        <w:fldChar w:fldCharType="end"/>
      </w:r>
    </w:p>
    <w:p>
      <w:pPr>
        <w:pStyle w:val="51"/>
        <w:spacing w:line="480" w:lineRule="auto"/>
        <w:rPr>
          <w:rFonts w:ascii="黑体" w:hAnsi="黑体" w:eastAsia="黑体"/>
          <w:bCs w:val="0"/>
          <w:kern w:val="2"/>
          <w:sz w:val="22"/>
          <w:szCs w:val="22"/>
        </w:rPr>
      </w:pPr>
      <w:r>
        <w:fldChar w:fldCharType="begin"/>
      </w:r>
      <w:r>
        <w:instrText xml:space="preserve"> HYPERLINK \l "_Toc448002988" </w:instrText>
      </w:r>
      <w:r>
        <w:fldChar w:fldCharType="separate"/>
      </w:r>
      <w:r>
        <w:rPr>
          <w:rFonts w:hint="eastAsia"/>
          <w:bCs w:val="0"/>
          <w:kern w:val="2"/>
        </w:rPr>
        <w:t>第六章  投标文件格式</w:t>
      </w:r>
      <w:r>
        <w:rPr>
          <w:rFonts w:hint="eastAsia" w:ascii="黑体" w:hAnsi="黑体" w:eastAsia="黑体"/>
          <w:bCs w:val="0"/>
          <w:kern w:val="2"/>
          <w:sz w:val="22"/>
          <w:szCs w:val="22"/>
        </w:rPr>
        <w:tab/>
      </w:r>
      <w:r>
        <w:rPr>
          <w:rFonts w:hint="eastAsia" w:ascii="黑体" w:hAnsi="黑体" w:eastAsia="黑体"/>
          <w:bCs w:val="0"/>
          <w:kern w:val="2"/>
          <w:sz w:val="22"/>
          <w:szCs w:val="22"/>
        </w:rPr>
        <w:fldChar w:fldCharType="begin"/>
      </w:r>
      <w:r>
        <w:rPr>
          <w:rFonts w:hint="eastAsia" w:ascii="黑体" w:hAnsi="黑体" w:eastAsia="黑体"/>
          <w:bCs w:val="0"/>
          <w:kern w:val="2"/>
          <w:sz w:val="22"/>
          <w:szCs w:val="22"/>
        </w:rPr>
        <w:instrText xml:space="preserve"> PAGEREF _Toc448002988 \h </w:instrText>
      </w:r>
      <w:r>
        <w:rPr>
          <w:rFonts w:hint="eastAsia" w:ascii="黑体" w:hAnsi="黑体" w:eastAsia="黑体"/>
          <w:bCs w:val="0"/>
          <w:kern w:val="2"/>
          <w:sz w:val="22"/>
          <w:szCs w:val="22"/>
        </w:rPr>
        <w:fldChar w:fldCharType="separate"/>
      </w:r>
      <w:r>
        <w:rPr>
          <w:rFonts w:ascii="黑体" w:hAnsi="黑体" w:eastAsia="黑体"/>
          <w:bCs w:val="0"/>
          <w:kern w:val="2"/>
          <w:sz w:val="22"/>
          <w:szCs w:val="22"/>
        </w:rPr>
        <w:t>- 16 -</w:t>
      </w:r>
      <w:r>
        <w:rPr>
          <w:rFonts w:hint="eastAsia" w:ascii="黑体" w:hAnsi="黑体" w:eastAsia="黑体"/>
          <w:bCs w:val="0"/>
          <w:kern w:val="2"/>
          <w:sz w:val="22"/>
          <w:szCs w:val="22"/>
        </w:rPr>
        <w:fldChar w:fldCharType="end"/>
      </w:r>
      <w:r>
        <w:rPr>
          <w:rFonts w:hint="eastAsia" w:ascii="黑体" w:hAnsi="黑体" w:eastAsia="黑体"/>
          <w:bCs w:val="0"/>
          <w:kern w:val="2"/>
          <w:sz w:val="22"/>
          <w:szCs w:val="22"/>
        </w:rPr>
        <w:fldChar w:fldCharType="end"/>
      </w:r>
    </w:p>
    <w:p>
      <w:pPr>
        <w:pStyle w:val="51"/>
        <w:spacing w:line="480" w:lineRule="auto"/>
        <w:rPr>
          <w:rFonts w:cs="Calibri"/>
          <w:sz w:val="24"/>
        </w:rPr>
      </w:pPr>
      <w:r>
        <w:rPr>
          <w:rFonts w:hint="eastAsia" w:ascii="黑体" w:hAnsi="黑体" w:eastAsia="黑体"/>
          <w:bCs w:val="0"/>
          <w:kern w:val="2"/>
          <w:sz w:val="22"/>
          <w:szCs w:val="22"/>
        </w:rPr>
        <w:fldChar w:fldCharType="end"/>
      </w:r>
    </w:p>
    <w:p>
      <w:pPr>
        <w:spacing w:line="440" w:lineRule="exact"/>
        <w:ind w:right="480"/>
        <w:rPr>
          <w:rFonts w:cs="Calibri"/>
          <w:sz w:val="24"/>
        </w:rPr>
      </w:pPr>
    </w:p>
    <w:p>
      <w:pPr>
        <w:pStyle w:val="2"/>
        <w:spacing w:before="0" w:after="0" w:line="360" w:lineRule="auto"/>
        <w:jc w:val="center"/>
        <w:rPr>
          <w:rFonts w:ascii="Calibri" w:eastAsia="黑体" w:cs="Calibri"/>
          <w:kern w:val="0"/>
          <w:sz w:val="32"/>
        </w:rPr>
      </w:pPr>
      <w:r>
        <w:rPr>
          <w:rFonts w:ascii="Calibri" w:hAnsi="Calibri" w:cs="Calibri"/>
        </w:rPr>
        <w:br w:type="page"/>
      </w:r>
      <w:bookmarkStart w:id="12" w:name="_Toc7641"/>
      <w:bookmarkStart w:id="13" w:name="_Toc8110"/>
      <w:bookmarkStart w:id="14" w:name="_Toc24932"/>
      <w:bookmarkStart w:id="15" w:name="_Toc22293"/>
      <w:bookmarkStart w:id="16" w:name="_Toc18642"/>
      <w:bookmarkStart w:id="17" w:name="_Toc24784"/>
      <w:bookmarkStart w:id="18" w:name="_Toc14628"/>
      <w:bookmarkStart w:id="19" w:name="_Toc6581"/>
      <w:bookmarkStart w:id="20" w:name="_Toc6832"/>
      <w:bookmarkStart w:id="21" w:name="_Toc448002982"/>
      <w:bookmarkStart w:id="22" w:name="_Toc249322950"/>
      <w:bookmarkStart w:id="23" w:name="_Toc248766631"/>
      <w:r>
        <w:rPr>
          <w:rFonts w:ascii="Calibri" w:eastAsia="黑体" w:cs="Calibri"/>
          <w:kern w:val="0"/>
          <w:sz w:val="32"/>
        </w:rPr>
        <w:t>第一章</w:t>
      </w:r>
      <w:r>
        <w:rPr>
          <w:rFonts w:ascii="Calibri" w:hAnsi="Calibri" w:eastAsia="黑体" w:cs="Calibri"/>
          <w:kern w:val="0"/>
          <w:sz w:val="32"/>
        </w:rPr>
        <w:t xml:space="preserve"> </w:t>
      </w:r>
      <w:bookmarkEnd w:id="12"/>
      <w:bookmarkEnd w:id="13"/>
      <w:bookmarkEnd w:id="14"/>
      <w:bookmarkEnd w:id="15"/>
      <w:bookmarkEnd w:id="16"/>
      <w:bookmarkEnd w:id="17"/>
      <w:bookmarkEnd w:id="18"/>
      <w:bookmarkEnd w:id="19"/>
      <w:bookmarkEnd w:id="20"/>
      <w:r>
        <w:rPr>
          <w:rFonts w:hint="eastAsia" w:ascii="Calibri" w:eastAsia="黑体" w:cs="Calibri"/>
          <w:kern w:val="0"/>
          <w:sz w:val="32"/>
        </w:rPr>
        <w:t>招标公告</w:t>
      </w:r>
      <w:bookmarkEnd w:id="21"/>
    </w:p>
    <w:p>
      <w:pPr>
        <w:widowControl/>
        <w:snapToGrid w:val="0"/>
        <w:spacing w:line="340" w:lineRule="exact"/>
        <w:jc w:val="left"/>
        <w:rPr>
          <w:rFonts w:ascii="Arial" w:hAnsi="Arial" w:cs="Arial"/>
          <w:b/>
          <w:bCs/>
          <w:kern w:val="0"/>
          <w:sz w:val="22"/>
        </w:rPr>
      </w:pPr>
      <w:r>
        <w:rPr>
          <w:rFonts w:hint="eastAsia" w:ascii="Arial" w:hAnsi="Arial" w:cs="Arial"/>
          <w:b/>
          <w:bCs/>
          <w:kern w:val="0"/>
          <w:sz w:val="22"/>
        </w:rPr>
        <w:t>一、招标范围及内容</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（1）杭州萧山国际机场</w:t>
      </w:r>
      <w:r>
        <w:rPr>
          <w:rFonts w:hint="eastAsia" w:ascii="宋体" w:hAnsi="宋体" w:cs="Arial"/>
          <w:kern w:val="0"/>
          <w:sz w:val="22"/>
          <w:u w:val="single"/>
        </w:rPr>
        <w:t xml:space="preserve">  中央空调系统变频器维修</w:t>
      </w:r>
      <w:r>
        <w:rPr>
          <w:rFonts w:ascii="宋体" w:hAnsi="宋体" w:cs="Arial"/>
          <w:kern w:val="0"/>
          <w:sz w:val="22"/>
        </w:rPr>
        <w:t>项目</w:t>
      </w:r>
      <w:r>
        <w:rPr>
          <w:rFonts w:hint="eastAsia" w:ascii="宋体" w:hAnsi="宋体" w:cs="Arial"/>
          <w:kern w:val="0"/>
          <w:sz w:val="22"/>
        </w:rPr>
        <w:t>已批准建设，项目业主为杭州萧山国际机场有限公司，建设资金来源为自筹。项目已具备招标条件，现对本项目</w:t>
      </w:r>
      <w:r>
        <w:rPr>
          <w:rFonts w:hint="eastAsia" w:ascii="宋体" w:hAnsi="宋体" w:cs="Arial"/>
          <w:kern w:val="0"/>
          <w:sz w:val="22"/>
          <w:u w:val="single"/>
        </w:rPr>
        <w:t xml:space="preserve"> 中央空调系统变频器维修项目  </w:t>
      </w:r>
      <w:r>
        <w:rPr>
          <w:rFonts w:hint="eastAsia" w:ascii="宋体" w:hAnsi="宋体" w:cs="Arial"/>
          <w:kern w:val="0"/>
          <w:sz w:val="22"/>
        </w:rPr>
        <w:t>进行公开招标。</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（2）项目概况：</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T3航站楼中央空调系统用变频器2013年投入使用已有6年,经维保检测后，发现部分电源板腐蚀和老化较严重,部分变频器散热风扇存在不同程度故障，故需进行预防性更换维修，保证设备正常运行。</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维修清单:</w:t>
      </w:r>
    </w:p>
    <w:tbl>
      <w:tblPr>
        <w:tblStyle w:val="4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263"/>
        <w:gridCol w:w="1696"/>
        <w:gridCol w:w="1501"/>
        <w:gridCol w:w="3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tcPr>
          <w:p>
            <w:pPr>
              <w:spacing w:line="360" w:lineRule="auto"/>
              <w:rPr>
                <w:rFonts w:ascii="宋体" w:hAnsi="宋体" w:eastAsia="宋体" w:cs="Times New Roman"/>
                <w:sz w:val="24"/>
              </w:rPr>
            </w:pPr>
            <w:r>
              <w:rPr>
                <w:rFonts w:hint="eastAsia" w:ascii="宋体" w:hAnsi="宋体" w:eastAsia="宋体" w:cs="Times New Roman"/>
                <w:sz w:val="24"/>
              </w:rPr>
              <w:t>序号</w:t>
            </w:r>
          </w:p>
        </w:tc>
        <w:tc>
          <w:tcPr>
            <w:tcW w:w="1263" w:type="dxa"/>
          </w:tcPr>
          <w:p>
            <w:pPr>
              <w:spacing w:line="360" w:lineRule="auto"/>
              <w:rPr>
                <w:rFonts w:ascii="宋体" w:hAnsi="宋体" w:eastAsia="宋体" w:cs="Times New Roman"/>
                <w:sz w:val="24"/>
              </w:rPr>
            </w:pPr>
            <w:r>
              <w:rPr>
                <w:rFonts w:hint="eastAsia" w:ascii="宋体" w:hAnsi="宋体" w:eastAsia="宋体" w:cs="Times New Roman"/>
                <w:sz w:val="24"/>
              </w:rPr>
              <w:t>维修部件</w:t>
            </w:r>
          </w:p>
        </w:tc>
        <w:tc>
          <w:tcPr>
            <w:tcW w:w="1696" w:type="dxa"/>
          </w:tcPr>
          <w:p>
            <w:pPr>
              <w:spacing w:line="360" w:lineRule="auto"/>
              <w:rPr>
                <w:rFonts w:ascii="宋体" w:hAnsi="宋体" w:eastAsia="宋体" w:cs="Times New Roman"/>
                <w:sz w:val="24"/>
              </w:rPr>
            </w:pPr>
            <w:r>
              <w:rPr>
                <w:rFonts w:hint="eastAsia" w:ascii="宋体" w:hAnsi="宋体" w:eastAsia="宋体" w:cs="Times New Roman"/>
                <w:sz w:val="24"/>
              </w:rPr>
              <w:t>变频器型号</w:t>
            </w:r>
          </w:p>
        </w:tc>
        <w:tc>
          <w:tcPr>
            <w:tcW w:w="1501" w:type="dxa"/>
          </w:tcPr>
          <w:p>
            <w:pPr>
              <w:spacing w:line="360" w:lineRule="auto"/>
              <w:rPr>
                <w:rFonts w:ascii="宋体" w:hAnsi="宋体" w:eastAsia="宋体" w:cs="Times New Roman"/>
                <w:sz w:val="24"/>
              </w:rPr>
            </w:pPr>
            <w:r>
              <w:rPr>
                <w:rFonts w:hint="eastAsia" w:ascii="宋体" w:hAnsi="宋体" w:eastAsia="宋体" w:cs="Times New Roman"/>
                <w:sz w:val="24"/>
              </w:rPr>
              <w:t>数量</w:t>
            </w:r>
          </w:p>
        </w:tc>
        <w:tc>
          <w:tcPr>
            <w:tcW w:w="3303" w:type="dxa"/>
          </w:tcPr>
          <w:p>
            <w:pPr>
              <w:spacing w:line="360" w:lineRule="auto"/>
              <w:rPr>
                <w:rFonts w:ascii="宋体" w:hAnsi="宋体" w:eastAsia="宋体" w:cs="Times New Roman"/>
                <w:sz w:val="24"/>
              </w:rPr>
            </w:pPr>
            <w:r>
              <w:rPr>
                <w:rFonts w:hint="eastAsia" w:ascii="宋体" w:hAnsi="宋体" w:eastAsia="宋体"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tcPr>
          <w:p>
            <w:pPr>
              <w:spacing w:line="360" w:lineRule="auto"/>
              <w:rPr>
                <w:rFonts w:ascii="宋体" w:hAnsi="宋体" w:eastAsia="宋体" w:cs="Times New Roman"/>
                <w:sz w:val="24"/>
              </w:rPr>
            </w:pPr>
            <w:r>
              <w:rPr>
                <w:rFonts w:hint="eastAsia" w:ascii="宋体" w:hAnsi="宋体" w:eastAsia="宋体" w:cs="Times New Roman"/>
                <w:sz w:val="24"/>
              </w:rPr>
              <w:t>1</w:t>
            </w:r>
          </w:p>
        </w:tc>
        <w:tc>
          <w:tcPr>
            <w:tcW w:w="1263" w:type="dxa"/>
          </w:tcPr>
          <w:p>
            <w:pPr>
              <w:spacing w:line="360" w:lineRule="auto"/>
              <w:rPr>
                <w:rFonts w:ascii="宋体" w:hAnsi="宋体" w:eastAsia="宋体" w:cs="Times New Roman"/>
                <w:sz w:val="24"/>
              </w:rPr>
            </w:pPr>
            <w:r>
              <w:rPr>
                <w:rFonts w:hint="eastAsia" w:ascii="宋体" w:hAnsi="宋体" w:eastAsia="宋体" w:cs="Times New Roman"/>
                <w:sz w:val="24"/>
              </w:rPr>
              <w:t>电源板</w:t>
            </w:r>
          </w:p>
        </w:tc>
        <w:tc>
          <w:tcPr>
            <w:tcW w:w="1696" w:type="dxa"/>
          </w:tcPr>
          <w:p>
            <w:pPr>
              <w:spacing w:line="360" w:lineRule="auto"/>
              <w:rPr>
                <w:rFonts w:ascii="宋体" w:hAnsi="宋体" w:eastAsia="宋体" w:cs="Times New Roman"/>
                <w:sz w:val="24"/>
              </w:rPr>
            </w:pPr>
            <w:r>
              <w:rPr>
                <w:rFonts w:hint="eastAsia" w:ascii="宋体" w:hAnsi="宋体" w:eastAsia="宋体" w:cs="Times New Roman"/>
                <w:sz w:val="24"/>
              </w:rPr>
              <w:t>ATV 61 HD90N4</w:t>
            </w:r>
          </w:p>
        </w:tc>
        <w:tc>
          <w:tcPr>
            <w:tcW w:w="1501" w:type="dxa"/>
          </w:tcPr>
          <w:p>
            <w:pPr>
              <w:spacing w:line="360" w:lineRule="auto"/>
              <w:rPr>
                <w:rFonts w:ascii="宋体" w:hAnsi="宋体" w:eastAsia="宋体" w:cs="Times New Roman"/>
                <w:sz w:val="24"/>
              </w:rPr>
            </w:pPr>
            <w:r>
              <w:rPr>
                <w:rFonts w:hint="eastAsia" w:ascii="宋体" w:hAnsi="宋体" w:eastAsia="宋体" w:cs="Times New Roman"/>
                <w:sz w:val="24"/>
              </w:rPr>
              <w:t>4</w:t>
            </w:r>
          </w:p>
        </w:tc>
        <w:tc>
          <w:tcPr>
            <w:tcW w:w="3303" w:type="dxa"/>
          </w:tcPr>
          <w:p>
            <w:pPr>
              <w:spacing w:line="360" w:lineRule="auto"/>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tcPr>
          <w:p>
            <w:pPr>
              <w:spacing w:line="360" w:lineRule="auto"/>
              <w:rPr>
                <w:rFonts w:ascii="宋体" w:hAnsi="宋体" w:eastAsia="宋体" w:cs="Times New Roman"/>
                <w:sz w:val="24"/>
              </w:rPr>
            </w:pPr>
            <w:r>
              <w:rPr>
                <w:rFonts w:hint="eastAsia" w:ascii="宋体" w:hAnsi="宋体" w:eastAsia="宋体" w:cs="Times New Roman"/>
                <w:sz w:val="24"/>
              </w:rPr>
              <w:t>2</w:t>
            </w:r>
          </w:p>
        </w:tc>
        <w:tc>
          <w:tcPr>
            <w:tcW w:w="1263" w:type="dxa"/>
          </w:tcPr>
          <w:p>
            <w:pPr>
              <w:spacing w:line="360" w:lineRule="auto"/>
              <w:rPr>
                <w:rFonts w:ascii="宋体" w:hAnsi="宋体" w:eastAsia="宋体" w:cs="Times New Roman"/>
                <w:sz w:val="24"/>
              </w:rPr>
            </w:pPr>
            <w:r>
              <w:rPr>
                <w:rFonts w:hint="eastAsia" w:ascii="宋体" w:hAnsi="宋体" w:eastAsia="宋体" w:cs="Times New Roman"/>
                <w:sz w:val="24"/>
              </w:rPr>
              <w:t>电源板</w:t>
            </w:r>
          </w:p>
        </w:tc>
        <w:tc>
          <w:tcPr>
            <w:tcW w:w="1696" w:type="dxa"/>
          </w:tcPr>
          <w:p>
            <w:pPr>
              <w:spacing w:line="360" w:lineRule="auto"/>
              <w:rPr>
                <w:rFonts w:ascii="宋体" w:hAnsi="宋体" w:eastAsia="宋体" w:cs="Times New Roman"/>
                <w:sz w:val="24"/>
              </w:rPr>
            </w:pPr>
            <w:r>
              <w:rPr>
                <w:rFonts w:hint="eastAsia" w:ascii="宋体" w:hAnsi="宋体" w:eastAsia="宋体" w:cs="Times New Roman"/>
                <w:sz w:val="24"/>
              </w:rPr>
              <w:t>ATV 61 HD75N4</w:t>
            </w:r>
          </w:p>
        </w:tc>
        <w:tc>
          <w:tcPr>
            <w:tcW w:w="1501" w:type="dxa"/>
          </w:tcPr>
          <w:p>
            <w:pPr>
              <w:spacing w:line="360" w:lineRule="auto"/>
              <w:rPr>
                <w:rFonts w:ascii="宋体" w:hAnsi="宋体" w:eastAsia="宋体" w:cs="Times New Roman"/>
                <w:sz w:val="24"/>
              </w:rPr>
            </w:pPr>
            <w:r>
              <w:rPr>
                <w:rFonts w:hint="eastAsia" w:ascii="宋体" w:hAnsi="宋体" w:eastAsia="宋体" w:cs="Times New Roman"/>
                <w:sz w:val="24"/>
              </w:rPr>
              <w:t>4</w:t>
            </w:r>
          </w:p>
        </w:tc>
        <w:tc>
          <w:tcPr>
            <w:tcW w:w="3303" w:type="dxa"/>
          </w:tcPr>
          <w:p>
            <w:pPr>
              <w:spacing w:line="360" w:lineRule="auto"/>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tcPr>
          <w:p>
            <w:pPr>
              <w:spacing w:line="360" w:lineRule="auto"/>
              <w:rPr>
                <w:rFonts w:ascii="宋体" w:hAnsi="宋体" w:eastAsia="宋体" w:cs="Times New Roman"/>
                <w:sz w:val="24"/>
              </w:rPr>
            </w:pPr>
            <w:r>
              <w:rPr>
                <w:rFonts w:hint="eastAsia" w:ascii="宋体" w:hAnsi="宋体" w:eastAsia="宋体" w:cs="Times New Roman"/>
                <w:sz w:val="24"/>
              </w:rPr>
              <w:t>3</w:t>
            </w:r>
          </w:p>
        </w:tc>
        <w:tc>
          <w:tcPr>
            <w:tcW w:w="1263" w:type="dxa"/>
          </w:tcPr>
          <w:p>
            <w:pPr>
              <w:spacing w:line="360" w:lineRule="auto"/>
              <w:rPr>
                <w:rFonts w:ascii="宋体" w:hAnsi="宋体" w:eastAsia="宋体" w:cs="Times New Roman"/>
                <w:sz w:val="24"/>
              </w:rPr>
            </w:pPr>
            <w:r>
              <w:rPr>
                <w:rFonts w:hint="eastAsia" w:ascii="宋体" w:hAnsi="宋体" w:eastAsia="宋体" w:cs="Times New Roman"/>
                <w:sz w:val="24"/>
              </w:rPr>
              <w:t xml:space="preserve">散热风机 </w:t>
            </w:r>
          </w:p>
        </w:tc>
        <w:tc>
          <w:tcPr>
            <w:tcW w:w="1696" w:type="dxa"/>
          </w:tcPr>
          <w:p>
            <w:pPr>
              <w:spacing w:line="360" w:lineRule="auto"/>
              <w:rPr>
                <w:rFonts w:ascii="宋体" w:hAnsi="宋体" w:eastAsia="宋体" w:cs="Times New Roman"/>
                <w:sz w:val="24"/>
              </w:rPr>
            </w:pPr>
            <w:r>
              <w:rPr>
                <w:rFonts w:hint="eastAsia" w:ascii="宋体" w:hAnsi="宋体" w:eastAsia="宋体" w:cs="Times New Roman"/>
                <w:sz w:val="24"/>
              </w:rPr>
              <w:t>ATV 61 HD90N4</w:t>
            </w:r>
          </w:p>
        </w:tc>
        <w:tc>
          <w:tcPr>
            <w:tcW w:w="1501" w:type="dxa"/>
          </w:tcPr>
          <w:p>
            <w:pPr>
              <w:spacing w:line="360" w:lineRule="auto"/>
              <w:rPr>
                <w:rFonts w:ascii="宋体" w:hAnsi="宋体" w:eastAsia="宋体" w:cs="Times New Roman"/>
                <w:sz w:val="24"/>
              </w:rPr>
            </w:pPr>
            <w:r>
              <w:rPr>
                <w:rFonts w:hint="eastAsia" w:ascii="宋体" w:hAnsi="宋体" w:eastAsia="宋体" w:cs="Times New Roman"/>
                <w:sz w:val="24"/>
              </w:rPr>
              <w:t>6</w:t>
            </w:r>
          </w:p>
        </w:tc>
        <w:tc>
          <w:tcPr>
            <w:tcW w:w="3303" w:type="dxa"/>
          </w:tcPr>
          <w:p>
            <w:pPr>
              <w:spacing w:line="360" w:lineRule="auto"/>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tcPr>
          <w:p>
            <w:pPr>
              <w:spacing w:line="360" w:lineRule="auto"/>
              <w:rPr>
                <w:rFonts w:ascii="宋体" w:hAnsi="宋体" w:eastAsia="宋体" w:cs="Times New Roman"/>
                <w:sz w:val="24"/>
              </w:rPr>
            </w:pPr>
            <w:r>
              <w:rPr>
                <w:rFonts w:hint="eastAsia" w:ascii="宋体" w:hAnsi="宋体" w:eastAsia="宋体" w:cs="Times New Roman"/>
                <w:sz w:val="24"/>
              </w:rPr>
              <w:t>4</w:t>
            </w:r>
          </w:p>
        </w:tc>
        <w:tc>
          <w:tcPr>
            <w:tcW w:w="1263" w:type="dxa"/>
          </w:tcPr>
          <w:p>
            <w:pPr>
              <w:spacing w:line="360" w:lineRule="auto"/>
              <w:rPr>
                <w:rFonts w:ascii="宋体" w:hAnsi="宋体" w:eastAsia="宋体" w:cs="Times New Roman"/>
                <w:sz w:val="24"/>
              </w:rPr>
            </w:pPr>
            <w:r>
              <w:rPr>
                <w:rFonts w:hint="eastAsia" w:ascii="宋体" w:hAnsi="宋体" w:eastAsia="宋体" w:cs="Times New Roman"/>
                <w:sz w:val="24"/>
              </w:rPr>
              <w:t>散热风机</w:t>
            </w:r>
          </w:p>
        </w:tc>
        <w:tc>
          <w:tcPr>
            <w:tcW w:w="1696" w:type="dxa"/>
          </w:tcPr>
          <w:p>
            <w:pPr>
              <w:spacing w:line="360" w:lineRule="auto"/>
              <w:rPr>
                <w:rFonts w:ascii="宋体" w:hAnsi="宋体" w:eastAsia="宋体" w:cs="Times New Roman"/>
                <w:sz w:val="24"/>
              </w:rPr>
            </w:pPr>
            <w:r>
              <w:rPr>
                <w:rFonts w:hint="eastAsia" w:ascii="宋体" w:hAnsi="宋体" w:eastAsia="宋体" w:cs="Times New Roman"/>
                <w:sz w:val="24"/>
              </w:rPr>
              <w:t>ATV 61 HD75N4</w:t>
            </w:r>
          </w:p>
        </w:tc>
        <w:tc>
          <w:tcPr>
            <w:tcW w:w="1501" w:type="dxa"/>
          </w:tcPr>
          <w:p>
            <w:pPr>
              <w:spacing w:line="360" w:lineRule="auto"/>
              <w:rPr>
                <w:rFonts w:ascii="宋体" w:hAnsi="宋体" w:eastAsia="宋体" w:cs="Times New Roman"/>
                <w:sz w:val="24"/>
              </w:rPr>
            </w:pPr>
            <w:r>
              <w:rPr>
                <w:rFonts w:hint="eastAsia" w:ascii="宋体" w:hAnsi="宋体" w:eastAsia="宋体" w:cs="Times New Roman"/>
                <w:sz w:val="24"/>
              </w:rPr>
              <w:t>12</w:t>
            </w:r>
          </w:p>
        </w:tc>
        <w:tc>
          <w:tcPr>
            <w:tcW w:w="3303" w:type="dxa"/>
          </w:tcPr>
          <w:p>
            <w:pPr>
              <w:spacing w:line="360" w:lineRule="auto"/>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tcPr>
          <w:p>
            <w:pPr>
              <w:spacing w:line="360" w:lineRule="auto"/>
              <w:rPr>
                <w:rFonts w:ascii="宋体" w:hAnsi="宋体" w:eastAsia="宋体" w:cs="Times New Roman"/>
                <w:sz w:val="24"/>
              </w:rPr>
            </w:pPr>
            <w:r>
              <w:rPr>
                <w:rFonts w:hint="eastAsia" w:ascii="宋体" w:hAnsi="宋体" w:eastAsia="宋体" w:cs="Times New Roman"/>
                <w:sz w:val="24"/>
              </w:rPr>
              <w:t>5</w:t>
            </w:r>
          </w:p>
        </w:tc>
        <w:tc>
          <w:tcPr>
            <w:tcW w:w="1263" w:type="dxa"/>
          </w:tcPr>
          <w:p>
            <w:pPr>
              <w:spacing w:line="360" w:lineRule="auto"/>
              <w:rPr>
                <w:rFonts w:ascii="宋体" w:hAnsi="宋体" w:eastAsia="宋体" w:cs="Times New Roman"/>
                <w:sz w:val="24"/>
              </w:rPr>
            </w:pPr>
            <w:r>
              <w:rPr>
                <w:rFonts w:hint="eastAsia" w:ascii="宋体" w:hAnsi="宋体" w:eastAsia="宋体" w:cs="Times New Roman"/>
                <w:sz w:val="24"/>
              </w:rPr>
              <w:t>散热风机</w:t>
            </w:r>
          </w:p>
        </w:tc>
        <w:tc>
          <w:tcPr>
            <w:tcW w:w="1696" w:type="dxa"/>
          </w:tcPr>
          <w:p>
            <w:pPr>
              <w:spacing w:line="360" w:lineRule="auto"/>
              <w:rPr>
                <w:rFonts w:ascii="宋体" w:hAnsi="宋体" w:eastAsia="宋体" w:cs="Times New Roman"/>
                <w:sz w:val="24"/>
              </w:rPr>
            </w:pPr>
            <w:r>
              <w:rPr>
                <w:rFonts w:hint="eastAsia" w:ascii="宋体" w:hAnsi="宋体" w:eastAsia="宋体" w:cs="Times New Roman"/>
                <w:sz w:val="24"/>
              </w:rPr>
              <w:t>ATV 61 HD30N4</w:t>
            </w:r>
          </w:p>
        </w:tc>
        <w:tc>
          <w:tcPr>
            <w:tcW w:w="1501" w:type="dxa"/>
          </w:tcPr>
          <w:p>
            <w:pPr>
              <w:spacing w:line="360" w:lineRule="auto"/>
              <w:rPr>
                <w:rFonts w:ascii="宋体" w:hAnsi="宋体" w:eastAsia="宋体" w:cs="Times New Roman"/>
                <w:sz w:val="24"/>
              </w:rPr>
            </w:pPr>
            <w:r>
              <w:rPr>
                <w:rFonts w:hint="eastAsia" w:ascii="宋体" w:hAnsi="宋体" w:eastAsia="宋体" w:cs="Times New Roman"/>
                <w:sz w:val="24"/>
              </w:rPr>
              <w:t>9</w:t>
            </w:r>
          </w:p>
        </w:tc>
        <w:tc>
          <w:tcPr>
            <w:tcW w:w="3303" w:type="dxa"/>
          </w:tcPr>
          <w:p>
            <w:pPr>
              <w:spacing w:line="360" w:lineRule="auto"/>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tcPr>
          <w:p>
            <w:pPr>
              <w:spacing w:line="360" w:lineRule="auto"/>
              <w:rPr>
                <w:rFonts w:ascii="宋体" w:hAnsi="宋体" w:eastAsia="宋体" w:cs="Times New Roman"/>
                <w:sz w:val="24"/>
              </w:rPr>
            </w:pPr>
            <w:r>
              <w:rPr>
                <w:rFonts w:hint="eastAsia" w:ascii="宋体" w:hAnsi="宋体" w:eastAsia="宋体" w:cs="Times New Roman"/>
                <w:sz w:val="24"/>
              </w:rPr>
              <w:t>6</w:t>
            </w:r>
          </w:p>
        </w:tc>
        <w:tc>
          <w:tcPr>
            <w:tcW w:w="1263" w:type="dxa"/>
          </w:tcPr>
          <w:p>
            <w:pPr>
              <w:spacing w:line="360" w:lineRule="auto"/>
              <w:rPr>
                <w:rFonts w:ascii="宋体" w:hAnsi="宋体" w:eastAsia="宋体" w:cs="Times New Roman"/>
                <w:sz w:val="24"/>
              </w:rPr>
            </w:pPr>
            <w:r>
              <w:rPr>
                <w:rFonts w:hint="eastAsia" w:ascii="宋体" w:hAnsi="宋体" w:eastAsia="宋体" w:cs="Times New Roman"/>
                <w:sz w:val="24"/>
              </w:rPr>
              <w:t>散热风机</w:t>
            </w:r>
          </w:p>
        </w:tc>
        <w:tc>
          <w:tcPr>
            <w:tcW w:w="1696" w:type="dxa"/>
          </w:tcPr>
          <w:p>
            <w:pPr>
              <w:spacing w:line="360" w:lineRule="auto"/>
              <w:rPr>
                <w:rFonts w:ascii="宋体" w:hAnsi="宋体" w:eastAsia="宋体" w:cs="Times New Roman"/>
                <w:sz w:val="24"/>
              </w:rPr>
            </w:pPr>
            <w:r>
              <w:rPr>
                <w:rFonts w:hint="eastAsia" w:ascii="宋体" w:hAnsi="宋体" w:eastAsia="宋体" w:cs="Times New Roman"/>
                <w:sz w:val="24"/>
              </w:rPr>
              <w:t>ATV 61 HD45N4</w:t>
            </w:r>
          </w:p>
        </w:tc>
        <w:tc>
          <w:tcPr>
            <w:tcW w:w="1501" w:type="dxa"/>
          </w:tcPr>
          <w:p>
            <w:pPr>
              <w:spacing w:line="360" w:lineRule="auto"/>
              <w:rPr>
                <w:rFonts w:ascii="宋体" w:hAnsi="宋体" w:eastAsia="宋体" w:cs="Times New Roman"/>
                <w:sz w:val="24"/>
              </w:rPr>
            </w:pPr>
            <w:r>
              <w:rPr>
                <w:rFonts w:hint="eastAsia" w:ascii="宋体" w:hAnsi="宋体" w:eastAsia="宋体" w:cs="Times New Roman"/>
                <w:sz w:val="24"/>
              </w:rPr>
              <w:t>4</w:t>
            </w:r>
          </w:p>
        </w:tc>
        <w:tc>
          <w:tcPr>
            <w:tcW w:w="3303" w:type="dxa"/>
          </w:tcPr>
          <w:p>
            <w:pPr>
              <w:spacing w:line="360" w:lineRule="auto"/>
              <w:rPr>
                <w:rFonts w:ascii="宋体" w:hAnsi="宋体" w:eastAsia="宋体" w:cs="Times New Roman"/>
                <w:sz w:val="24"/>
              </w:rPr>
            </w:pPr>
            <w:r>
              <w:rPr>
                <w:rFonts w:hint="eastAsia" w:ascii="宋体" w:hAnsi="宋体" w:eastAsia="宋体" w:cs="Times New Roman"/>
                <w:sz w:val="24"/>
              </w:rPr>
              <w:t>更换</w:t>
            </w:r>
          </w:p>
        </w:tc>
      </w:tr>
    </w:tbl>
    <w:p>
      <w:pPr>
        <w:widowControl/>
        <w:adjustRightInd w:val="0"/>
        <w:snapToGrid w:val="0"/>
        <w:spacing w:line="340" w:lineRule="exact"/>
        <w:rPr>
          <w:rFonts w:ascii="宋体" w:hAnsi="宋体" w:cs="Arial"/>
          <w:kern w:val="0"/>
          <w:sz w:val="22"/>
        </w:rPr>
      </w:pP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w:t>
      </w:r>
      <w:r>
        <w:rPr>
          <w:rFonts w:ascii="宋体" w:hAnsi="宋体" w:cs="Arial"/>
          <w:kern w:val="0"/>
          <w:sz w:val="22"/>
        </w:rPr>
        <w:t>项目位于</w:t>
      </w:r>
      <w:r>
        <w:rPr>
          <w:rFonts w:hint="eastAsia" w:ascii="宋体" w:hAnsi="宋体" w:cs="Arial"/>
          <w:kern w:val="0"/>
          <w:sz w:val="22"/>
          <w:u w:val="single"/>
        </w:rPr>
        <w:t xml:space="preserve">  T3航站楼内    </w:t>
      </w:r>
      <w:r>
        <w:rPr>
          <w:rFonts w:ascii="宋体" w:hAnsi="宋体" w:cs="Arial"/>
          <w:kern w:val="0"/>
          <w:sz w:val="22"/>
        </w:rPr>
        <w:t>，</w:t>
      </w:r>
      <w:r>
        <w:rPr>
          <w:rFonts w:hint="eastAsia" w:ascii="宋体" w:hAnsi="宋体" w:cs="Arial"/>
          <w:kern w:val="0"/>
          <w:sz w:val="22"/>
        </w:rPr>
        <w:t>具体要求详见第三章“服务技术标准及要求”。</w:t>
      </w:r>
    </w:p>
    <w:p>
      <w:pPr>
        <w:widowControl/>
        <w:numPr>
          <w:ilvl w:val="0"/>
          <w:numId w:val="1"/>
        </w:numPr>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招标内容：</w:t>
      </w:r>
    </w:p>
    <w:p>
      <w:pPr>
        <w:widowControl/>
        <w:numPr>
          <w:ilvl w:val="0"/>
          <w:numId w:val="2"/>
        </w:numPr>
        <w:tabs>
          <w:tab w:val="clear" w:pos="312"/>
        </w:tabs>
        <w:adjustRightInd w:val="0"/>
        <w:snapToGrid w:val="0"/>
        <w:spacing w:line="340" w:lineRule="exact"/>
        <w:ind w:firstLine="880" w:firstLineChars="400"/>
        <w:rPr>
          <w:rFonts w:ascii="宋体" w:hAnsi="宋体" w:cs="Arial"/>
          <w:kern w:val="0"/>
          <w:sz w:val="22"/>
        </w:rPr>
      </w:pPr>
      <w:r>
        <w:rPr>
          <w:rFonts w:hint="eastAsia" w:ascii="宋体" w:hAnsi="宋体" w:cs="Arial"/>
          <w:kern w:val="0"/>
          <w:sz w:val="22"/>
        </w:rPr>
        <w:t>制定和编制维修计划</w:t>
      </w:r>
    </w:p>
    <w:p>
      <w:pPr>
        <w:widowControl/>
        <w:numPr>
          <w:ilvl w:val="0"/>
          <w:numId w:val="2"/>
        </w:numPr>
        <w:tabs>
          <w:tab w:val="clear" w:pos="312"/>
        </w:tabs>
        <w:adjustRightInd w:val="0"/>
        <w:snapToGrid w:val="0"/>
        <w:spacing w:line="340" w:lineRule="exact"/>
        <w:ind w:firstLine="880" w:firstLineChars="400"/>
        <w:rPr>
          <w:rFonts w:ascii="宋体" w:hAnsi="宋体" w:cs="Arial"/>
          <w:kern w:val="0"/>
          <w:sz w:val="22"/>
        </w:rPr>
      </w:pPr>
      <w:r>
        <w:rPr>
          <w:rFonts w:hint="eastAsia" w:ascii="宋体" w:hAnsi="宋体" w:cs="Arial"/>
          <w:kern w:val="0"/>
          <w:sz w:val="22"/>
        </w:rPr>
        <w:t>对招标文件规定的变频器进行专业维修及售后服务</w:t>
      </w:r>
    </w:p>
    <w:p>
      <w:pPr>
        <w:widowControl/>
        <w:numPr>
          <w:ilvl w:val="0"/>
          <w:numId w:val="2"/>
        </w:numPr>
        <w:tabs>
          <w:tab w:val="clear" w:pos="312"/>
        </w:tabs>
        <w:adjustRightInd w:val="0"/>
        <w:snapToGrid w:val="0"/>
        <w:spacing w:line="340" w:lineRule="exact"/>
        <w:ind w:firstLine="880" w:firstLineChars="400"/>
        <w:rPr>
          <w:rFonts w:ascii="宋体" w:hAnsi="宋体" w:cs="Arial"/>
          <w:kern w:val="0"/>
          <w:sz w:val="22"/>
        </w:rPr>
      </w:pPr>
      <w:r>
        <w:rPr>
          <w:rFonts w:hint="eastAsia" w:ascii="宋体" w:hAnsi="宋体" w:cs="Arial"/>
          <w:kern w:val="0"/>
          <w:sz w:val="22"/>
        </w:rPr>
        <w:t>做好对招标人理论培训和咨询工作</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（4）服务期：2019年10月1日—201</w:t>
      </w:r>
      <w:r>
        <w:rPr>
          <w:rFonts w:hint="eastAsia" w:ascii="宋体" w:hAnsi="宋体" w:eastAsia="宋体" w:cs="Arial"/>
          <w:kern w:val="0"/>
          <w:sz w:val="22"/>
        </w:rPr>
        <w:t>9</w:t>
      </w:r>
      <w:r>
        <w:rPr>
          <w:rFonts w:hint="eastAsia" w:ascii="宋体" w:hAnsi="宋体" w:cs="Arial"/>
          <w:kern w:val="0"/>
          <w:sz w:val="22"/>
        </w:rPr>
        <w:t>年10月31日</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二、</w:t>
      </w:r>
      <w:r>
        <w:rPr>
          <w:rFonts w:ascii="Arial" w:hAnsi="Arial" w:cs="Arial"/>
          <w:b/>
          <w:bCs/>
          <w:kern w:val="0"/>
          <w:sz w:val="22"/>
        </w:rPr>
        <w:t> </w:t>
      </w:r>
      <w:r>
        <w:rPr>
          <w:rFonts w:hint="eastAsia" w:ascii="Arial" w:hAnsi="Arial" w:cs="Arial"/>
          <w:b/>
          <w:bCs/>
          <w:kern w:val="0"/>
          <w:sz w:val="22"/>
        </w:rPr>
        <w:t>投标人资格要求</w:t>
      </w:r>
      <w:r>
        <w:rPr>
          <w:rFonts w:ascii="Arial" w:hAnsi="Arial" w:cs="Arial"/>
          <w:b/>
          <w:bCs/>
          <w:kern w:val="0"/>
          <w:sz w:val="22"/>
        </w:rPr>
        <w:t> </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（1）企业注册资金50万人民币及以上，</w:t>
      </w:r>
      <w:r>
        <w:rPr>
          <w:rFonts w:ascii="宋体" w:hAnsi="宋体" w:cs="Arial"/>
          <w:kern w:val="0"/>
          <w:sz w:val="22"/>
        </w:rPr>
        <w:t>具有独立法人资格，持有有效营业执照；</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能独立承担民事责任和履行合同能力，具有良好的商业信誉和健全的财务会计管理制度，有依法缴纳税收和社会保障资金的良好记录，在本次招标前三年内的经营活动中没有重大违法记录和不良记录（须提供证明材料，否则不予认可，原件备查）；</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（3）投标人</w:t>
      </w:r>
      <w:r>
        <w:rPr>
          <w:rFonts w:ascii="宋体" w:hAnsi="宋体" w:cs="Arial"/>
          <w:kern w:val="0"/>
          <w:sz w:val="22"/>
        </w:rPr>
        <w:t>具有一般纳税人</w:t>
      </w:r>
      <w:r>
        <w:rPr>
          <w:rFonts w:hint="eastAsia" w:ascii="宋体" w:hAnsi="宋体" w:cs="Arial"/>
          <w:kern w:val="0"/>
          <w:sz w:val="22"/>
        </w:rPr>
        <w:t>资格</w:t>
      </w:r>
      <w:r>
        <w:rPr>
          <w:rFonts w:ascii="宋体" w:hAnsi="宋体" w:cs="Arial"/>
          <w:kern w:val="0"/>
          <w:sz w:val="22"/>
        </w:rPr>
        <w:t>，可提供税率为</w:t>
      </w:r>
      <w:r>
        <w:rPr>
          <w:rFonts w:hint="eastAsia" w:ascii="宋体" w:hAnsi="宋体" w:cs="Arial"/>
          <w:kern w:val="0"/>
          <w:sz w:val="22"/>
        </w:rPr>
        <w:t>13</w:t>
      </w:r>
      <w:r>
        <w:rPr>
          <w:rFonts w:ascii="宋体" w:hAnsi="宋体" w:cs="Arial"/>
          <w:kern w:val="0"/>
          <w:sz w:val="22"/>
        </w:rPr>
        <w:t>%的增值税专用发票</w:t>
      </w:r>
      <w:r>
        <w:rPr>
          <w:rFonts w:hint="eastAsia" w:ascii="宋体" w:hAnsi="宋体" w:cs="Arial"/>
          <w:kern w:val="0"/>
          <w:sz w:val="22"/>
        </w:rPr>
        <w:t>（需提供税务机关出具的一般纳税人资格认定相关证明材料复印件并加盖投标人公章作为证明材料，原件备查）；</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（4）近三年（2016年至投标截止日）</w:t>
      </w:r>
      <w:r>
        <w:rPr>
          <w:rFonts w:hint="eastAsia" w:ascii="宋体" w:hAnsi="宋体" w:cs="Arial"/>
          <w:b/>
          <w:kern w:val="0"/>
          <w:sz w:val="22"/>
        </w:rPr>
        <w:t>有1个以上（含）变频器维修项目合同金额≥5万的业绩</w:t>
      </w:r>
      <w:r>
        <w:rPr>
          <w:rFonts w:hint="eastAsia" w:ascii="宋体" w:hAnsi="宋体" w:cs="Arial"/>
          <w:kern w:val="0"/>
          <w:sz w:val="22"/>
        </w:rPr>
        <w:t xml:space="preserve">（须提供合同复印件并加盖公章作为证明材料，原件备查）； </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（5）投标人须具备变频器维修维护能力，并在人员、设备、资金等方面具有相应的能力，维修人员必须持有低压电工作业证（提供有效期内的证件复印件并加盖公章，原件备查）。</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（6）本次招标不接受联合体投标。</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四、投标文件的递交</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（1）投标文件递交截止时间：2019年</w:t>
      </w:r>
      <w:r>
        <w:rPr>
          <w:rFonts w:hint="eastAsia" w:ascii="宋体" w:hAnsi="宋体" w:cs="Arial"/>
          <w:kern w:val="0"/>
          <w:sz w:val="22"/>
          <w:lang w:val="en-US" w:eastAsia="zh-CN"/>
        </w:rPr>
        <w:t>7</w:t>
      </w:r>
      <w:r>
        <w:rPr>
          <w:rFonts w:hint="eastAsia" w:ascii="宋体" w:hAnsi="宋体" w:cs="Arial"/>
          <w:kern w:val="0"/>
          <w:sz w:val="22"/>
        </w:rPr>
        <w:t>月</w:t>
      </w:r>
      <w:r>
        <w:rPr>
          <w:rFonts w:hint="eastAsia" w:ascii="宋体" w:hAnsi="宋体" w:cs="Arial"/>
          <w:kern w:val="0"/>
          <w:sz w:val="22"/>
          <w:lang w:val="en-US" w:eastAsia="zh-CN"/>
        </w:rPr>
        <w:t>15</w:t>
      </w:r>
      <w:r>
        <w:rPr>
          <w:rFonts w:hint="eastAsia" w:ascii="宋体" w:hAnsi="宋体" w:cs="Arial"/>
          <w:kern w:val="0"/>
          <w:sz w:val="22"/>
        </w:rPr>
        <w:t>日上午9时</w:t>
      </w:r>
      <w:r>
        <w:rPr>
          <w:rFonts w:ascii="宋体" w:hAnsi="宋体" w:cs="Arial"/>
          <w:kern w:val="0"/>
          <w:sz w:val="22"/>
        </w:rPr>
        <w:t>30</w:t>
      </w:r>
      <w:r>
        <w:rPr>
          <w:rFonts w:hint="eastAsia" w:ascii="宋体" w:hAnsi="宋体" w:cs="Arial"/>
          <w:kern w:val="0"/>
          <w:sz w:val="22"/>
        </w:rPr>
        <w:t>分（北京时间）。投标文件在封口处加盖公章，并派专人于2019年</w:t>
      </w:r>
      <w:r>
        <w:rPr>
          <w:rFonts w:hint="eastAsia" w:ascii="宋体" w:hAnsi="宋体" w:cs="Arial"/>
          <w:kern w:val="0"/>
          <w:sz w:val="22"/>
          <w:lang w:val="en-US" w:eastAsia="zh-CN"/>
        </w:rPr>
        <w:t>7</w:t>
      </w:r>
      <w:r>
        <w:rPr>
          <w:rFonts w:hint="eastAsia" w:ascii="宋体" w:hAnsi="宋体" w:cs="Arial"/>
          <w:kern w:val="0"/>
          <w:sz w:val="22"/>
        </w:rPr>
        <w:t>月</w:t>
      </w:r>
      <w:r>
        <w:rPr>
          <w:rFonts w:hint="eastAsia" w:ascii="宋体" w:hAnsi="宋体" w:cs="Arial"/>
          <w:kern w:val="0"/>
          <w:sz w:val="22"/>
          <w:lang w:val="en-US" w:eastAsia="zh-CN"/>
        </w:rPr>
        <w:t>15</w:t>
      </w:r>
      <w:r>
        <w:rPr>
          <w:rFonts w:hint="eastAsia" w:ascii="宋体" w:hAnsi="宋体" w:cs="Arial"/>
          <w:kern w:val="0"/>
          <w:sz w:val="22"/>
        </w:rPr>
        <w:t>日上午9时</w:t>
      </w:r>
      <w:r>
        <w:rPr>
          <w:rFonts w:ascii="宋体" w:hAnsi="宋体" w:cs="Arial"/>
          <w:kern w:val="0"/>
          <w:sz w:val="22"/>
        </w:rPr>
        <w:t>30</w:t>
      </w:r>
      <w:r>
        <w:rPr>
          <w:rFonts w:hint="eastAsia" w:ascii="宋体" w:hAnsi="宋体" w:cs="Arial"/>
          <w:kern w:val="0"/>
          <w:sz w:val="22"/>
        </w:rPr>
        <w:t>分（北京时间）前送至杭州萧山国际机场翔越路综合服务楼园区招标中心，逾期无效；若采用投递方式的，请于2019年</w:t>
      </w:r>
      <w:r>
        <w:rPr>
          <w:rFonts w:hint="eastAsia" w:ascii="宋体" w:hAnsi="宋体" w:cs="Arial"/>
          <w:kern w:val="0"/>
          <w:sz w:val="22"/>
          <w:lang w:val="en-US" w:eastAsia="zh-CN"/>
        </w:rPr>
        <w:t>7</w:t>
      </w:r>
      <w:r>
        <w:rPr>
          <w:rFonts w:hint="eastAsia" w:ascii="宋体" w:hAnsi="宋体" w:cs="Arial"/>
          <w:kern w:val="0"/>
          <w:sz w:val="22"/>
        </w:rPr>
        <w:t>月</w:t>
      </w:r>
      <w:r>
        <w:rPr>
          <w:rFonts w:hint="eastAsia" w:ascii="宋体" w:hAnsi="宋体" w:cs="Arial"/>
          <w:kern w:val="0"/>
          <w:sz w:val="22"/>
          <w:lang w:val="en-US" w:eastAsia="zh-CN"/>
        </w:rPr>
        <w:t>15</w:t>
      </w:r>
      <w:r>
        <w:rPr>
          <w:rFonts w:hint="eastAsia" w:ascii="宋体" w:hAnsi="宋体" w:cs="Arial"/>
          <w:kern w:val="0"/>
          <w:sz w:val="22"/>
        </w:rPr>
        <w:t>日上午9时</w:t>
      </w:r>
      <w:r>
        <w:rPr>
          <w:rFonts w:ascii="宋体" w:hAnsi="宋体" w:cs="Arial"/>
          <w:kern w:val="0"/>
          <w:sz w:val="22"/>
        </w:rPr>
        <w:t>30</w:t>
      </w:r>
      <w:r>
        <w:rPr>
          <w:rFonts w:hint="eastAsia" w:ascii="宋体" w:hAnsi="宋体" w:cs="Arial"/>
          <w:kern w:val="0"/>
          <w:sz w:val="22"/>
        </w:rPr>
        <w:t>分（北京时间）前投递至杭州萧山国际机场综合楼213室，逾期无效。</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w:t>
      </w:r>
      <w:r>
        <w:rPr>
          <w:rFonts w:hint="eastAsia" w:ascii="宋体" w:hAnsi="宋体"/>
          <w:szCs w:val="21"/>
        </w:rPr>
        <w:t>逾期送达或者未送达指定地点的投标文件，招标人不予受理。</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中国采购与招标网和杭州萧山机场有限公司</w:t>
      </w:r>
      <w:r>
        <w:rPr>
          <w:rFonts w:hint="eastAsia" w:ascii="宋体" w:hAnsi="宋体" w:cs="Arial"/>
          <w:kern w:val="0"/>
          <w:sz w:val="22"/>
        </w:rPr>
        <w:t>主页上发布</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sz w:val="22"/>
        </w:rPr>
        <w:t>中国采购与招标网</w:t>
      </w:r>
      <w:r>
        <w:rPr>
          <w:rFonts w:ascii="宋体" w:hAnsi="宋体"/>
          <w:sz w:val="22"/>
        </w:rPr>
        <w:t xml:space="preserve">  </w:t>
      </w:r>
      <w:r>
        <w:fldChar w:fldCharType="begin"/>
      </w:r>
      <w:r>
        <w:instrText xml:space="preserve"> HYPERLINK "http://www.chinabidding.com.cn" </w:instrText>
      </w:r>
      <w:r>
        <w:fldChar w:fldCharType="separate"/>
      </w:r>
      <w:r>
        <w:rPr>
          <w:rFonts w:ascii="宋体" w:hAnsi="宋体"/>
          <w:sz w:val="22"/>
        </w:rPr>
        <w:t>http://www.chinabidding.com.cn</w:t>
      </w:r>
      <w:r>
        <w:rPr>
          <w:rFonts w:ascii="宋体" w:hAnsi="宋体"/>
          <w:sz w:val="22"/>
        </w:rPr>
        <w:fldChar w:fldCharType="end"/>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杭州萧山机场有限公司主页http://www.hzairport.com</w:t>
      </w:r>
    </w:p>
    <w:p>
      <w:pPr>
        <w:widowControl/>
        <w:snapToGrid w:val="0"/>
        <w:spacing w:line="340" w:lineRule="exact"/>
        <w:jc w:val="left"/>
        <w:rPr>
          <w:rFonts w:ascii="Arial" w:hAnsi="Arial" w:cs="Arial"/>
          <w:b/>
          <w:bCs/>
          <w:kern w:val="0"/>
          <w:sz w:val="22"/>
        </w:rPr>
      </w:pPr>
      <w:r>
        <w:rPr>
          <w:rFonts w:hint="eastAsia" w:ascii="Arial" w:hAnsi="Arial" w:cs="Arial"/>
          <w:b/>
          <w:bCs/>
          <w:kern w:val="0"/>
          <w:sz w:val="22"/>
        </w:rPr>
        <w:t>六、联系方式</w:t>
      </w:r>
    </w:p>
    <w:p>
      <w:pPr>
        <w:widowControl/>
        <w:adjustRightInd w:val="0"/>
        <w:snapToGrid w:val="0"/>
        <w:spacing w:line="340" w:lineRule="exact"/>
        <w:ind w:firstLine="440" w:firstLineChars="200"/>
        <w:rPr>
          <w:rFonts w:asciiTheme="minorEastAsia" w:hAnsiTheme="minorEastAsia"/>
          <w:sz w:val="22"/>
        </w:rPr>
      </w:pPr>
      <w:r>
        <w:rPr>
          <w:rFonts w:hint="eastAsia" w:asciiTheme="minorEastAsia" w:hAnsiTheme="minorEastAsia"/>
          <w:sz w:val="22"/>
        </w:rPr>
        <w:t xml:space="preserve">投标联系人：褚建国   联系电话：0571-83833144 </w:t>
      </w:r>
    </w:p>
    <w:p>
      <w:pPr>
        <w:widowControl/>
        <w:adjustRightInd w:val="0"/>
        <w:snapToGrid w:val="0"/>
        <w:spacing w:line="340" w:lineRule="exact"/>
        <w:ind w:firstLine="440" w:firstLineChars="200"/>
        <w:rPr>
          <w:rFonts w:asciiTheme="minorEastAsia" w:hAnsiTheme="minorEastAsia"/>
          <w:sz w:val="22"/>
        </w:rPr>
      </w:pPr>
      <w:r>
        <w:rPr>
          <w:rFonts w:hint="eastAsia" w:asciiTheme="minorEastAsia" w:hAnsiTheme="minorEastAsia"/>
          <w:sz w:val="22"/>
        </w:rPr>
        <w:t xml:space="preserve">技术联系人：褚建国   联系电话：0571-83833144  </w:t>
      </w:r>
    </w:p>
    <w:p>
      <w:pPr>
        <w:widowControl/>
        <w:adjustRightInd w:val="0"/>
        <w:snapToGrid w:val="0"/>
        <w:spacing w:line="340" w:lineRule="exact"/>
        <w:ind w:firstLine="440" w:firstLineChars="200"/>
        <w:rPr>
          <w:rFonts w:asciiTheme="minorEastAsia" w:hAnsiTheme="minorEastAsia"/>
          <w:bCs/>
          <w:sz w:val="22"/>
        </w:rPr>
      </w:pPr>
      <w:r>
        <w:rPr>
          <w:rFonts w:hint="eastAsia" w:asciiTheme="minorEastAsia" w:hAnsiTheme="minorEastAsia"/>
          <w:bCs/>
          <w:sz w:val="22"/>
        </w:rPr>
        <w:t>招标监督人：冯卫光   联系电话：0571-86662336</w:t>
      </w:r>
    </w:p>
    <w:p>
      <w:pPr>
        <w:widowControl/>
        <w:adjustRightInd w:val="0"/>
        <w:snapToGrid w:val="0"/>
        <w:spacing w:line="340" w:lineRule="exact"/>
        <w:ind w:firstLine="440" w:firstLineChars="200"/>
        <w:rPr>
          <w:rFonts w:ascii="宋体" w:hAnsi="宋体"/>
          <w:sz w:val="22"/>
        </w:rPr>
      </w:pPr>
    </w:p>
    <w:p>
      <w:pPr>
        <w:pStyle w:val="2"/>
        <w:spacing w:before="0" w:after="0" w:line="360" w:lineRule="auto"/>
        <w:jc w:val="center"/>
        <w:rPr>
          <w:rFonts w:ascii="Calibri" w:hAnsi="Calibri" w:eastAsia="黑体" w:cs="Calibri"/>
          <w:kern w:val="0"/>
          <w:sz w:val="32"/>
        </w:rPr>
      </w:pPr>
      <w:r>
        <w:rPr>
          <w:rFonts w:ascii="宋体" w:hAnsi="宋体" w:cs="Calibri"/>
          <w:kern w:val="0"/>
          <w:highlight w:val="yellow"/>
        </w:rPr>
        <w:br w:type="page"/>
      </w:r>
      <w:bookmarkStart w:id="24" w:name="_Toc448002983"/>
      <w:r>
        <w:rPr>
          <w:rFonts w:ascii="Calibri" w:eastAsia="黑体" w:cs="Calibri"/>
          <w:kern w:val="0"/>
          <w:sz w:val="32"/>
        </w:rPr>
        <w:t>第二章</w:t>
      </w:r>
      <w:r>
        <w:rPr>
          <w:rFonts w:ascii="Calibri" w:hAnsi="Calibri" w:eastAsia="黑体" w:cs="Calibri"/>
          <w:kern w:val="0"/>
          <w:sz w:val="32"/>
        </w:rPr>
        <w:t xml:space="preserve">  </w:t>
      </w:r>
      <w:r>
        <w:rPr>
          <w:rFonts w:ascii="Calibri" w:eastAsia="黑体" w:cs="Calibri"/>
          <w:kern w:val="0"/>
          <w:sz w:val="32"/>
        </w:rPr>
        <w:t>投标人须知</w:t>
      </w:r>
      <w:bookmarkEnd w:id="0"/>
      <w:bookmarkEnd w:id="22"/>
      <w:bookmarkEnd w:id="23"/>
      <w:bookmarkEnd w:id="24"/>
      <w:bookmarkStart w:id="25" w:name="_Toc143421654"/>
    </w:p>
    <w:p>
      <w:pPr>
        <w:pStyle w:val="127"/>
        <w:jc w:val="center"/>
        <w:rPr>
          <w:rFonts w:ascii="Calibri" w:hAnsi="Calibri" w:eastAsia="黑体" w:cs="Calibri"/>
          <w:kern w:val="2"/>
          <w:sz w:val="28"/>
          <w:szCs w:val="32"/>
        </w:rPr>
      </w:pPr>
      <w:bookmarkStart w:id="26" w:name="_Toc349007688"/>
      <w:bookmarkStart w:id="27" w:name="_Toc444173459"/>
      <w:bookmarkStart w:id="28" w:name="_Toc11881"/>
      <w:bookmarkStart w:id="29" w:name="_Toc349011858"/>
      <w:bookmarkStart w:id="30" w:name="_Toc444174979"/>
      <w:bookmarkStart w:id="31" w:name="_Toc444811409"/>
      <w:bookmarkStart w:id="32" w:name="_Toc386359393"/>
      <w:bookmarkStart w:id="33" w:name="_Toc448002984"/>
      <w:bookmarkStart w:id="34" w:name="_Toc400369185"/>
      <w:bookmarkStart w:id="35" w:name="_Toc386363317"/>
      <w:r>
        <w:rPr>
          <w:rFonts w:ascii="Calibri" w:hAnsi="Arial" w:eastAsia="黑体" w:cs="Calibri"/>
          <w:kern w:val="2"/>
          <w:sz w:val="28"/>
          <w:szCs w:val="32"/>
        </w:rPr>
        <w:t>投标人须知前附表</w:t>
      </w:r>
      <w:bookmarkEnd w:id="25"/>
      <w:bookmarkEnd w:id="26"/>
      <w:bookmarkEnd w:id="27"/>
      <w:bookmarkEnd w:id="28"/>
      <w:bookmarkEnd w:id="29"/>
      <w:bookmarkEnd w:id="30"/>
      <w:bookmarkEnd w:id="31"/>
      <w:bookmarkEnd w:id="32"/>
      <w:bookmarkEnd w:id="33"/>
      <w:bookmarkEnd w:id="34"/>
      <w:bookmarkEnd w:id="35"/>
    </w:p>
    <w:tbl>
      <w:tblPr>
        <w:tblStyle w:val="44"/>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Arial"/>
                <w:kern w:val="0"/>
                <w:sz w:val="22"/>
              </w:rPr>
              <w:t>杭州萧山国际机场</w:t>
            </w:r>
            <w:r>
              <w:rPr>
                <w:rFonts w:hint="eastAsia"/>
              </w:rPr>
              <w:t>中央空调系统变频器维修项目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实施</w:t>
            </w:r>
            <w:r>
              <w:rPr>
                <w:rFonts w:ascii="宋体" w:hAnsi="宋体" w:cs="Calibri"/>
                <w:kern w:val="0"/>
                <w:sz w:val="22"/>
              </w:rPr>
              <w:t>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100"/>
                <w:rFonts w:hint="eastAsia" w:ascii="宋体" w:hAnsi="宋体"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见招标公告，具体要求详见第</w:t>
            </w:r>
            <w:r>
              <w:rPr>
                <w:rFonts w:hint="eastAsia" w:ascii="宋体" w:hAnsi="宋体" w:cs="Calibri"/>
                <w:kern w:val="0"/>
                <w:sz w:val="22"/>
              </w:rPr>
              <w:t>三</w:t>
            </w:r>
            <w:r>
              <w:rPr>
                <w:rFonts w:ascii="宋体" w:hAnsi="宋体" w:cs="Calibri"/>
                <w:kern w:val="0"/>
                <w:sz w:val="22"/>
              </w:rPr>
              <w:t>章“</w:t>
            </w:r>
            <w:r>
              <w:rPr>
                <w:rFonts w:hint="eastAsia" w:ascii="宋体" w:hAnsi="宋体" w:cs="Calibri"/>
                <w:kern w:val="0"/>
                <w:sz w:val="22"/>
              </w:rPr>
              <w:t>服务技术标准及要求</w:t>
            </w:r>
            <w:r>
              <w:rPr>
                <w:rFonts w:ascii="宋体" w:hAnsi="宋体" w:cs="Calibri"/>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详见招标公告</w:t>
            </w:r>
            <w:r>
              <w:rPr>
                <w:rFonts w:hint="eastAsia" w:ascii="宋体" w:hAnsi="宋体" w:cs="Calibri"/>
                <w:kern w:val="0"/>
                <w:sz w:val="22"/>
              </w:rPr>
              <w:t>“</w:t>
            </w:r>
            <w:r>
              <w:rPr>
                <w:rFonts w:hint="eastAsia" w:ascii="宋体" w:hAnsi="宋体" w:cs="黑体"/>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7</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服务期</w:t>
            </w:r>
          </w:p>
        </w:tc>
        <w:tc>
          <w:tcPr>
            <w:tcW w:w="6487" w:type="dxa"/>
            <w:vAlign w:val="center"/>
          </w:tcPr>
          <w:p>
            <w:pPr>
              <w:rPr>
                <w:rFonts w:ascii="宋体" w:hAnsi="宋体"/>
                <w:sz w:val="22"/>
              </w:rPr>
            </w:pPr>
            <w:r>
              <w:rPr>
                <w:rFonts w:hint="eastAsia" w:ascii="宋体" w:hAnsi="宋体"/>
                <w:sz w:val="22"/>
                <w:u w:val="single"/>
              </w:rPr>
              <w:t>31</w:t>
            </w:r>
            <w:r>
              <w:rPr>
                <w:rFonts w:hint="eastAsia" w:ascii="宋体" w:hAnsi="宋体"/>
                <w:sz w:val="22"/>
              </w:rPr>
              <w:t>日历天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1.8</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质量要求</w:t>
            </w:r>
          </w:p>
        </w:tc>
        <w:tc>
          <w:tcPr>
            <w:tcW w:w="6487" w:type="dxa"/>
            <w:vAlign w:val="center"/>
          </w:tcPr>
          <w:p>
            <w:pPr>
              <w:rPr>
                <w:rFonts w:ascii="宋体" w:hAnsi="宋体"/>
                <w:sz w:val="22"/>
              </w:rPr>
            </w:pPr>
            <w:r>
              <w:rPr>
                <w:rFonts w:hint="eastAsia" w:ascii="宋体" w:hAnsi="宋体"/>
                <w:iCs/>
                <w:sz w:val="22"/>
              </w:rPr>
              <w:t>符</w:t>
            </w:r>
            <w:r>
              <w:rPr>
                <w:rFonts w:hint="eastAsia" w:ascii="宋体" w:hAnsi="宋体"/>
                <w:sz w:val="22"/>
              </w:rPr>
              <w:t>合国家现行标准（详见第三章 服务技术标准及要求）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9</w:t>
            </w:r>
            <w:r>
              <w:rPr>
                <w:rFonts w:ascii="宋体" w:hAnsi="宋体" w:cs="Calibri"/>
                <w:kern w:val="0"/>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踏勘现场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不组织</w:t>
            </w:r>
          </w:p>
          <w:p>
            <w:pPr>
              <w:autoSpaceDE w:val="0"/>
              <w:autoSpaceDN w:val="0"/>
              <w:adjustRightInd w:val="0"/>
              <w:snapToGrid w:val="0"/>
              <w:rPr>
                <w:rFonts w:ascii="宋体" w:hAnsi="宋体" w:cs="Calibri"/>
                <w:kern w:val="0"/>
                <w:sz w:val="22"/>
              </w:rPr>
            </w:pPr>
            <w:r>
              <w:rPr>
                <w:rFonts w:ascii="宋体" w:hAnsi="宋体" w:cs="Calibri"/>
                <w:kern w:val="0"/>
                <w:sz w:val="22"/>
              </w:rPr>
              <w:t>□组织，踏勘时间：</w:t>
            </w:r>
            <w:r>
              <w:rPr>
                <w:rFonts w:hint="eastAsia" w:ascii="宋体" w:hAnsi="宋体" w:cs="Calibri"/>
                <w:kern w:val="0"/>
                <w:sz w:val="22"/>
              </w:rPr>
              <w:t>2019年  月  日9</w:t>
            </w:r>
            <w:r>
              <w:rPr>
                <w:rFonts w:ascii="宋体" w:hAnsi="宋体" w:cs="Calibri"/>
                <w:kern w:val="0"/>
                <w:sz w:val="22"/>
              </w:rPr>
              <w:t>:00</w:t>
            </w:r>
          </w:p>
          <w:p>
            <w:pPr>
              <w:autoSpaceDE w:val="0"/>
              <w:autoSpaceDN w:val="0"/>
              <w:adjustRightInd w:val="0"/>
              <w:snapToGrid w:val="0"/>
              <w:rPr>
                <w:rFonts w:ascii="宋体" w:hAnsi="宋体" w:cs="Calibri"/>
                <w:kern w:val="0"/>
                <w:sz w:val="22"/>
              </w:rPr>
            </w:pPr>
            <w:r>
              <w:rPr>
                <w:rFonts w:ascii="宋体" w:hAnsi="宋体" w:cs="Calibri"/>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10</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投标预备会</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不召开</w:t>
            </w:r>
          </w:p>
          <w:p>
            <w:pPr>
              <w:autoSpaceDE w:val="0"/>
              <w:autoSpaceDN w:val="0"/>
              <w:adjustRightInd w:val="0"/>
              <w:snapToGrid w:val="0"/>
              <w:rPr>
                <w:rFonts w:ascii="宋体" w:hAnsi="宋体" w:cs="Calibri"/>
                <w:kern w:val="0"/>
                <w:sz w:val="22"/>
              </w:rPr>
            </w:pPr>
            <w:r>
              <w:rPr>
                <w:rFonts w:ascii="宋体" w:hAnsi="宋体" w:cs="Calibri"/>
                <w:kern w:val="0"/>
                <w:sz w:val="22"/>
              </w:rPr>
              <w:t>□召开，召开时间：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2019 年</w:t>
            </w:r>
            <w:r>
              <w:rPr>
                <w:rFonts w:hint="eastAsia" w:ascii="宋体" w:hAnsi="宋体" w:cs="Calibri"/>
                <w:kern w:val="0"/>
                <w:sz w:val="22"/>
                <w:lang w:val="en-US" w:eastAsia="zh-CN"/>
              </w:rPr>
              <w:t>7</w:t>
            </w:r>
            <w:r>
              <w:rPr>
                <w:rFonts w:hint="eastAsia" w:ascii="宋体" w:hAnsi="宋体" w:cs="Calibri"/>
                <w:kern w:val="0"/>
                <w:sz w:val="22"/>
              </w:rPr>
              <w:t>月</w:t>
            </w:r>
            <w:r>
              <w:rPr>
                <w:rFonts w:hint="eastAsia" w:ascii="宋体" w:hAnsi="宋体" w:cs="Calibri"/>
                <w:kern w:val="0"/>
                <w:sz w:val="22"/>
                <w:lang w:val="en-US" w:eastAsia="zh-CN"/>
              </w:rPr>
              <w:t>5</w:t>
            </w:r>
            <w:r>
              <w:rPr>
                <w:rFonts w:hint="eastAsia" w:ascii="宋体" w:hAnsi="宋体" w:cs="Calibri"/>
                <w:kern w:val="0"/>
                <w:sz w:val="22"/>
              </w:rPr>
              <w:t>日11：30前，以书面加盖公章的形式通过E-mail或传真提交给招标人（投标联系人:褚建国，电话0571-83833144；传真：</w:t>
            </w:r>
            <w:r>
              <w:rPr>
                <w:rFonts w:ascii="宋体" w:hAnsi="宋体" w:cs="Calibri"/>
                <w:kern w:val="0"/>
                <w:sz w:val="22"/>
              </w:rPr>
              <w:t>0571-</w:t>
            </w:r>
            <w:r>
              <w:rPr>
                <w:rFonts w:hint="eastAsia" w:ascii="宋体" w:hAnsi="宋体" w:cs="Calibri"/>
                <w:kern w:val="0"/>
                <w:sz w:val="22"/>
              </w:rPr>
              <w:t>86661149；电子邮箱：406498787@qq.com）投标人必须在规定时间前提出对招标文件的疑问，否则招标人有权拒绝接收和拒绝回答未在截止时间前提出的疑问。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ascii="宋体" w:hAnsi="宋体" w:cs="Calibri"/>
                <w:b/>
                <w:kern w:val="0"/>
                <w:sz w:val="22"/>
              </w:rPr>
            </w:pPr>
            <w:r>
              <w:rPr>
                <w:rFonts w:ascii="宋体" w:hAnsi="宋体" w:cs="Calibri"/>
                <w:b/>
                <w:kern w:val="0"/>
                <w:sz w:val="22"/>
              </w:rPr>
              <w:t>201</w:t>
            </w:r>
            <w:r>
              <w:rPr>
                <w:rFonts w:hint="eastAsia" w:ascii="宋体" w:hAnsi="宋体" w:cs="Calibri"/>
                <w:b/>
                <w:kern w:val="0"/>
                <w:sz w:val="22"/>
              </w:rPr>
              <w:t>9</w:t>
            </w:r>
            <w:r>
              <w:rPr>
                <w:rFonts w:ascii="宋体" w:hAnsi="宋体" w:cs="Calibri"/>
                <w:b/>
                <w:kern w:val="0"/>
                <w:sz w:val="22"/>
              </w:rPr>
              <w:t>年</w:t>
            </w:r>
            <w:r>
              <w:rPr>
                <w:rFonts w:hint="eastAsia" w:ascii="宋体" w:hAnsi="宋体" w:cs="Calibri"/>
                <w:b/>
                <w:kern w:val="0"/>
                <w:sz w:val="22"/>
                <w:lang w:val="en-US" w:eastAsia="zh-CN"/>
              </w:rPr>
              <w:t>7</w:t>
            </w:r>
            <w:r>
              <w:rPr>
                <w:rFonts w:ascii="宋体" w:hAnsi="宋体" w:cs="Calibri"/>
                <w:b/>
                <w:kern w:val="0"/>
                <w:sz w:val="22"/>
              </w:rPr>
              <w:t>月</w:t>
            </w:r>
            <w:r>
              <w:rPr>
                <w:rFonts w:hint="eastAsia" w:ascii="宋体" w:hAnsi="宋体" w:cs="Calibri"/>
                <w:b/>
                <w:kern w:val="0"/>
                <w:sz w:val="22"/>
                <w:lang w:val="en-US" w:eastAsia="zh-CN"/>
              </w:rPr>
              <w:t>15</w:t>
            </w:r>
            <w:r>
              <w:rPr>
                <w:rFonts w:ascii="宋体" w:hAnsi="宋体" w:cs="Calibri"/>
                <w:b/>
                <w:kern w:val="0"/>
                <w:sz w:val="22"/>
              </w:rPr>
              <w:t>日上午9时30分（北京时间）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w:t>
            </w:r>
            <w:bookmarkStart w:id="36" w:name="_Toc236586447"/>
            <w:bookmarkStart w:id="37" w:name="_Toc226175287"/>
            <w:r>
              <w:rPr>
                <w:rFonts w:hint="eastAsia" w:ascii="宋体" w:hAnsi="宋体" w:cs="Calibri"/>
                <w:kern w:val="0"/>
                <w:sz w:val="22"/>
              </w:rPr>
              <w:t>对招标文件的修改将以补充公告的形式发布，所有获得招标文件的投标人应自行关注网站公告，招标人不再一一通知。投标人因自身贻误行为导致投标失败的，责任自负。</w:t>
            </w:r>
            <w:bookmarkEnd w:id="36"/>
            <w:bookmarkEnd w:id="37"/>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w:t>
            </w:r>
            <w:r>
              <w:rPr>
                <w:rFonts w:ascii="宋体" w:hAnsi="宋体" w:cs="Calibri"/>
                <w:kern w:val="0"/>
                <w:sz w:val="22"/>
              </w:rPr>
              <w:t>0日历天（从投标截止之日算起）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lang w:val="zh-CN"/>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b/>
                <w:kern w:val="0"/>
                <w:sz w:val="22"/>
              </w:rPr>
              <w:t>投标文件封面（或扉页）、投标函以及各类报价表</w:t>
            </w:r>
            <w:r>
              <w:rPr>
                <w:rFonts w:ascii="宋体" w:hAnsi="宋体" w:cs="Calibri"/>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投标文件副本份数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招标人的地址：</w:t>
            </w:r>
            <w:r>
              <w:rPr>
                <w:rFonts w:hint="eastAsia" w:ascii="宋体" w:hAnsi="宋体"/>
                <w:sz w:val="22"/>
                <w:u w:val="single"/>
              </w:rPr>
              <w:t>杭州萧山国际机场内</w:t>
            </w:r>
          </w:p>
          <w:p>
            <w:pPr>
              <w:autoSpaceDE w:val="0"/>
              <w:autoSpaceDN w:val="0"/>
              <w:adjustRightInd w:val="0"/>
              <w:snapToGrid w:val="0"/>
              <w:rPr>
                <w:rFonts w:ascii="宋体" w:hAnsi="宋体" w:cs="Calibri"/>
                <w:kern w:val="0"/>
                <w:sz w:val="22"/>
              </w:rPr>
            </w:pPr>
            <w:r>
              <w:rPr>
                <w:rFonts w:ascii="宋体" w:hAnsi="宋体" w:cs="Calibri"/>
                <w:kern w:val="0"/>
                <w:sz w:val="22"/>
              </w:rPr>
              <w:t>招标人名称：</w:t>
            </w:r>
            <w:r>
              <w:rPr>
                <w:rFonts w:ascii="宋体" w:hAnsi="宋体" w:cs="Calibri"/>
                <w:kern w:val="0"/>
                <w:sz w:val="22"/>
                <w:u w:val="single"/>
              </w:rPr>
              <w:t>杭州萧山国际机场有限公司</w:t>
            </w:r>
          </w:p>
          <w:p>
            <w:pPr>
              <w:autoSpaceDE w:val="0"/>
              <w:autoSpaceDN w:val="0"/>
              <w:adjustRightInd w:val="0"/>
              <w:snapToGrid w:val="0"/>
              <w:rPr>
                <w:rFonts w:ascii="宋体" w:hAnsi="宋体" w:cs="Calibri"/>
                <w:kern w:val="0"/>
                <w:sz w:val="22"/>
              </w:rPr>
            </w:pPr>
            <w:r>
              <w:rPr>
                <w:rFonts w:hint="eastAsia" w:ascii="宋体" w:hAnsi="宋体" w:cs="宋体"/>
                <w:sz w:val="22"/>
              </w:rPr>
              <w:t>项目名称：</w:t>
            </w:r>
            <w:r>
              <w:rPr>
                <w:rFonts w:hint="eastAsia" w:ascii="宋体" w:hAnsi="宋体" w:cs="Calibri"/>
                <w:kern w:val="0"/>
                <w:sz w:val="22"/>
                <w:u w:val="single"/>
              </w:rPr>
              <w:t>杭州萧山国际机场中央空调系统变频器维修</w:t>
            </w:r>
            <w:r>
              <w:rPr>
                <w:rFonts w:ascii="宋体" w:hAnsi="宋体" w:cs="Calibri"/>
                <w:kern w:val="0"/>
                <w:sz w:val="22"/>
                <w:u w:val="single"/>
              </w:rPr>
              <w:t>项目</w:t>
            </w:r>
            <w:r>
              <w:rPr>
                <w:rFonts w:hint="eastAsia" w:ascii="宋体" w:hAnsi="宋体" w:cs="宋体"/>
                <w:sz w:val="22"/>
              </w:rPr>
              <w:t>投标文件</w:t>
            </w:r>
          </w:p>
          <w:p>
            <w:pPr>
              <w:autoSpaceDE w:val="0"/>
              <w:autoSpaceDN w:val="0"/>
              <w:adjustRightInd w:val="0"/>
              <w:snapToGrid w:val="0"/>
              <w:rPr>
                <w:rFonts w:ascii="宋体" w:hAnsi="宋体" w:cs="Calibri"/>
                <w:kern w:val="0"/>
                <w:sz w:val="22"/>
              </w:rPr>
            </w:pPr>
            <w:r>
              <w:rPr>
                <w:rFonts w:ascii="宋体" w:hAnsi="宋体" w:cs="Calibri"/>
                <w:kern w:val="0"/>
                <w:sz w:val="22"/>
              </w:rPr>
              <w:t>在</w:t>
            </w:r>
            <w:r>
              <w:rPr>
                <w:rFonts w:ascii="宋体" w:hAnsi="宋体" w:cs="Calibri"/>
                <w:kern w:val="0"/>
                <w:sz w:val="22"/>
                <w:u w:val="single"/>
              </w:rPr>
              <w:t>201</w:t>
            </w:r>
            <w:r>
              <w:rPr>
                <w:rFonts w:hint="eastAsia" w:ascii="宋体" w:hAnsi="宋体" w:cs="Calibri"/>
                <w:kern w:val="0"/>
                <w:sz w:val="22"/>
                <w:u w:val="single"/>
              </w:rPr>
              <w:t>9</w:t>
            </w:r>
            <w:r>
              <w:rPr>
                <w:rFonts w:ascii="宋体" w:hAnsi="宋体" w:cs="Calibri"/>
                <w:kern w:val="0"/>
                <w:sz w:val="22"/>
                <w:u w:val="single"/>
              </w:rPr>
              <w:t>年</w:t>
            </w:r>
            <w:r>
              <w:rPr>
                <w:rFonts w:hint="eastAsia" w:ascii="宋体" w:hAnsi="宋体" w:cs="Calibri"/>
                <w:kern w:val="0"/>
                <w:sz w:val="22"/>
                <w:u w:val="single"/>
                <w:lang w:val="en-US" w:eastAsia="zh-CN"/>
              </w:rPr>
              <w:t>7</w:t>
            </w:r>
            <w:r>
              <w:rPr>
                <w:rFonts w:ascii="宋体" w:hAnsi="宋体" w:cs="Calibri"/>
                <w:kern w:val="0"/>
                <w:sz w:val="22"/>
                <w:u w:val="single"/>
              </w:rPr>
              <w:t>月</w:t>
            </w:r>
            <w:r>
              <w:rPr>
                <w:rFonts w:hint="eastAsia" w:ascii="宋体" w:hAnsi="宋体" w:cs="Calibri"/>
                <w:kern w:val="0"/>
                <w:sz w:val="22"/>
                <w:u w:val="single"/>
                <w:lang w:val="en-US" w:eastAsia="zh-CN"/>
              </w:rPr>
              <w:t>15</w:t>
            </w:r>
            <w:bookmarkStart w:id="119" w:name="_GoBack"/>
            <w:bookmarkEnd w:id="119"/>
            <w:r>
              <w:rPr>
                <w:rFonts w:ascii="宋体" w:hAnsi="宋体" w:cs="Calibri"/>
                <w:kern w:val="0"/>
                <w:sz w:val="22"/>
                <w:u w:val="single"/>
              </w:rPr>
              <w:t>日上午9时30分</w:t>
            </w:r>
            <w:r>
              <w:rPr>
                <w:rFonts w:ascii="宋体" w:hAnsi="宋体" w:cs="Calibri"/>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w:t>
            </w:r>
            <w:r>
              <w:rPr>
                <w:rFonts w:hint="eastAsia" w:ascii="宋体" w:hAnsi="宋体" w:cs="Calibri"/>
                <w:kern w:val="0"/>
                <w:sz w:val="22"/>
              </w:rPr>
              <w:t>1</w:t>
            </w:r>
            <w:r>
              <w:rPr>
                <w:rFonts w:ascii="宋体" w:hAnsi="宋体" w:cs="Calibri"/>
                <w:kern w:val="0"/>
                <w:sz w:val="22"/>
              </w:rPr>
              <w:t>）密封情况检查：由投标人或者其集体推选的代表检查投标文件的密封情况。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w:t>
            </w:r>
            <w:r>
              <w:rPr>
                <w:rFonts w:hint="eastAsia" w:ascii="宋体" w:hAnsi="宋体" w:cs="Calibri"/>
                <w:kern w:val="0"/>
                <w:sz w:val="22"/>
              </w:rPr>
              <w:t>2</w:t>
            </w:r>
            <w:r>
              <w:rPr>
                <w:rFonts w:ascii="宋体" w:hAnsi="宋体" w:cs="Calibri"/>
                <w:kern w:val="0"/>
                <w:sz w:val="22"/>
              </w:rPr>
              <w:t>）开标顺序：按照后送达先开的顺序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：3</w:t>
            </w:r>
            <w:r>
              <w:rPr>
                <w:rFonts w:hint="eastAsia" w:ascii="宋体" w:hAnsi="宋体"/>
                <w:sz w:val="22"/>
              </w:rPr>
              <w:t>人及以上单数</w:t>
            </w:r>
          </w:p>
          <w:p>
            <w:pPr>
              <w:autoSpaceDE w:val="0"/>
              <w:autoSpaceDN w:val="0"/>
              <w:adjustRightInd w:val="0"/>
              <w:snapToGrid w:val="0"/>
              <w:jc w:val="left"/>
              <w:rPr>
                <w:rFonts w:ascii="宋体" w:hAnsi="宋体"/>
                <w:sz w:val="22"/>
              </w:rPr>
            </w:pPr>
            <w:r>
              <w:rPr>
                <w:rFonts w:hint="eastAsia" w:ascii="宋体" w:hAnsi="宋体"/>
                <w:sz w:val="22"/>
              </w:rPr>
              <w:t>评标专家确定方式：评标委员会成员招标人自行组建。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履约担保</w:t>
            </w:r>
          </w:p>
        </w:tc>
        <w:tc>
          <w:tcPr>
            <w:tcW w:w="6487" w:type="dxa"/>
            <w:vAlign w:val="center"/>
          </w:tcPr>
          <w:p>
            <w:pPr>
              <w:autoSpaceDE w:val="0"/>
              <w:autoSpaceDN w:val="0"/>
              <w:adjustRightInd w:val="0"/>
              <w:snapToGrid w:val="0"/>
              <w:jc w:val="left"/>
              <w:rPr>
                <w:rFonts w:ascii="宋体" w:hAnsi="宋体"/>
                <w:sz w:val="22"/>
              </w:rPr>
            </w:pPr>
            <w:r>
              <w:rPr>
                <w:rFonts w:ascii="宋体" w:hAnsi="宋体"/>
                <w:sz w:val="22"/>
              </w:rPr>
              <w:t>履约担保的形式：</w:t>
            </w:r>
            <w:r>
              <w:rPr>
                <w:rFonts w:hint="eastAsia" w:ascii="宋体" w:hAnsi="宋体"/>
                <w:sz w:val="22"/>
              </w:rPr>
              <w:t>银行转账</w:t>
            </w:r>
          </w:p>
          <w:p>
            <w:pPr>
              <w:autoSpaceDE w:val="0"/>
              <w:autoSpaceDN w:val="0"/>
              <w:adjustRightInd w:val="0"/>
              <w:snapToGrid w:val="0"/>
              <w:jc w:val="left"/>
              <w:rPr>
                <w:rFonts w:ascii="宋体" w:hAnsi="宋体"/>
                <w:sz w:val="22"/>
              </w:rPr>
            </w:pPr>
            <w:r>
              <w:rPr>
                <w:rFonts w:ascii="宋体" w:hAnsi="宋体"/>
                <w:sz w:val="22"/>
              </w:rPr>
              <w:t>履约担保的金额：</w:t>
            </w:r>
            <w:r>
              <w:rPr>
                <w:rFonts w:hint="eastAsia" w:ascii="宋体" w:hAnsi="宋体"/>
                <w:sz w:val="22"/>
              </w:rPr>
              <w:t>合同总价的</w:t>
            </w:r>
            <w:r>
              <w:rPr>
                <w:rFonts w:ascii="宋体" w:hAnsi="宋体"/>
                <w:sz w:val="22"/>
              </w:rPr>
              <w:t>10</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8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r>
              <w:rPr>
                <w:rFonts w:hint="eastAsia" w:ascii="宋体" w:hAnsi="宋体" w:cs="Calibri"/>
                <w:kern w:val="0"/>
                <w:sz w:val="22"/>
              </w:rPr>
              <w:t>2</w:t>
            </w:r>
          </w:p>
        </w:tc>
        <w:tc>
          <w:tcPr>
            <w:tcW w:w="2004" w:type="dxa"/>
            <w:shd w:val="clear" w:color="auto" w:fill="auto"/>
            <w:vAlign w:val="center"/>
          </w:tcPr>
          <w:p>
            <w:pPr>
              <w:pStyle w:val="34"/>
              <w:adjustRightInd w:val="0"/>
              <w:snapToGrid w:val="0"/>
              <w:spacing w:line="240" w:lineRule="auto"/>
              <w:jc w:val="center"/>
              <w:rPr>
                <w:rFonts w:ascii="宋体" w:hAnsi="宋体" w:cs="Calibri"/>
                <w:color w:val="auto"/>
                <w:sz w:val="22"/>
                <w:szCs w:val="22"/>
              </w:rPr>
            </w:pPr>
            <w:r>
              <w:rPr>
                <w:rFonts w:ascii="宋体" w:hAnsi="宋体" w:cs="Calibri"/>
                <w:color w:val="auto"/>
                <w:sz w:val="22"/>
                <w:szCs w:val="22"/>
              </w:rPr>
              <w:t>其他</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w:t>
            </w:r>
            <w:r>
              <w:rPr>
                <w:rFonts w:hint="eastAsia" w:ascii="宋体" w:hAnsi="宋体" w:cs="Calibri"/>
                <w:snapToGrid w:val="0"/>
                <w:kern w:val="0"/>
                <w:sz w:val="22"/>
              </w:rPr>
              <w:t>异议</w:t>
            </w:r>
            <w:r>
              <w:rPr>
                <w:rFonts w:ascii="宋体" w:hAnsi="宋体" w:cs="Calibri"/>
                <w:snapToGrid w:val="0"/>
                <w:kern w:val="0"/>
                <w:sz w:val="22"/>
              </w:rPr>
              <w:t>。</w:t>
            </w:r>
          </w:p>
          <w:p>
            <w:pPr>
              <w:adjustRightInd w:val="0"/>
              <w:snapToGrid w:val="0"/>
              <w:rPr>
                <w:rFonts w:ascii="宋体" w:hAnsi="宋体" w:cs="Calibri"/>
                <w:snapToGrid w:val="0"/>
                <w:kern w:val="0"/>
                <w:sz w:val="22"/>
              </w:rPr>
            </w:pPr>
            <w:r>
              <w:rPr>
                <w:rFonts w:ascii="宋体" w:hAnsi="宋体" w:cs="Calibri"/>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10.3</w:t>
            </w:r>
          </w:p>
        </w:tc>
        <w:tc>
          <w:tcPr>
            <w:tcW w:w="2004" w:type="dxa"/>
            <w:shd w:val="clear" w:color="auto" w:fill="auto"/>
            <w:vAlign w:val="center"/>
          </w:tcPr>
          <w:p>
            <w:pPr>
              <w:pStyle w:val="34"/>
              <w:spacing w:line="240" w:lineRule="auto"/>
              <w:jc w:val="center"/>
              <w:rPr>
                <w:rFonts w:ascii="宋体" w:hAnsi="宋体" w:cs="Calibri"/>
                <w:snapToGrid/>
                <w:color w:val="auto"/>
                <w:sz w:val="22"/>
                <w:szCs w:val="22"/>
              </w:rPr>
            </w:pPr>
            <w:r>
              <w:rPr>
                <w:rFonts w:hint="eastAsia" w:ascii="宋体" w:hAnsi="宋体" w:cs="Calibri"/>
                <w:snapToGrid/>
                <w:color w:val="auto"/>
                <w:sz w:val="22"/>
                <w:szCs w:val="22"/>
              </w:rPr>
              <w:t>备注</w:t>
            </w:r>
          </w:p>
        </w:tc>
        <w:tc>
          <w:tcPr>
            <w:tcW w:w="6487" w:type="dxa"/>
            <w:shd w:val="clear" w:color="auto" w:fill="FFFFFF"/>
            <w:vAlign w:val="center"/>
          </w:tcPr>
          <w:p>
            <w:pPr>
              <w:adjustRightInd w:val="0"/>
              <w:snapToGrid w:val="0"/>
              <w:rPr>
                <w:rFonts w:ascii="宋体" w:hAnsi="宋体" w:cs="Calibri"/>
                <w:kern w:val="0"/>
                <w:sz w:val="22"/>
              </w:rPr>
            </w:pPr>
            <w:r>
              <w:rPr>
                <w:rFonts w:ascii="宋体" w:hAnsi="宋体" w:cs="Calibri"/>
                <w:kern w:val="0"/>
                <w:sz w:val="22"/>
              </w:rPr>
              <w:t>本前附表内容与招标文件其他内容不一致之处，以本前附表为准。</w:t>
            </w:r>
          </w:p>
        </w:tc>
      </w:tr>
      <w:bookmarkEnd w:id="1"/>
      <w:bookmarkEnd w:id="2"/>
    </w:tbl>
    <w:p>
      <w:pPr>
        <w:autoSpaceDE w:val="0"/>
        <w:autoSpaceDN w:val="0"/>
        <w:adjustRightInd w:val="0"/>
        <w:spacing w:line="360" w:lineRule="exact"/>
        <w:ind w:firstLine="422" w:firstLineChars="200"/>
        <w:rPr>
          <w:rFonts w:eastAsia="黑体" w:cs="Calibri"/>
          <w:b/>
          <w:bCs/>
          <w:kern w:val="0"/>
          <w:szCs w:val="21"/>
        </w:rPr>
      </w:pPr>
      <w:bookmarkStart w:id="38" w:name="_Toc11067"/>
      <w:bookmarkStart w:id="39" w:name="_Toc143421656"/>
    </w:p>
    <w:p>
      <w:pPr>
        <w:autoSpaceDE w:val="0"/>
        <w:autoSpaceDN w:val="0"/>
        <w:adjustRightInd w:val="0"/>
        <w:snapToGrid w:val="0"/>
        <w:spacing w:line="360" w:lineRule="exact"/>
        <w:rPr>
          <w:rFonts w:ascii="宋体" w:hAnsi="宋体" w:cs="Calibri"/>
          <w:b/>
          <w:bCs/>
          <w:kern w:val="0"/>
          <w:sz w:val="22"/>
        </w:rPr>
      </w:pPr>
      <w:r>
        <w:rPr>
          <w:rFonts w:eastAsia="黑体" w:cs="Calibri"/>
          <w:b/>
          <w:bCs/>
          <w:kern w:val="0"/>
          <w:szCs w:val="21"/>
        </w:rPr>
        <w:br w:type="page"/>
      </w:r>
      <w:r>
        <w:rPr>
          <w:rFonts w:ascii="宋体" w:hAnsi="宋体" w:cs="Calibri"/>
          <w:b/>
          <w:bCs/>
          <w:kern w:val="0"/>
          <w:sz w:val="22"/>
        </w:rPr>
        <w:t>1.</w:t>
      </w:r>
      <w:r>
        <w:rPr>
          <w:rFonts w:hint="eastAsia" w:ascii="宋体" w:hAnsi="宋体" w:cs="Calibri"/>
          <w:b/>
          <w:bCs/>
          <w:kern w:val="0"/>
          <w:sz w:val="22"/>
        </w:rPr>
        <w:t xml:space="preserve"> </w:t>
      </w:r>
      <w:r>
        <w:rPr>
          <w:rFonts w:ascii="宋体" w:hAnsi="宋体" w:cs="Calibri"/>
          <w:b/>
          <w:bCs/>
          <w:kern w:val="0"/>
          <w:sz w:val="22"/>
        </w:rPr>
        <w:t>总则</w:t>
      </w:r>
      <w:bookmarkEnd w:id="38"/>
      <w:bookmarkEnd w:id="39"/>
    </w:p>
    <w:p>
      <w:pPr>
        <w:autoSpaceDE w:val="0"/>
        <w:autoSpaceDN w:val="0"/>
        <w:adjustRightInd w:val="0"/>
        <w:snapToGrid w:val="0"/>
        <w:spacing w:line="360" w:lineRule="exact"/>
        <w:rPr>
          <w:rFonts w:ascii="宋体" w:hAnsi="宋体" w:cs="Calibri"/>
          <w:b/>
          <w:bCs/>
          <w:kern w:val="0"/>
          <w:sz w:val="22"/>
        </w:rPr>
      </w:pPr>
      <w:bookmarkStart w:id="40" w:name="_Toc26216"/>
      <w:r>
        <w:rPr>
          <w:rFonts w:ascii="宋体" w:hAnsi="宋体" w:cs="Calibri"/>
          <w:b/>
          <w:bCs/>
          <w:kern w:val="0"/>
          <w:sz w:val="22"/>
        </w:rPr>
        <w:t>1.1 项目</w:t>
      </w:r>
      <w:bookmarkEnd w:id="40"/>
      <w:r>
        <w:rPr>
          <w:rFonts w:ascii="宋体" w:hAnsi="宋体" w:cs="Calibri"/>
          <w:b/>
          <w:bCs/>
          <w:kern w:val="0"/>
          <w:sz w:val="22"/>
        </w:rPr>
        <w:t>概况</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firstLineChars="200"/>
        <w:rPr>
          <w:rFonts w:ascii="宋体" w:hAnsi="宋体" w:cs="Calibri"/>
          <w:sz w:val="22"/>
        </w:rPr>
      </w:pPr>
      <w:r>
        <w:rPr>
          <w:rFonts w:ascii="宋体" w:hAnsi="宋体" w:cs="Calibri"/>
          <w:kern w:val="0"/>
          <w:sz w:val="22"/>
        </w:rPr>
        <w:t>1.1.2项目</w:t>
      </w:r>
      <w:r>
        <w:rPr>
          <w:rFonts w:hint="eastAsia" w:ascii="宋体" w:hAnsi="宋体" w:cs="Calibri"/>
          <w:kern w:val="0"/>
          <w:sz w:val="22"/>
        </w:rPr>
        <w:t>实施</w:t>
      </w:r>
      <w:r>
        <w:rPr>
          <w:rFonts w:ascii="宋体" w:hAnsi="宋体" w:cs="Calibri"/>
          <w:kern w:val="0"/>
          <w:sz w:val="22"/>
        </w:rPr>
        <w:t>地点见投标人须知前附表</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41" w:name="_Toc9136"/>
      <w:r>
        <w:rPr>
          <w:rFonts w:ascii="宋体" w:hAnsi="宋体" w:cs="Calibri"/>
          <w:b/>
          <w:bCs/>
          <w:kern w:val="0"/>
          <w:sz w:val="22"/>
        </w:rPr>
        <w:t>1.</w:t>
      </w:r>
      <w:r>
        <w:rPr>
          <w:rFonts w:hint="eastAsia" w:ascii="宋体" w:hAnsi="宋体" w:cs="Calibri"/>
          <w:b/>
          <w:bCs/>
          <w:kern w:val="0"/>
          <w:sz w:val="22"/>
        </w:rPr>
        <w:t>2</w:t>
      </w:r>
      <w:r>
        <w:rPr>
          <w:rFonts w:ascii="宋体" w:hAnsi="宋体" w:cs="Calibri"/>
          <w:b/>
          <w:bCs/>
          <w:kern w:val="0"/>
          <w:sz w:val="22"/>
        </w:rPr>
        <w:t xml:space="preserve"> 资金来源</w:t>
      </w:r>
      <w:bookmarkEnd w:id="41"/>
    </w:p>
    <w:p>
      <w:pPr>
        <w:adjustRightInd w:val="0"/>
        <w:snapToGrid w:val="0"/>
        <w:spacing w:line="360" w:lineRule="exact"/>
        <w:ind w:firstLine="440" w:firstLineChars="200"/>
        <w:rPr>
          <w:rFonts w:ascii="宋体" w:hAnsi="宋体" w:cs="Calibri"/>
          <w:sz w:val="22"/>
        </w:rPr>
      </w:pPr>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2" w:name="_Toc10673"/>
      <w:r>
        <w:rPr>
          <w:rFonts w:ascii="宋体" w:hAnsi="宋体" w:cs="Calibri"/>
          <w:b/>
          <w:bCs/>
          <w:kern w:val="0"/>
          <w:sz w:val="22"/>
        </w:rPr>
        <w:t>1.</w:t>
      </w:r>
      <w:r>
        <w:rPr>
          <w:rFonts w:hint="eastAsia" w:ascii="宋体" w:hAnsi="宋体" w:cs="Calibri"/>
          <w:b/>
          <w:bCs/>
          <w:kern w:val="0"/>
          <w:sz w:val="22"/>
        </w:rPr>
        <w:t>3</w:t>
      </w:r>
      <w:r>
        <w:rPr>
          <w:rFonts w:ascii="宋体" w:hAnsi="宋体" w:cs="Calibri"/>
          <w:b/>
          <w:bCs/>
          <w:kern w:val="0"/>
          <w:sz w:val="22"/>
        </w:rPr>
        <w:t xml:space="preserve"> 招标</w:t>
      </w:r>
      <w:bookmarkEnd w:id="42"/>
      <w:r>
        <w:rPr>
          <w:rFonts w:hint="eastAsia" w:ascii="宋体" w:hAnsi="宋体" w:cs="Calibri"/>
          <w:b/>
          <w:bCs/>
          <w:kern w:val="0"/>
          <w:sz w:val="22"/>
        </w:rPr>
        <w:t>内容</w:t>
      </w:r>
    </w:p>
    <w:p>
      <w:pPr>
        <w:adjustRightInd w:val="0"/>
        <w:snapToGrid w:val="0"/>
        <w:spacing w:line="360" w:lineRule="exact"/>
        <w:ind w:firstLine="440" w:firstLineChars="200"/>
        <w:rPr>
          <w:rFonts w:ascii="宋体" w:hAnsi="宋体" w:cs="Calibri"/>
          <w:sz w:val="22"/>
        </w:rPr>
      </w:pPr>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3" w:name="_Toc718"/>
      <w:r>
        <w:rPr>
          <w:rFonts w:ascii="宋体" w:hAnsi="宋体" w:cs="Calibri"/>
          <w:b/>
          <w:bCs/>
          <w:kern w:val="0"/>
          <w:sz w:val="22"/>
        </w:rPr>
        <w:t>1.</w:t>
      </w:r>
      <w:r>
        <w:rPr>
          <w:rFonts w:hint="eastAsia" w:ascii="宋体" w:hAnsi="宋体" w:cs="Calibri"/>
          <w:b/>
          <w:bCs/>
          <w:kern w:val="0"/>
          <w:sz w:val="22"/>
        </w:rPr>
        <w:t>4</w:t>
      </w:r>
      <w:r>
        <w:rPr>
          <w:rFonts w:ascii="宋体" w:hAnsi="宋体" w:cs="Calibri"/>
          <w:b/>
          <w:bCs/>
          <w:kern w:val="0"/>
          <w:sz w:val="22"/>
        </w:rPr>
        <w:t xml:space="preserve"> 招标方式</w:t>
      </w:r>
      <w:bookmarkEnd w:id="43"/>
    </w:p>
    <w:p>
      <w:pPr>
        <w:adjustRightInd w:val="0"/>
        <w:snapToGrid w:val="0"/>
        <w:spacing w:line="360" w:lineRule="exact"/>
        <w:ind w:firstLine="440" w:firstLineChars="200"/>
        <w:rPr>
          <w:rFonts w:ascii="宋体" w:hAnsi="宋体" w:cs="Calibri"/>
          <w:sz w:val="22"/>
        </w:rPr>
      </w:pPr>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4" w:name="_Toc9161"/>
      <w:r>
        <w:rPr>
          <w:rFonts w:ascii="宋体" w:hAnsi="宋体" w:cs="Calibri"/>
          <w:b/>
          <w:bCs/>
          <w:kern w:val="0"/>
          <w:sz w:val="22"/>
        </w:rPr>
        <w:t>1.</w:t>
      </w:r>
      <w:r>
        <w:rPr>
          <w:rFonts w:hint="eastAsia" w:ascii="宋体" w:hAnsi="宋体" w:cs="Calibri"/>
          <w:b/>
          <w:bCs/>
          <w:kern w:val="0"/>
          <w:sz w:val="22"/>
        </w:rPr>
        <w:t xml:space="preserve">5 </w:t>
      </w:r>
      <w:r>
        <w:rPr>
          <w:rFonts w:ascii="宋体" w:hAnsi="宋体" w:cs="Calibri"/>
          <w:b/>
          <w:bCs/>
          <w:kern w:val="0"/>
          <w:sz w:val="22"/>
        </w:rPr>
        <w:t>资格审查</w:t>
      </w:r>
      <w:bookmarkEnd w:id="44"/>
    </w:p>
    <w:p>
      <w:pPr>
        <w:adjustRightInd w:val="0"/>
        <w:snapToGrid w:val="0"/>
        <w:spacing w:line="360" w:lineRule="exact"/>
        <w:ind w:firstLine="440" w:firstLineChars="200"/>
        <w:rPr>
          <w:rFonts w:ascii="宋体" w:hAnsi="宋体" w:cs="Calibri"/>
          <w:sz w:val="22"/>
        </w:rPr>
      </w:pPr>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5" w:name="_Toc13012"/>
      <w:r>
        <w:rPr>
          <w:rFonts w:ascii="宋体" w:hAnsi="宋体" w:cs="Calibri"/>
          <w:b/>
          <w:bCs/>
          <w:kern w:val="0"/>
          <w:sz w:val="22"/>
        </w:rPr>
        <w:t>1.</w:t>
      </w:r>
      <w:r>
        <w:rPr>
          <w:rFonts w:hint="eastAsia" w:ascii="宋体" w:hAnsi="宋体" w:cs="Calibri"/>
          <w:b/>
          <w:bCs/>
          <w:kern w:val="0"/>
          <w:sz w:val="22"/>
        </w:rPr>
        <w:t>6</w:t>
      </w:r>
      <w:r>
        <w:rPr>
          <w:rFonts w:ascii="宋体" w:hAnsi="宋体" w:cs="Calibri"/>
          <w:b/>
          <w:bCs/>
          <w:kern w:val="0"/>
          <w:sz w:val="22"/>
        </w:rPr>
        <w:t xml:space="preserve"> 投标人资质条件、能力和信誉</w:t>
      </w:r>
      <w:bookmarkEnd w:id="45"/>
    </w:p>
    <w:p>
      <w:pPr>
        <w:adjustRightInd w:val="0"/>
        <w:snapToGrid w:val="0"/>
        <w:spacing w:line="360" w:lineRule="exact"/>
        <w:ind w:firstLine="440" w:firstLineChars="200"/>
        <w:rPr>
          <w:rFonts w:ascii="宋体" w:hAnsi="宋体" w:cs="Calibri"/>
          <w:sz w:val="22"/>
        </w:rPr>
      </w:pPr>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6" w:name="_Toc2796"/>
      <w:r>
        <w:rPr>
          <w:rFonts w:ascii="宋体" w:hAnsi="宋体" w:cs="Calibri"/>
          <w:b/>
          <w:bCs/>
          <w:kern w:val="0"/>
          <w:sz w:val="22"/>
        </w:rPr>
        <w:t>1.</w:t>
      </w:r>
      <w:r>
        <w:rPr>
          <w:rFonts w:hint="eastAsia" w:ascii="宋体" w:hAnsi="宋体" w:cs="Calibri"/>
          <w:b/>
          <w:bCs/>
          <w:kern w:val="0"/>
          <w:sz w:val="22"/>
        </w:rPr>
        <w:t>7</w:t>
      </w:r>
      <w:r>
        <w:rPr>
          <w:rFonts w:ascii="宋体" w:hAnsi="宋体" w:cs="Calibri"/>
          <w:b/>
          <w:bCs/>
          <w:kern w:val="0"/>
          <w:sz w:val="22"/>
        </w:rPr>
        <w:t xml:space="preserve"> </w:t>
      </w:r>
      <w:r>
        <w:rPr>
          <w:rFonts w:hint="eastAsia" w:ascii="宋体" w:hAnsi="宋体" w:cs="Calibri"/>
          <w:b/>
          <w:bCs/>
          <w:kern w:val="0"/>
          <w:sz w:val="22"/>
        </w:rPr>
        <w:t>服务</w:t>
      </w:r>
      <w:r>
        <w:rPr>
          <w:rFonts w:ascii="宋体" w:hAnsi="宋体" w:cs="Calibri"/>
          <w:b/>
          <w:bCs/>
          <w:kern w:val="0"/>
          <w:sz w:val="22"/>
        </w:rPr>
        <w:t>期</w:t>
      </w:r>
      <w:bookmarkEnd w:id="46"/>
    </w:p>
    <w:p>
      <w:pPr>
        <w:adjustRightInd w:val="0"/>
        <w:snapToGrid w:val="0"/>
        <w:spacing w:line="360" w:lineRule="exact"/>
        <w:ind w:firstLine="440" w:firstLineChars="200"/>
        <w:rPr>
          <w:rFonts w:ascii="宋体" w:hAnsi="宋体" w:cs="Calibri"/>
          <w:sz w:val="22"/>
        </w:rPr>
      </w:pPr>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1.8 质量要求</w:t>
      </w:r>
    </w:p>
    <w:p>
      <w:pPr>
        <w:adjustRightInd w:val="0"/>
        <w:snapToGrid w:val="0"/>
        <w:spacing w:line="360" w:lineRule="exact"/>
        <w:ind w:firstLine="440" w:firstLineChars="200"/>
        <w:rPr>
          <w:rFonts w:ascii="宋体" w:hAnsi="宋体" w:cs="Calibri"/>
          <w:sz w:val="22"/>
        </w:rPr>
      </w:pPr>
      <w:bookmarkStart w:id="47" w:name="_Toc13907"/>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w:t>
      </w:r>
      <w:r>
        <w:rPr>
          <w:rFonts w:hint="eastAsia" w:ascii="宋体" w:hAnsi="宋体" w:cs="Calibri"/>
          <w:b/>
          <w:bCs/>
          <w:kern w:val="0"/>
          <w:sz w:val="22"/>
        </w:rPr>
        <w:t>9</w:t>
      </w:r>
      <w:r>
        <w:rPr>
          <w:rFonts w:ascii="宋体" w:hAnsi="宋体" w:cs="Calibri"/>
          <w:b/>
          <w:bCs/>
          <w:kern w:val="0"/>
          <w:sz w:val="22"/>
        </w:rPr>
        <w:t xml:space="preserve"> 踏勘现场</w:t>
      </w:r>
      <w:bookmarkEnd w:id="47"/>
    </w:p>
    <w:p>
      <w:pPr>
        <w:adjustRightInd w:val="0"/>
        <w:snapToGrid w:val="0"/>
        <w:spacing w:line="360" w:lineRule="exact"/>
        <w:ind w:firstLine="440" w:firstLineChars="200"/>
        <w:rPr>
          <w:rFonts w:ascii="宋体" w:hAnsi="宋体" w:cs="Calibri"/>
          <w:sz w:val="22"/>
        </w:rPr>
      </w:pPr>
      <w:r>
        <w:rPr>
          <w:rFonts w:ascii="宋体" w:hAnsi="宋体" w:cs="Calibri"/>
          <w:sz w:val="22"/>
        </w:rPr>
        <w:t>1.</w:t>
      </w:r>
      <w:r>
        <w:rPr>
          <w:rFonts w:hint="eastAsia" w:ascii="宋体" w:hAnsi="宋体" w:cs="Calibri"/>
          <w:sz w:val="22"/>
        </w:rPr>
        <w:t>9</w:t>
      </w:r>
      <w:r>
        <w:rPr>
          <w:rFonts w:ascii="宋体" w:hAnsi="宋体" w:cs="Calibri"/>
          <w:sz w:val="22"/>
        </w:rPr>
        <w:t>.1投标人须知前附表规定组织踏勘现场的，招标人按投标人须知前附表规定的时间、地点组织投标人踏勘项目现场。</w:t>
      </w:r>
    </w:p>
    <w:p>
      <w:pPr>
        <w:adjustRightInd w:val="0"/>
        <w:snapToGrid w:val="0"/>
        <w:spacing w:line="360" w:lineRule="exact"/>
        <w:ind w:firstLine="440" w:firstLineChars="200"/>
        <w:rPr>
          <w:rFonts w:ascii="宋体" w:hAnsi="宋体" w:cs="Calibri"/>
          <w:sz w:val="22"/>
        </w:rPr>
      </w:pPr>
      <w:r>
        <w:rPr>
          <w:rFonts w:ascii="宋体" w:hAnsi="宋体" w:cs="Calibri"/>
          <w:sz w:val="22"/>
        </w:rPr>
        <w:t>1.</w:t>
      </w:r>
      <w:r>
        <w:rPr>
          <w:rFonts w:hint="eastAsia" w:ascii="宋体" w:hAnsi="宋体" w:cs="Calibri"/>
          <w:sz w:val="22"/>
        </w:rPr>
        <w:t>9</w:t>
      </w:r>
      <w:r>
        <w:rPr>
          <w:rFonts w:ascii="宋体" w:hAnsi="宋体" w:cs="Calibri"/>
          <w:sz w:val="22"/>
        </w:rPr>
        <w:t>.2 投标人踏勘现场发生的费用自理。</w:t>
      </w:r>
    </w:p>
    <w:p>
      <w:pPr>
        <w:adjustRightInd w:val="0"/>
        <w:snapToGrid w:val="0"/>
        <w:spacing w:line="360" w:lineRule="exact"/>
        <w:ind w:firstLine="440" w:firstLineChars="200"/>
        <w:rPr>
          <w:rFonts w:ascii="宋体" w:hAnsi="宋体" w:cs="Calibri"/>
          <w:sz w:val="22"/>
        </w:rPr>
      </w:pPr>
      <w:r>
        <w:rPr>
          <w:rFonts w:ascii="宋体" w:hAnsi="宋体" w:cs="Calibri"/>
          <w:sz w:val="22"/>
        </w:rPr>
        <w:t>1.</w:t>
      </w:r>
      <w:r>
        <w:rPr>
          <w:rFonts w:hint="eastAsia" w:ascii="宋体" w:hAnsi="宋体" w:cs="Calibri"/>
          <w:sz w:val="22"/>
        </w:rPr>
        <w:t>9</w:t>
      </w:r>
      <w:r>
        <w:rPr>
          <w:rFonts w:ascii="宋体" w:hAnsi="宋体" w:cs="Calibri"/>
          <w:sz w:val="22"/>
        </w:rPr>
        <w:t>.3 投标人自行负责在踏勘现场中所发生的人员伤亡和财产损失。</w:t>
      </w:r>
    </w:p>
    <w:p>
      <w:pPr>
        <w:adjustRightInd w:val="0"/>
        <w:snapToGrid w:val="0"/>
        <w:spacing w:line="360" w:lineRule="exact"/>
        <w:ind w:firstLine="440" w:firstLineChars="200"/>
        <w:rPr>
          <w:rFonts w:ascii="宋体" w:hAnsi="宋体" w:cs="Calibri"/>
          <w:sz w:val="22"/>
        </w:rPr>
      </w:pPr>
      <w:r>
        <w:rPr>
          <w:rFonts w:ascii="宋体" w:hAnsi="宋体" w:cs="Calibri"/>
          <w:sz w:val="22"/>
        </w:rPr>
        <w:t>1.</w:t>
      </w:r>
      <w:r>
        <w:rPr>
          <w:rFonts w:hint="eastAsia" w:ascii="宋体" w:hAnsi="宋体" w:cs="Calibri"/>
          <w:sz w:val="22"/>
        </w:rPr>
        <w:t>9</w:t>
      </w:r>
      <w:r>
        <w:rPr>
          <w:rFonts w:ascii="宋体" w:hAnsi="宋体" w:cs="Calibri"/>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ascii="宋体" w:hAnsi="宋体" w:cs="Calibri"/>
          <w:b/>
          <w:bCs/>
          <w:kern w:val="0"/>
          <w:sz w:val="22"/>
        </w:rPr>
      </w:pPr>
      <w:bookmarkStart w:id="48" w:name="_Toc4199"/>
      <w:r>
        <w:rPr>
          <w:rFonts w:ascii="宋体" w:hAnsi="宋体" w:cs="Calibri"/>
          <w:b/>
          <w:bCs/>
          <w:kern w:val="0"/>
          <w:sz w:val="22"/>
        </w:rPr>
        <w:t>1.</w:t>
      </w:r>
      <w:r>
        <w:rPr>
          <w:rFonts w:hint="eastAsia" w:ascii="宋体" w:hAnsi="宋体" w:cs="Calibri"/>
          <w:b/>
          <w:bCs/>
          <w:kern w:val="0"/>
          <w:sz w:val="22"/>
        </w:rPr>
        <w:t>10</w:t>
      </w:r>
      <w:r>
        <w:rPr>
          <w:rFonts w:ascii="宋体" w:hAnsi="宋体" w:cs="Calibri"/>
          <w:b/>
          <w:bCs/>
          <w:kern w:val="0"/>
          <w:sz w:val="22"/>
        </w:rPr>
        <w:t xml:space="preserve"> 投标预备会</w:t>
      </w:r>
      <w:bookmarkEnd w:id="48"/>
    </w:p>
    <w:p>
      <w:pPr>
        <w:adjustRightInd w:val="0"/>
        <w:snapToGrid w:val="0"/>
        <w:spacing w:line="360" w:lineRule="exact"/>
        <w:ind w:firstLine="440" w:firstLineChars="200"/>
        <w:rPr>
          <w:rFonts w:ascii="宋体" w:hAnsi="宋体" w:cs="Calibri"/>
          <w:sz w:val="22"/>
        </w:rPr>
      </w:pPr>
      <w:r>
        <w:rPr>
          <w:rFonts w:ascii="宋体" w:hAnsi="宋体" w:cs="Calibri"/>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49" w:name="_Toc4584"/>
      <w:r>
        <w:rPr>
          <w:rFonts w:ascii="宋体" w:hAnsi="宋体" w:cs="Calibri"/>
          <w:b/>
          <w:bCs/>
          <w:kern w:val="0"/>
          <w:sz w:val="22"/>
        </w:rPr>
        <w:t>1.1</w:t>
      </w:r>
      <w:r>
        <w:rPr>
          <w:rFonts w:hint="eastAsia" w:ascii="宋体" w:hAnsi="宋体" w:cs="Calibri"/>
          <w:b/>
          <w:bCs/>
          <w:kern w:val="0"/>
          <w:sz w:val="22"/>
        </w:rPr>
        <w:t>1</w:t>
      </w:r>
      <w:r>
        <w:rPr>
          <w:rFonts w:ascii="宋体" w:hAnsi="宋体" w:cs="Calibri"/>
          <w:b/>
          <w:bCs/>
          <w:kern w:val="0"/>
          <w:sz w:val="22"/>
        </w:rPr>
        <w:t xml:space="preserve"> 分包</w:t>
      </w:r>
      <w:bookmarkEnd w:id="49"/>
    </w:p>
    <w:p>
      <w:pPr>
        <w:adjustRightInd w:val="0"/>
        <w:snapToGrid w:val="0"/>
        <w:spacing w:line="360" w:lineRule="exact"/>
        <w:ind w:firstLine="440" w:firstLineChars="200"/>
        <w:rPr>
          <w:rFonts w:ascii="宋体" w:hAnsi="宋体" w:cs="Calibri"/>
          <w:sz w:val="22"/>
        </w:rPr>
      </w:pPr>
      <w:r>
        <w:rPr>
          <w:rFonts w:ascii="宋体" w:hAnsi="宋体" w:cs="Calibri"/>
          <w:sz w:val="22"/>
        </w:rPr>
        <w:t>本项目</w:t>
      </w:r>
      <w:r>
        <w:rPr>
          <w:rFonts w:hint="eastAsia" w:ascii="宋体" w:hAnsi="宋体" w:cs="Calibri"/>
          <w:sz w:val="22"/>
        </w:rPr>
        <w:t>涉及到其它专业的部分分项工作</w:t>
      </w:r>
      <w:r>
        <w:rPr>
          <w:rFonts w:ascii="宋体" w:hAnsi="宋体" w:cs="Calibri"/>
          <w:sz w:val="22"/>
        </w:rPr>
        <w:t>允许分包。</w:t>
      </w:r>
    </w:p>
    <w:p>
      <w:pPr>
        <w:autoSpaceDE w:val="0"/>
        <w:autoSpaceDN w:val="0"/>
        <w:adjustRightInd w:val="0"/>
        <w:snapToGrid w:val="0"/>
        <w:spacing w:line="360" w:lineRule="exact"/>
        <w:rPr>
          <w:rFonts w:ascii="宋体" w:hAnsi="宋体" w:cs="Calibri"/>
          <w:b/>
          <w:bCs/>
          <w:kern w:val="0"/>
          <w:sz w:val="22"/>
        </w:rPr>
      </w:pPr>
      <w:bookmarkStart w:id="50" w:name="_Toc3996"/>
      <w:r>
        <w:rPr>
          <w:rFonts w:ascii="宋体" w:hAnsi="宋体" w:cs="Calibri"/>
          <w:b/>
          <w:bCs/>
          <w:kern w:val="0"/>
          <w:sz w:val="22"/>
        </w:rPr>
        <w:t>1.1</w:t>
      </w:r>
      <w:r>
        <w:rPr>
          <w:rFonts w:hint="eastAsia" w:ascii="宋体" w:hAnsi="宋体" w:cs="Calibri"/>
          <w:b/>
          <w:bCs/>
          <w:kern w:val="0"/>
          <w:sz w:val="22"/>
        </w:rPr>
        <w:t>2</w:t>
      </w:r>
      <w:r>
        <w:rPr>
          <w:rFonts w:ascii="宋体" w:hAnsi="宋体" w:cs="Calibri"/>
          <w:b/>
          <w:bCs/>
          <w:kern w:val="0"/>
          <w:sz w:val="22"/>
        </w:rPr>
        <w:t xml:space="preserve"> 投标费用</w:t>
      </w:r>
      <w:bookmarkEnd w:id="50"/>
    </w:p>
    <w:p>
      <w:pPr>
        <w:adjustRightInd w:val="0"/>
        <w:snapToGrid w:val="0"/>
        <w:spacing w:line="360" w:lineRule="exact"/>
        <w:ind w:firstLine="440" w:firstLineChars="200"/>
        <w:rPr>
          <w:rFonts w:ascii="宋体" w:hAnsi="宋体" w:cs="Calibri"/>
          <w:sz w:val="22"/>
        </w:rPr>
      </w:pPr>
      <w:r>
        <w:rPr>
          <w:rFonts w:ascii="宋体" w:hAnsi="宋体" w:cs="Calibri"/>
          <w:sz w:val="22"/>
        </w:rPr>
        <w:t>投标人在投标过程中的一切费用，不论中标与否，均由投标人自理。</w:t>
      </w:r>
    </w:p>
    <w:p>
      <w:pPr>
        <w:autoSpaceDE w:val="0"/>
        <w:autoSpaceDN w:val="0"/>
        <w:adjustRightInd w:val="0"/>
        <w:snapToGrid w:val="0"/>
        <w:spacing w:line="360" w:lineRule="exact"/>
        <w:rPr>
          <w:rFonts w:ascii="宋体" w:hAnsi="宋体" w:cs="Calibri"/>
          <w:b/>
          <w:bCs/>
          <w:kern w:val="0"/>
          <w:sz w:val="22"/>
        </w:rPr>
      </w:pPr>
      <w:bookmarkStart w:id="51" w:name="_Toc143421657"/>
      <w:bookmarkStart w:id="52" w:name="_Toc15241"/>
      <w:r>
        <w:rPr>
          <w:rFonts w:ascii="宋体" w:hAnsi="宋体" w:cs="Calibri"/>
          <w:b/>
          <w:bCs/>
          <w:kern w:val="0"/>
          <w:sz w:val="22"/>
        </w:rPr>
        <w:t>2.招标文件</w:t>
      </w:r>
      <w:bookmarkEnd w:id="51"/>
      <w:bookmarkEnd w:id="52"/>
    </w:p>
    <w:p>
      <w:pPr>
        <w:autoSpaceDE w:val="0"/>
        <w:autoSpaceDN w:val="0"/>
        <w:adjustRightInd w:val="0"/>
        <w:snapToGrid w:val="0"/>
        <w:spacing w:line="360" w:lineRule="exact"/>
        <w:rPr>
          <w:rFonts w:ascii="宋体" w:hAnsi="宋体" w:cs="Calibri"/>
          <w:b/>
          <w:bCs/>
          <w:kern w:val="0"/>
          <w:sz w:val="22"/>
        </w:rPr>
      </w:pPr>
      <w:bookmarkStart w:id="53" w:name="_Toc1426"/>
      <w:r>
        <w:rPr>
          <w:rFonts w:ascii="宋体" w:hAnsi="宋体" w:cs="Calibri"/>
          <w:b/>
          <w:bCs/>
          <w:kern w:val="0"/>
          <w:sz w:val="22"/>
        </w:rPr>
        <w:t>2.1 招标文件的组成</w:t>
      </w:r>
      <w:bookmarkEnd w:id="53"/>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（2）投标人须知</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w:t>
      </w:r>
      <w:r>
        <w:rPr>
          <w:rFonts w:hint="eastAsia" w:ascii="宋体" w:hAnsi="宋体" w:cs="Calibri"/>
          <w:kern w:val="0"/>
          <w:sz w:val="22"/>
        </w:rPr>
        <w:t>服务技术标准及要求</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w:t>
      </w:r>
      <w:r>
        <w:rPr>
          <w:rFonts w:hint="eastAsia" w:ascii="宋体" w:hAnsi="宋体" w:cs="Calibri"/>
          <w:kern w:val="0"/>
          <w:sz w:val="22"/>
        </w:rPr>
        <w:t>4</w:t>
      </w:r>
      <w:r>
        <w:rPr>
          <w:rFonts w:ascii="宋体" w:hAnsi="宋体" w:cs="Calibri"/>
          <w:kern w:val="0"/>
          <w:sz w:val="22"/>
        </w:rPr>
        <w:t>）合同条款</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w:t>
      </w:r>
      <w:r>
        <w:rPr>
          <w:rFonts w:hint="eastAsia" w:ascii="宋体" w:hAnsi="宋体" w:cs="Calibri"/>
          <w:kern w:val="0"/>
          <w:sz w:val="22"/>
        </w:rPr>
        <w:t>5</w:t>
      </w:r>
      <w:r>
        <w:rPr>
          <w:rFonts w:ascii="宋体" w:hAnsi="宋体" w:cs="Calibri"/>
          <w:kern w:val="0"/>
          <w:sz w:val="22"/>
        </w:rPr>
        <w:t>）评标办法及标准</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w:t>
      </w:r>
      <w:r>
        <w:rPr>
          <w:rFonts w:hint="eastAsia" w:ascii="宋体" w:hAnsi="宋体" w:cs="Calibri"/>
          <w:kern w:val="0"/>
          <w:sz w:val="22"/>
        </w:rPr>
        <w:t>6</w:t>
      </w:r>
      <w:r>
        <w:rPr>
          <w:rFonts w:ascii="宋体" w:hAnsi="宋体" w:cs="Calibri"/>
          <w:kern w:val="0"/>
          <w:sz w:val="22"/>
        </w:rPr>
        <w:t>）投标文件格式</w:t>
      </w:r>
    </w:p>
    <w:p>
      <w:pPr>
        <w:adjustRightInd w:val="0"/>
        <w:snapToGrid w:val="0"/>
        <w:spacing w:line="360" w:lineRule="exact"/>
        <w:ind w:firstLine="440" w:firstLineChars="20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cs="Calibri"/>
          <w:b/>
          <w:bCs/>
          <w:kern w:val="0"/>
          <w:sz w:val="22"/>
        </w:rPr>
      </w:pPr>
      <w:bookmarkStart w:id="54" w:name="_Toc18230"/>
      <w:r>
        <w:rPr>
          <w:rFonts w:ascii="宋体" w:hAnsi="宋体" w:cs="Calibri"/>
          <w:b/>
          <w:bCs/>
          <w:kern w:val="0"/>
          <w:sz w:val="22"/>
        </w:rPr>
        <w:t>2.2 招标文件的澄清</w:t>
      </w:r>
      <w:bookmarkEnd w:id="54"/>
    </w:p>
    <w:p>
      <w:pPr>
        <w:adjustRightInd w:val="0"/>
        <w:snapToGrid w:val="0"/>
        <w:spacing w:line="360" w:lineRule="exact"/>
        <w:ind w:firstLine="440"/>
        <w:rPr>
          <w:rFonts w:ascii="宋体" w:hAnsi="宋体" w:cs="Calibri"/>
          <w:sz w:val="22"/>
        </w:rPr>
      </w:pPr>
      <w:bookmarkStart w:id="55" w:name="_Toc18303"/>
      <w:r>
        <w:rPr>
          <w:rFonts w:ascii="宋体" w:hAnsi="宋体" w:cs="Calibri"/>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cs="Calibri"/>
          <w:sz w:val="22"/>
        </w:rPr>
      </w:pPr>
      <w:r>
        <w:rPr>
          <w:rFonts w:ascii="宋体" w:hAnsi="宋体" w:cs="Calibri"/>
          <w:sz w:val="22"/>
        </w:rPr>
        <w:t>2.2.2</w:t>
      </w:r>
      <w:r>
        <w:rPr>
          <w:rFonts w:hint="eastAsia" w:ascii="宋体" w:hAnsi="宋体" w:cs="Calibri"/>
          <w:kern w:val="0"/>
          <w:sz w:val="22"/>
        </w:rPr>
        <w:t>招标人将视情况采用补充公告的方式予以澄清。</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2.3 招标文件的修改</w:t>
      </w:r>
      <w:bookmarkEnd w:id="55"/>
    </w:p>
    <w:p>
      <w:pPr>
        <w:adjustRightInd w:val="0"/>
        <w:snapToGrid w:val="0"/>
        <w:spacing w:line="360" w:lineRule="exact"/>
        <w:ind w:firstLine="440"/>
        <w:rPr>
          <w:rFonts w:ascii="宋体" w:hAnsi="宋体" w:cs="Calibri"/>
          <w:sz w:val="22"/>
        </w:rPr>
      </w:pPr>
      <w:r>
        <w:rPr>
          <w:rFonts w:ascii="宋体" w:hAnsi="宋体" w:cs="Calibri"/>
          <w:kern w:val="0"/>
          <w:sz w:val="22"/>
        </w:rPr>
        <w:t>2.3.1</w:t>
      </w: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ascii="宋体" w:hAnsi="宋体" w:cs="Calibri"/>
          <w:sz w:val="22"/>
        </w:rPr>
      </w:pPr>
      <w:r>
        <w:rPr>
          <w:rFonts w:ascii="宋体" w:hAnsi="宋体" w:cs="Calibri"/>
          <w:sz w:val="22"/>
        </w:rPr>
        <w:t>2.3.2</w:t>
      </w:r>
      <w:r>
        <w:rPr>
          <w:rFonts w:hint="eastAsia" w:ascii="宋体" w:hAnsi="宋体" w:cs="Calibri"/>
          <w:sz w:val="22"/>
        </w:rPr>
        <w:t>招标文件的修改为招标文件的组成部分，对投标人有约束力。</w:t>
      </w:r>
    </w:p>
    <w:p>
      <w:pPr>
        <w:autoSpaceDE w:val="0"/>
        <w:autoSpaceDN w:val="0"/>
        <w:adjustRightInd w:val="0"/>
        <w:snapToGrid w:val="0"/>
        <w:spacing w:line="360" w:lineRule="exact"/>
        <w:rPr>
          <w:rFonts w:ascii="宋体" w:hAnsi="宋体" w:cs="Calibri"/>
          <w:b/>
          <w:bCs/>
          <w:kern w:val="0"/>
          <w:sz w:val="22"/>
        </w:rPr>
      </w:pPr>
      <w:bookmarkStart w:id="56" w:name="_Toc143421658"/>
      <w:bookmarkStart w:id="57" w:name="_Toc18870"/>
      <w:r>
        <w:rPr>
          <w:rFonts w:ascii="宋体" w:hAnsi="宋体" w:cs="Calibri"/>
          <w:b/>
          <w:bCs/>
          <w:kern w:val="0"/>
          <w:sz w:val="22"/>
        </w:rPr>
        <w:t>3.投标文件</w:t>
      </w:r>
      <w:bookmarkEnd w:id="56"/>
      <w:bookmarkEnd w:id="57"/>
    </w:p>
    <w:p>
      <w:pPr>
        <w:autoSpaceDE w:val="0"/>
        <w:autoSpaceDN w:val="0"/>
        <w:adjustRightInd w:val="0"/>
        <w:snapToGrid w:val="0"/>
        <w:spacing w:line="360" w:lineRule="exact"/>
        <w:rPr>
          <w:rFonts w:ascii="宋体" w:hAnsi="宋体" w:cs="Calibri"/>
          <w:b/>
          <w:bCs/>
          <w:kern w:val="0"/>
          <w:sz w:val="22"/>
        </w:rPr>
      </w:pPr>
      <w:bookmarkStart w:id="58" w:name="_Toc461"/>
      <w:r>
        <w:rPr>
          <w:rFonts w:ascii="宋体" w:hAnsi="宋体" w:cs="Calibri"/>
          <w:b/>
          <w:bCs/>
          <w:kern w:val="0"/>
          <w:sz w:val="22"/>
        </w:rPr>
        <w:t>3.1 投标文件的语言和计量单位</w:t>
      </w:r>
      <w:bookmarkEnd w:id="58"/>
    </w:p>
    <w:p>
      <w:pPr>
        <w:adjustRightInd w:val="0"/>
        <w:snapToGrid w:val="0"/>
        <w:spacing w:line="360" w:lineRule="exact"/>
        <w:ind w:firstLine="440" w:firstLineChars="20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3.1.4招标文件中所指的“合同”除特别说明外，指 “</w:t>
      </w:r>
      <w:r>
        <w:rPr>
          <w:rFonts w:hint="eastAsia" w:ascii="宋体" w:hAnsi="宋体" w:cs="Calibri"/>
          <w:kern w:val="0"/>
          <w:sz w:val="22"/>
        </w:rPr>
        <w:t>服务</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59" w:name="_Toc1411"/>
      <w:r>
        <w:rPr>
          <w:rFonts w:ascii="宋体" w:hAnsi="宋体" w:cs="Calibri"/>
          <w:b/>
          <w:bCs/>
          <w:kern w:val="0"/>
          <w:sz w:val="22"/>
        </w:rPr>
        <w:t>3.2 投标文件的组成</w:t>
      </w:r>
      <w:bookmarkEnd w:id="59"/>
    </w:p>
    <w:p>
      <w:pPr>
        <w:adjustRightInd w:val="0"/>
        <w:snapToGrid w:val="0"/>
        <w:spacing w:line="360" w:lineRule="exact"/>
        <w:ind w:firstLine="440" w:firstLineChars="200"/>
        <w:rPr>
          <w:rFonts w:ascii="宋体" w:hAnsi="宋体" w:cs="Calibri"/>
          <w:sz w:val="22"/>
        </w:rPr>
      </w:pPr>
      <w:bookmarkStart w:id="60" w:name="_Toc32225"/>
      <w:r>
        <w:rPr>
          <w:rFonts w:ascii="宋体" w:hAnsi="宋体" w:cs="Calibri"/>
          <w:sz w:val="22"/>
        </w:rPr>
        <w:t>3.2.1投标函；</w:t>
      </w:r>
    </w:p>
    <w:p>
      <w:pPr>
        <w:adjustRightInd w:val="0"/>
        <w:snapToGrid w:val="0"/>
        <w:spacing w:line="360" w:lineRule="exact"/>
        <w:ind w:firstLine="440" w:firstLineChars="200"/>
        <w:rPr>
          <w:rFonts w:ascii="宋体" w:hAnsi="宋体" w:cs="Calibri"/>
          <w:sz w:val="22"/>
        </w:rPr>
      </w:pPr>
      <w:r>
        <w:rPr>
          <w:rFonts w:ascii="宋体" w:hAnsi="宋体" w:cs="Calibri"/>
          <w:sz w:val="22"/>
        </w:rPr>
        <w:t>3.2.</w:t>
      </w:r>
      <w:r>
        <w:rPr>
          <w:rFonts w:hint="eastAsia" w:ascii="宋体" w:hAnsi="宋体" w:cs="Calibri"/>
          <w:sz w:val="22"/>
        </w:rPr>
        <w:t>2</w:t>
      </w:r>
      <w:r>
        <w:rPr>
          <w:rFonts w:ascii="宋体" w:hAnsi="宋体" w:cs="Calibri"/>
          <w:sz w:val="22"/>
        </w:rPr>
        <w:t>法定代表人资格证明书；</w:t>
      </w:r>
    </w:p>
    <w:p>
      <w:pPr>
        <w:adjustRightInd w:val="0"/>
        <w:snapToGrid w:val="0"/>
        <w:spacing w:line="360" w:lineRule="exact"/>
        <w:ind w:firstLine="440" w:firstLineChars="200"/>
        <w:rPr>
          <w:rFonts w:ascii="宋体" w:hAnsi="宋体" w:cs="Calibri"/>
          <w:sz w:val="22"/>
        </w:rPr>
      </w:pPr>
      <w:r>
        <w:rPr>
          <w:rFonts w:ascii="宋体" w:hAnsi="宋体" w:cs="Calibri"/>
          <w:sz w:val="22"/>
        </w:rPr>
        <w:t>3.2.</w:t>
      </w:r>
      <w:r>
        <w:rPr>
          <w:rFonts w:hint="eastAsia" w:ascii="宋体" w:hAnsi="宋体" w:cs="Calibri"/>
          <w:sz w:val="22"/>
        </w:rPr>
        <w:t>3</w:t>
      </w:r>
      <w:r>
        <w:rPr>
          <w:rFonts w:ascii="宋体" w:hAnsi="宋体" w:cs="Calibri"/>
          <w:sz w:val="22"/>
        </w:rPr>
        <w:t>授权委托书；</w:t>
      </w:r>
    </w:p>
    <w:p>
      <w:pPr>
        <w:adjustRightInd w:val="0"/>
        <w:snapToGrid w:val="0"/>
        <w:spacing w:line="360" w:lineRule="exact"/>
        <w:ind w:firstLine="440" w:firstLineChars="200"/>
        <w:rPr>
          <w:rFonts w:ascii="宋体" w:hAnsi="宋体" w:cs="Calibri"/>
          <w:sz w:val="22"/>
        </w:rPr>
      </w:pPr>
      <w:r>
        <w:rPr>
          <w:rFonts w:ascii="宋体" w:hAnsi="宋体" w:cs="Calibri"/>
          <w:sz w:val="22"/>
        </w:rPr>
        <w:t>3.2.</w:t>
      </w:r>
      <w:r>
        <w:rPr>
          <w:rFonts w:hint="eastAsia" w:ascii="宋体" w:hAnsi="宋体" w:cs="Calibri"/>
          <w:sz w:val="22"/>
        </w:rPr>
        <w:t>4</w:t>
      </w:r>
      <w:r>
        <w:rPr>
          <w:rFonts w:ascii="宋体" w:hAnsi="宋体" w:cs="Calibri"/>
          <w:sz w:val="22"/>
        </w:rPr>
        <w:t xml:space="preserve"> 投标报价表；</w:t>
      </w:r>
    </w:p>
    <w:p>
      <w:pPr>
        <w:adjustRightInd w:val="0"/>
        <w:snapToGrid w:val="0"/>
        <w:spacing w:line="360" w:lineRule="exact"/>
        <w:ind w:firstLine="440" w:firstLineChars="200"/>
        <w:rPr>
          <w:rFonts w:ascii="宋体" w:hAnsi="宋体" w:cs="Calibri"/>
          <w:sz w:val="22"/>
        </w:rPr>
      </w:pPr>
      <w:r>
        <w:rPr>
          <w:rFonts w:ascii="宋体" w:hAnsi="宋体" w:cs="Calibri"/>
          <w:sz w:val="22"/>
        </w:rPr>
        <w:t>3.2.5投标人资格证明文件：</w:t>
      </w:r>
    </w:p>
    <w:p>
      <w:pPr>
        <w:adjustRightInd w:val="0"/>
        <w:snapToGrid w:val="0"/>
        <w:spacing w:line="360" w:lineRule="exact"/>
        <w:ind w:firstLine="440" w:firstLineChars="200"/>
        <w:rPr>
          <w:rFonts w:ascii="宋体" w:hAnsi="宋体" w:cs="Calibri"/>
          <w:sz w:val="22"/>
        </w:rPr>
      </w:pPr>
      <w:r>
        <w:rPr>
          <w:rFonts w:ascii="宋体" w:hAnsi="宋体" w:cs="Calibri"/>
          <w:sz w:val="22"/>
        </w:rPr>
        <w:t>（1）投标人一般情况</w:t>
      </w:r>
      <w:r>
        <w:rPr>
          <w:rFonts w:hint="eastAsia" w:ascii="宋体" w:hAnsi="宋体" w:cs="Calibri"/>
          <w:sz w:val="22"/>
        </w:rPr>
        <w:t>及</w:t>
      </w:r>
      <w:r>
        <w:rPr>
          <w:rFonts w:ascii="宋体" w:hAnsi="宋体" w:cs="Calibri"/>
          <w:sz w:val="22"/>
        </w:rPr>
        <w:t>有关证明投标人法律地位的文件（包括营业执照</w:t>
      </w:r>
      <w:r>
        <w:rPr>
          <w:rFonts w:hint="eastAsia" w:ascii="宋体" w:hAnsi="宋体" w:cs="Calibri"/>
          <w:sz w:val="22"/>
        </w:rPr>
        <w:t>、税务登记证、</w:t>
      </w:r>
      <w:r>
        <w:rPr>
          <w:rFonts w:ascii="宋体" w:hAnsi="宋体" w:cs="Calibri"/>
          <w:sz w:val="22"/>
        </w:rPr>
        <w:t>一般纳税人证明材料</w:t>
      </w:r>
      <w:r>
        <w:rPr>
          <w:rFonts w:hint="eastAsia" w:ascii="宋体" w:hAnsi="宋体" w:cs="Calibri"/>
          <w:sz w:val="22"/>
        </w:rPr>
        <w:t>、</w:t>
      </w:r>
      <w:r>
        <w:rPr>
          <w:rFonts w:ascii="宋体" w:hAnsi="宋体" w:cs="Calibri"/>
          <w:sz w:val="22"/>
        </w:rPr>
        <w:t>资质</w:t>
      </w:r>
      <w:r>
        <w:rPr>
          <w:rFonts w:hint="eastAsia" w:ascii="宋体" w:hAnsi="宋体" w:cs="Calibri"/>
          <w:sz w:val="22"/>
        </w:rPr>
        <w:t>证书</w:t>
      </w:r>
      <w:r>
        <w:rPr>
          <w:rFonts w:ascii="宋体" w:hAnsi="宋体" w:cs="Calibri"/>
          <w:sz w:val="22"/>
        </w:rPr>
        <w:t>等），说明投标人的注册地点和主要经营范围；</w:t>
      </w:r>
    </w:p>
    <w:p>
      <w:pPr>
        <w:adjustRightInd w:val="0"/>
        <w:snapToGrid w:val="0"/>
        <w:spacing w:line="360" w:lineRule="exact"/>
        <w:ind w:firstLine="440" w:firstLineChars="200"/>
        <w:rPr>
          <w:rFonts w:ascii="宋体" w:hAnsi="宋体" w:cs="Calibri"/>
          <w:sz w:val="22"/>
        </w:rPr>
      </w:pPr>
      <w:r>
        <w:rPr>
          <w:rFonts w:ascii="宋体" w:hAnsi="宋体" w:cs="Calibri"/>
          <w:sz w:val="22"/>
        </w:rPr>
        <w:t>（2）有关证明投标人的企业信誉及获得各种奖励等资料；</w:t>
      </w:r>
    </w:p>
    <w:p>
      <w:pPr>
        <w:adjustRightInd w:val="0"/>
        <w:snapToGrid w:val="0"/>
        <w:spacing w:line="360" w:lineRule="exact"/>
        <w:ind w:firstLine="440" w:firstLineChars="200"/>
        <w:rPr>
          <w:rFonts w:ascii="宋体" w:hAnsi="宋体" w:cs="Calibri"/>
          <w:sz w:val="22"/>
        </w:rPr>
      </w:pPr>
      <w:r>
        <w:rPr>
          <w:rFonts w:ascii="宋体" w:hAnsi="宋体" w:cs="Calibri"/>
          <w:sz w:val="22"/>
        </w:rPr>
        <w:t>（3）投标人经济实力：包括企业注册资金、财务报告与报表中反映的财务状况</w:t>
      </w:r>
      <w:r>
        <w:rPr>
          <w:rFonts w:hint="eastAsia" w:ascii="宋体" w:hAnsi="宋体" w:cs="Calibri"/>
          <w:sz w:val="22"/>
        </w:rPr>
        <w:t>；</w:t>
      </w:r>
    </w:p>
    <w:p>
      <w:pPr>
        <w:adjustRightInd w:val="0"/>
        <w:snapToGrid w:val="0"/>
        <w:spacing w:line="360" w:lineRule="exact"/>
        <w:ind w:firstLine="440" w:firstLineChars="200"/>
        <w:rPr>
          <w:rFonts w:ascii="宋体" w:hAnsi="宋体" w:cs="Calibri"/>
          <w:sz w:val="22"/>
        </w:rPr>
      </w:pPr>
      <w:r>
        <w:rPr>
          <w:rFonts w:hint="eastAsia" w:ascii="宋体" w:hAnsi="宋体" w:cs="Calibri"/>
          <w:sz w:val="22"/>
        </w:rPr>
        <w:t>（4）</w:t>
      </w:r>
      <w:r>
        <w:rPr>
          <w:rFonts w:ascii="宋体" w:hAnsi="宋体" w:cs="Calibri"/>
          <w:sz w:val="22"/>
        </w:rPr>
        <w:t>近三年完成类似项目业绩情况</w:t>
      </w:r>
      <w:r>
        <w:rPr>
          <w:rFonts w:hint="eastAsia" w:ascii="宋体" w:hAnsi="宋体" w:cs="Calibri"/>
          <w:sz w:val="22"/>
        </w:rPr>
        <w:t>；</w:t>
      </w:r>
    </w:p>
    <w:p>
      <w:pPr>
        <w:adjustRightInd w:val="0"/>
        <w:snapToGrid w:val="0"/>
        <w:spacing w:line="360" w:lineRule="exact"/>
        <w:ind w:firstLine="440" w:firstLineChars="200"/>
        <w:rPr>
          <w:rFonts w:ascii="宋体" w:hAnsi="宋体" w:cs="Calibri"/>
          <w:sz w:val="22"/>
        </w:rPr>
      </w:pPr>
      <w:r>
        <w:rPr>
          <w:rFonts w:hint="eastAsia" w:ascii="宋体" w:hAnsi="宋体" w:cs="Calibri"/>
          <w:sz w:val="22"/>
        </w:rPr>
        <w:t>（5）招标文件投标人资格要求中提供的相关材料。</w:t>
      </w:r>
    </w:p>
    <w:p>
      <w:pPr>
        <w:adjustRightInd w:val="0"/>
        <w:snapToGrid w:val="0"/>
        <w:spacing w:line="360" w:lineRule="exact"/>
        <w:ind w:firstLine="440" w:firstLineChars="200"/>
        <w:rPr>
          <w:rFonts w:ascii="宋体" w:hAnsi="宋体" w:cs="Calibri"/>
          <w:sz w:val="22"/>
        </w:rPr>
      </w:pPr>
      <w:r>
        <w:rPr>
          <w:rFonts w:ascii="宋体" w:hAnsi="宋体" w:cs="Calibri"/>
          <w:sz w:val="22"/>
        </w:rPr>
        <w:t>3.2.6</w:t>
      </w:r>
      <w:r>
        <w:rPr>
          <w:rFonts w:hint="eastAsia" w:ascii="宋体" w:hAnsi="宋体" w:cs="Calibri"/>
          <w:sz w:val="22"/>
        </w:rPr>
        <w:t xml:space="preserve"> </w:t>
      </w:r>
      <w:r>
        <w:rPr>
          <w:rFonts w:ascii="宋体" w:hAnsi="宋体" w:cs="Calibri"/>
          <w:sz w:val="22"/>
        </w:rPr>
        <w:t>服务大纲</w:t>
      </w:r>
    </w:p>
    <w:p>
      <w:pPr>
        <w:adjustRightInd w:val="0"/>
        <w:snapToGrid w:val="0"/>
        <w:spacing w:line="360" w:lineRule="exact"/>
        <w:ind w:firstLine="440" w:firstLineChars="200"/>
        <w:rPr>
          <w:rFonts w:ascii="宋体" w:hAnsi="宋体" w:cs="Calibri"/>
          <w:sz w:val="22"/>
        </w:rPr>
      </w:pPr>
      <w:r>
        <w:rPr>
          <w:rFonts w:ascii="宋体" w:hAnsi="宋体" w:cs="Calibri"/>
          <w:sz w:val="22"/>
        </w:rPr>
        <w:t>（1）本项目概况；</w:t>
      </w:r>
    </w:p>
    <w:p>
      <w:pPr>
        <w:adjustRightInd w:val="0"/>
        <w:snapToGrid w:val="0"/>
        <w:spacing w:line="360" w:lineRule="exact"/>
        <w:ind w:firstLine="440" w:firstLineChars="200"/>
        <w:rPr>
          <w:rFonts w:ascii="宋体" w:hAnsi="宋体" w:cs="Calibri"/>
          <w:sz w:val="22"/>
        </w:rPr>
      </w:pPr>
      <w:r>
        <w:rPr>
          <w:rFonts w:ascii="宋体" w:hAnsi="宋体" w:cs="Calibri"/>
          <w:sz w:val="22"/>
        </w:rPr>
        <w:t>（2）工作内容和依据；</w:t>
      </w:r>
    </w:p>
    <w:p>
      <w:pPr>
        <w:adjustRightInd w:val="0"/>
        <w:snapToGrid w:val="0"/>
        <w:spacing w:line="360" w:lineRule="exact"/>
        <w:ind w:firstLine="440" w:firstLineChars="200"/>
        <w:rPr>
          <w:rFonts w:ascii="宋体" w:hAnsi="宋体" w:cs="Calibri"/>
          <w:sz w:val="22"/>
        </w:rPr>
      </w:pPr>
      <w:r>
        <w:rPr>
          <w:rFonts w:ascii="宋体" w:hAnsi="宋体" w:cs="Calibri"/>
          <w:sz w:val="22"/>
        </w:rPr>
        <w:t>（3）</w:t>
      </w:r>
      <w:r>
        <w:rPr>
          <w:rFonts w:hint="eastAsia" w:ascii="宋体" w:hAnsi="宋体" w:cs="Calibri"/>
          <w:sz w:val="22"/>
        </w:rPr>
        <w:t>现场机构、人力、物资设备配置</w:t>
      </w:r>
      <w:r>
        <w:rPr>
          <w:rFonts w:ascii="宋体" w:hAnsi="宋体" w:cs="Calibri"/>
          <w:sz w:val="22"/>
        </w:rPr>
        <w:t>；</w:t>
      </w:r>
    </w:p>
    <w:p>
      <w:pPr>
        <w:adjustRightInd w:val="0"/>
        <w:snapToGrid w:val="0"/>
        <w:spacing w:line="360" w:lineRule="exact"/>
        <w:ind w:firstLine="440" w:firstLineChars="200"/>
        <w:rPr>
          <w:rFonts w:ascii="宋体" w:hAnsi="宋体" w:cs="Calibri"/>
          <w:sz w:val="22"/>
        </w:rPr>
      </w:pPr>
      <w:r>
        <w:rPr>
          <w:rFonts w:ascii="宋体" w:hAnsi="宋体" w:cs="Calibri"/>
          <w:sz w:val="22"/>
        </w:rPr>
        <w:t>（4）服务人员的作业安排和进场计划；</w:t>
      </w:r>
    </w:p>
    <w:p>
      <w:pPr>
        <w:adjustRightInd w:val="0"/>
        <w:snapToGrid w:val="0"/>
        <w:spacing w:line="360" w:lineRule="exact"/>
        <w:ind w:firstLine="440" w:firstLineChars="200"/>
        <w:rPr>
          <w:rFonts w:ascii="宋体" w:hAnsi="宋体" w:cs="Calibri"/>
          <w:sz w:val="22"/>
        </w:rPr>
      </w:pPr>
      <w:r>
        <w:rPr>
          <w:rFonts w:ascii="宋体" w:hAnsi="宋体" w:cs="Calibri"/>
          <w:sz w:val="22"/>
        </w:rPr>
        <w:t>（5）</w:t>
      </w:r>
      <w:r>
        <w:rPr>
          <w:rFonts w:hint="eastAsia" w:ascii="宋体" w:hAnsi="宋体" w:cs="Calibri"/>
          <w:sz w:val="22"/>
        </w:rPr>
        <w:t>运行、安全、服务等相关管理方案</w:t>
      </w:r>
      <w:r>
        <w:rPr>
          <w:rFonts w:ascii="宋体" w:hAnsi="宋体" w:cs="Calibri"/>
          <w:sz w:val="22"/>
        </w:rPr>
        <w:t>；</w:t>
      </w:r>
    </w:p>
    <w:p>
      <w:pPr>
        <w:adjustRightInd w:val="0"/>
        <w:snapToGrid w:val="0"/>
        <w:spacing w:line="360" w:lineRule="exact"/>
        <w:ind w:firstLine="440" w:firstLineChars="200"/>
        <w:rPr>
          <w:rFonts w:ascii="宋体" w:hAnsi="宋体" w:cs="Calibri"/>
          <w:sz w:val="22"/>
        </w:rPr>
      </w:pPr>
      <w:r>
        <w:rPr>
          <w:rFonts w:ascii="宋体" w:hAnsi="宋体" w:cs="Calibri"/>
          <w:sz w:val="22"/>
        </w:rPr>
        <w:t>（6）对本项目的实施意见及重点</w:t>
      </w:r>
      <w:r>
        <w:rPr>
          <w:rFonts w:hint="eastAsia" w:ascii="宋体" w:hAnsi="宋体" w:cs="Calibri"/>
          <w:sz w:val="22"/>
        </w:rPr>
        <w:t>、</w:t>
      </w:r>
      <w:r>
        <w:rPr>
          <w:rFonts w:ascii="宋体" w:hAnsi="宋体" w:cs="Calibri"/>
          <w:sz w:val="22"/>
        </w:rPr>
        <w:t>难点控制；</w:t>
      </w:r>
    </w:p>
    <w:p>
      <w:pPr>
        <w:adjustRightInd w:val="0"/>
        <w:snapToGrid w:val="0"/>
        <w:spacing w:line="360" w:lineRule="exact"/>
        <w:ind w:firstLine="440" w:firstLineChars="200"/>
        <w:rPr>
          <w:rFonts w:ascii="宋体" w:hAnsi="宋体" w:cs="Calibri"/>
          <w:sz w:val="22"/>
        </w:rPr>
      </w:pPr>
      <w:r>
        <w:rPr>
          <w:rFonts w:hint="eastAsia" w:ascii="宋体" w:hAnsi="宋体" w:cs="Calibri"/>
          <w:sz w:val="22"/>
        </w:rPr>
        <w:t>（7）对特殊情况的承诺以及灾害性、突发事件的应急预案；</w:t>
      </w:r>
    </w:p>
    <w:p>
      <w:pPr>
        <w:adjustRightInd w:val="0"/>
        <w:snapToGrid w:val="0"/>
        <w:spacing w:line="360" w:lineRule="exact"/>
        <w:ind w:firstLine="440" w:firstLineChars="200"/>
        <w:rPr>
          <w:rFonts w:ascii="宋体" w:hAnsi="宋体" w:cs="Calibri"/>
          <w:sz w:val="22"/>
        </w:rPr>
      </w:pPr>
      <w:r>
        <w:rPr>
          <w:rFonts w:ascii="宋体" w:hAnsi="宋体" w:cs="Calibri"/>
          <w:sz w:val="22"/>
        </w:rPr>
        <w:t>（</w:t>
      </w:r>
      <w:r>
        <w:rPr>
          <w:rFonts w:hint="eastAsia" w:ascii="宋体" w:hAnsi="宋体" w:cs="Calibri"/>
          <w:sz w:val="22"/>
        </w:rPr>
        <w:t>8</w:t>
      </w:r>
      <w:r>
        <w:rPr>
          <w:rFonts w:ascii="宋体" w:hAnsi="宋体" w:cs="Calibri"/>
          <w:sz w:val="22"/>
        </w:rPr>
        <w:t>）投入到本项目的项目负责人、其他人员的情况汇总表及业绩、经历、能力介绍、资格证明材料及人员到位率的承诺；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ascii="宋体" w:hAnsi="宋体" w:cs="Calibri"/>
          <w:sz w:val="22"/>
        </w:rPr>
      </w:pPr>
      <w:r>
        <w:rPr>
          <w:rFonts w:ascii="宋体" w:hAnsi="宋体" w:cs="Calibri"/>
          <w:sz w:val="22"/>
        </w:rPr>
        <w:t>（</w:t>
      </w:r>
      <w:r>
        <w:rPr>
          <w:rFonts w:hint="eastAsia" w:ascii="宋体" w:hAnsi="宋体" w:cs="Calibri"/>
          <w:sz w:val="22"/>
        </w:rPr>
        <w:t>9</w:t>
      </w:r>
      <w:r>
        <w:rPr>
          <w:rFonts w:ascii="宋体" w:hAnsi="宋体" w:cs="Calibri"/>
          <w:sz w:val="22"/>
        </w:rPr>
        <w:t>）投入本项目服务的仪器、仪表、设备及交通工具汇总表</w:t>
      </w:r>
      <w:r>
        <w:rPr>
          <w:rFonts w:hint="eastAsia" w:ascii="宋体" w:hAnsi="宋体" w:cs="Calibri"/>
          <w:sz w:val="22"/>
        </w:rPr>
        <w:t>。</w:t>
      </w:r>
    </w:p>
    <w:p>
      <w:pPr>
        <w:adjustRightInd w:val="0"/>
        <w:snapToGrid w:val="0"/>
        <w:spacing w:line="360" w:lineRule="exact"/>
        <w:ind w:firstLine="440" w:firstLineChars="200"/>
        <w:rPr>
          <w:rFonts w:ascii="宋体" w:hAnsi="宋体"/>
          <w:sz w:val="22"/>
        </w:rPr>
      </w:pPr>
      <w:r>
        <w:rPr>
          <w:rFonts w:ascii="宋体" w:hAnsi="宋体" w:cs="Calibri"/>
          <w:sz w:val="22"/>
        </w:rPr>
        <w:t>3.2.7</w:t>
      </w:r>
      <w:r>
        <w:rPr>
          <w:rFonts w:hint="eastAsia" w:ascii="宋体" w:hAnsi="宋体" w:cs="Arial"/>
          <w:sz w:val="22"/>
        </w:rPr>
        <w:t>投标人认为</w:t>
      </w:r>
      <w:r>
        <w:rPr>
          <w:rFonts w:ascii="宋体" w:hAnsi="宋体" w:cs="Arial"/>
          <w:sz w:val="22"/>
        </w:rPr>
        <w:t>应该提供的其他材料</w:t>
      </w:r>
      <w:r>
        <w:rPr>
          <w:rFonts w:hint="eastAsia" w:ascii="宋体" w:hAnsi="宋体" w:cs="Arial"/>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60"/>
    </w:p>
    <w:p>
      <w:pPr>
        <w:adjustRightInd w:val="0"/>
        <w:snapToGrid w:val="0"/>
        <w:spacing w:line="360" w:lineRule="exact"/>
        <w:ind w:firstLine="440" w:firstLineChars="200"/>
        <w:rPr>
          <w:rFonts w:ascii="宋体" w:hAnsi="宋体" w:cs="Calibri"/>
          <w:kern w:val="0"/>
          <w:sz w:val="22"/>
        </w:rPr>
      </w:pPr>
      <w:bookmarkStart w:id="61" w:name="_Toc13307"/>
      <w:r>
        <w:rPr>
          <w:rFonts w:ascii="宋体" w:hAnsi="宋体" w:cs="Calibri"/>
          <w:kern w:val="0"/>
          <w:sz w:val="22"/>
        </w:rPr>
        <w:t>3.2.1 投标人应按本招标文件中“投标文件格式”的要求填写相应表格。</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3.2.2 投标人在投标截止时间前修改投标函中的投标总报价，应同时修改本招标文件中“投标文件格式”中的相应报价。此修改须符合本章第4.3款的有关要求。</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3.2.3招标人设有最高投标限价的，投标人的投标报价不得超过最高投标限价，最高投标限价详见投标人须知前附表。</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3.2.4投标报价的其他要求</w:t>
      </w:r>
      <w:r>
        <w:rPr>
          <w:rFonts w:hint="eastAsia" w:ascii="宋体" w:hAnsi="宋体" w:cs="Calibri"/>
          <w:kern w:val="0"/>
          <w:sz w:val="22"/>
        </w:rPr>
        <w:t>：</w:t>
      </w:r>
      <w:r>
        <w:rPr>
          <w:rFonts w:hint="eastAsia" w:ascii="宋体" w:hAnsi="宋体" w:cs="Calibri"/>
          <w:b/>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ascii="宋体" w:hAnsi="宋体" w:cs="Calibri"/>
          <w:b/>
          <w:kern w:val="0"/>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61"/>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62" w:name="_Toc30464"/>
      <w:r>
        <w:rPr>
          <w:rFonts w:ascii="宋体" w:hAnsi="宋体" w:cs="Calibri"/>
          <w:b/>
          <w:bCs/>
          <w:kern w:val="0"/>
          <w:sz w:val="22"/>
        </w:rPr>
        <w:t>3.5 投标保证金</w:t>
      </w:r>
      <w:bookmarkEnd w:id="62"/>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bookmarkStart w:id="63" w:name="_Toc29989"/>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（2）中标人在收到中标通知书后，</w:t>
      </w:r>
      <w:r>
        <w:rPr>
          <w:rFonts w:ascii="宋体" w:hAnsi="宋体" w:cs="Calibri"/>
          <w:sz w:val="22"/>
        </w:rPr>
        <w:t>无正当理由拒签合同协议书或未按招标文件规定提交履约担保，或因投标人在投标文件中未如实填报或隐瞒不报投标人的行贿犯罪记录导致取消中标资格的；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3.6 投标文件的编制</w:t>
      </w:r>
      <w:bookmarkEnd w:id="63"/>
    </w:p>
    <w:p>
      <w:pPr>
        <w:adjustRightInd w:val="0"/>
        <w:snapToGrid w:val="0"/>
        <w:spacing w:line="360" w:lineRule="exact"/>
        <w:ind w:firstLine="440" w:firstLineChars="20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w:t>
      </w:r>
      <w:r>
        <w:rPr>
          <w:rFonts w:hint="eastAsia" w:ascii="宋体" w:hAnsi="宋体" w:cs="Calibri"/>
          <w:sz w:val="22"/>
        </w:rPr>
        <w:t>服务期</w:t>
      </w:r>
      <w:r>
        <w:rPr>
          <w:rFonts w:ascii="宋体" w:hAnsi="宋体" w:cs="Calibri"/>
          <w:sz w:val="22"/>
        </w:rPr>
        <w:t>在满足招标文件实质性要求的基础上，可以提出比招标文件要求更有利于招标人的承诺。</w:t>
      </w:r>
    </w:p>
    <w:p>
      <w:pPr>
        <w:adjustRightInd w:val="0"/>
        <w:snapToGrid w:val="0"/>
        <w:spacing w:line="360" w:lineRule="exact"/>
        <w:ind w:firstLine="440" w:firstLineChars="20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w:t>
      </w:r>
      <w:r>
        <w:rPr>
          <w:rFonts w:hint="eastAsia" w:ascii="宋体" w:hAnsi="宋体" w:cs="Calibri"/>
          <w:kern w:val="0"/>
          <w:sz w:val="22"/>
        </w:rPr>
        <w:t>服务</w:t>
      </w:r>
      <w:r>
        <w:rPr>
          <w:rFonts w:ascii="宋体" w:hAnsi="宋体" w:cs="Calibri"/>
          <w:kern w:val="0"/>
          <w:sz w:val="22"/>
        </w:rPr>
        <w:t>期、投标有效期、招标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firstLineChars="20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firstLineChars="20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firstLineChars="20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64" w:name="_Toc143421659"/>
    </w:p>
    <w:p>
      <w:pPr>
        <w:autoSpaceDE w:val="0"/>
        <w:autoSpaceDN w:val="0"/>
        <w:adjustRightInd w:val="0"/>
        <w:snapToGrid w:val="0"/>
        <w:spacing w:line="360" w:lineRule="exact"/>
        <w:rPr>
          <w:rFonts w:ascii="宋体" w:hAnsi="宋体" w:cs="Calibri"/>
          <w:b/>
          <w:bCs/>
          <w:kern w:val="0"/>
          <w:sz w:val="22"/>
        </w:rPr>
      </w:pPr>
      <w:bookmarkStart w:id="65" w:name="_Toc32652"/>
      <w:r>
        <w:rPr>
          <w:rFonts w:ascii="宋体" w:hAnsi="宋体" w:cs="Calibri"/>
          <w:b/>
          <w:bCs/>
          <w:kern w:val="0"/>
          <w:sz w:val="22"/>
        </w:rPr>
        <w:t>4.投标</w:t>
      </w:r>
      <w:bookmarkEnd w:id="64"/>
      <w:bookmarkEnd w:id="65"/>
    </w:p>
    <w:p>
      <w:pPr>
        <w:autoSpaceDE w:val="0"/>
        <w:autoSpaceDN w:val="0"/>
        <w:adjustRightInd w:val="0"/>
        <w:snapToGrid w:val="0"/>
        <w:spacing w:line="360" w:lineRule="exact"/>
        <w:rPr>
          <w:rFonts w:ascii="宋体" w:hAnsi="宋体" w:cs="Calibri"/>
          <w:b/>
          <w:bCs/>
          <w:kern w:val="0"/>
          <w:sz w:val="22"/>
        </w:rPr>
      </w:pPr>
      <w:bookmarkStart w:id="66" w:name="_Toc649"/>
      <w:r>
        <w:rPr>
          <w:rFonts w:ascii="宋体" w:hAnsi="宋体" w:cs="Calibri"/>
          <w:b/>
          <w:bCs/>
          <w:kern w:val="0"/>
          <w:sz w:val="22"/>
        </w:rPr>
        <w:t>4.1 投标文件的密封和标识</w:t>
      </w:r>
      <w:bookmarkEnd w:id="66"/>
    </w:p>
    <w:p>
      <w:pPr>
        <w:adjustRightInd w:val="0"/>
        <w:snapToGrid w:val="0"/>
        <w:spacing w:line="360" w:lineRule="exact"/>
        <w:ind w:firstLine="440" w:firstLineChars="200"/>
        <w:rPr>
          <w:rFonts w:ascii="宋体" w:hAnsi="宋体" w:cs="Calibri"/>
          <w:kern w:val="0"/>
          <w:sz w:val="22"/>
        </w:rPr>
      </w:pPr>
      <w:r>
        <w:rPr>
          <w:rFonts w:ascii="宋体" w:hAnsi="宋体" w:cs="Calibri"/>
          <w:sz w:val="22"/>
        </w:rPr>
        <w:t>4.1.1</w:t>
      </w:r>
      <w:r>
        <w:rPr>
          <w:rFonts w:ascii="宋体" w:hAnsi="宋体" w:cs="Calibri"/>
          <w:kern w:val="0"/>
          <w:sz w:val="22"/>
        </w:rPr>
        <w:t>投标文件的正本、副本可一同</w:t>
      </w:r>
      <w:r>
        <w:rPr>
          <w:rFonts w:hint="eastAsia" w:ascii="宋体" w:hAnsi="宋体" w:cs="Calibri"/>
          <w:kern w:val="0"/>
          <w:sz w:val="22"/>
        </w:rPr>
        <w:t>密封</w:t>
      </w:r>
      <w:r>
        <w:rPr>
          <w:rFonts w:ascii="宋体" w:hAnsi="宋体" w:cs="Calibri"/>
          <w:kern w:val="0"/>
          <w:sz w:val="22"/>
        </w:rPr>
        <w:t>包装，并在封口处加盖投标人单位章或法定代表人盖章（或签字）或委托代理人盖章（或签字）。</w:t>
      </w:r>
    </w:p>
    <w:p>
      <w:pPr>
        <w:adjustRightInd w:val="0"/>
        <w:snapToGrid w:val="0"/>
        <w:spacing w:line="360" w:lineRule="exact"/>
        <w:ind w:firstLine="440" w:firstLineChars="20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firstLineChars="20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67" w:name="_Toc16616"/>
      <w:r>
        <w:rPr>
          <w:rFonts w:ascii="宋体" w:hAnsi="宋体" w:cs="Calibri"/>
          <w:b/>
          <w:bCs/>
          <w:kern w:val="0"/>
          <w:sz w:val="22"/>
        </w:rPr>
        <w:t xml:space="preserve">4.2 投标文件的递交 </w:t>
      </w:r>
      <w:bookmarkEnd w:id="67"/>
    </w:p>
    <w:p>
      <w:pPr>
        <w:autoSpaceDE w:val="0"/>
        <w:autoSpaceDN w:val="0"/>
        <w:adjustRightInd w:val="0"/>
        <w:snapToGrid w:val="0"/>
        <w:spacing w:line="360" w:lineRule="exact"/>
        <w:ind w:firstLine="442" w:firstLineChars="200"/>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firstLineChars="20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firstLineChars="20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firstLineChars="20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68" w:name="_Toc26099"/>
      <w:r>
        <w:rPr>
          <w:rFonts w:ascii="宋体" w:hAnsi="宋体" w:cs="Calibri"/>
          <w:b/>
          <w:bCs/>
          <w:kern w:val="0"/>
          <w:sz w:val="22"/>
        </w:rPr>
        <w:t>4.3 投标文件的修改和撤回</w:t>
      </w:r>
      <w:bookmarkEnd w:id="68"/>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69" w:name="_Toc29641"/>
      <w:r>
        <w:rPr>
          <w:rFonts w:ascii="宋体" w:hAnsi="宋体" w:cs="Calibri"/>
          <w:b/>
          <w:bCs/>
          <w:kern w:val="0"/>
          <w:sz w:val="22"/>
        </w:rPr>
        <w:t>5.开标</w:t>
      </w:r>
      <w:bookmarkEnd w:id="69"/>
    </w:p>
    <w:p>
      <w:pPr>
        <w:autoSpaceDE w:val="0"/>
        <w:autoSpaceDN w:val="0"/>
        <w:adjustRightInd w:val="0"/>
        <w:snapToGrid w:val="0"/>
        <w:spacing w:line="360" w:lineRule="exact"/>
        <w:rPr>
          <w:rFonts w:ascii="宋体" w:hAnsi="宋体" w:cs="Calibri"/>
          <w:b/>
          <w:bCs/>
          <w:kern w:val="0"/>
          <w:sz w:val="22"/>
        </w:rPr>
      </w:pPr>
      <w:bookmarkStart w:id="70" w:name="_Toc15123"/>
      <w:r>
        <w:rPr>
          <w:rFonts w:ascii="宋体" w:hAnsi="宋体" w:cs="Calibri"/>
          <w:b/>
          <w:bCs/>
          <w:kern w:val="0"/>
          <w:sz w:val="22"/>
        </w:rPr>
        <w:t>5.1 开标时间和地点</w:t>
      </w:r>
      <w:bookmarkEnd w:id="70"/>
    </w:p>
    <w:p>
      <w:pPr>
        <w:adjustRightInd w:val="0"/>
        <w:snapToGrid w:val="0"/>
        <w:spacing w:line="360" w:lineRule="exact"/>
        <w:ind w:firstLine="440" w:firstLineChars="200"/>
        <w:rPr>
          <w:rFonts w:ascii="宋体" w:hAnsi="宋体" w:cs="Calibri"/>
          <w:sz w:val="22"/>
        </w:rPr>
      </w:pPr>
      <w:r>
        <w:rPr>
          <w:rFonts w:ascii="宋体" w:hAnsi="宋体" w:cs="Calibri"/>
          <w:sz w:val="22"/>
        </w:rPr>
        <w:t>5.1.1招标人在投标人须知规定的投标截止时间（开标时间）和地点公开开标，并邀请所有投标人的法定代表人或其委托代理人准时参加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firstLineChars="200"/>
        <w:rPr>
          <w:rFonts w:ascii="宋体" w:hAnsi="宋体" w:cs="Calibri"/>
          <w:sz w:val="22"/>
        </w:rPr>
      </w:pPr>
      <w:r>
        <w:rPr>
          <w:rFonts w:ascii="宋体" w:hAnsi="宋体" w:cs="Calibri"/>
          <w:sz w:val="22"/>
        </w:rPr>
        <w:t>5.1.2投标人在投标时应随身携带下列资料提交招标人</w:t>
      </w:r>
    </w:p>
    <w:p>
      <w:pPr>
        <w:adjustRightInd w:val="0"/>
        <w:snapToGrid w:val="0"/>
        <w:spacing w:line="360" w:lineRule="exact"/>
        <w:ind w:firstLine="440" w:firstLineChars="200"/>
        <w:rPr>
          <w:rFonts w:ascii="宋体" w:hAnsi="宋体" w:cs="Calibri"/>
          <w:sz w:val="22"/>
        </w:rPr>
      </w:pPr>
      <w:bookmarkStart w:id="71" w:name="_Toc7101"/>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firstLineChars="20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5.2 开标程序</w:t>
      </w:r>
      <w:bookmarkEnd w:id="71"/>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w:t>
      </w:r>
      <w:r>
        <w:rPr>
          <w:rFonts w:hint="eastAsia" w:ascii="宋体" w:hAnsi="宋体" w:cs="Calibri"/>
          <w:sz w:val="22"/>
        </w:rPr>
        <w:t>服务期</w:t>
      </w:r>
      <w:r>
        <w:rPr>
          <w:rFonts w:ascii="宋体" w:hAnsi="宋体" w:cs="Calibri"/>
          <w:sz w:val="22"/>
        </w:rPr>
        <w:t>及其他内容，并记录在案；</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72" w:name="_Toc31578"/>
      <w:r>
        <w:rPr>
          <w:rFonts w:ascii="宋体" w:hAnsi="宋体" w:cs="Calibri"/>
          <w:b/>
          <w:bCs/>
          <w:kern w:val="0"/>
          <w:sz w:val="22"/>
        </w:rPr>
        <w:t>6.评标</w:t>
      </w:r>
      <w:bookmarkEnd w:id="72"/>
    </w:p>
    <w:p>
      <w:pPr>
        <w:autoSpaceDE w:val="0"/>
        <w:autoSpaceDN w:val="0"/>
        <w:adjustRightInd w:val="0"/>
        <w:snapToGrid w:val="0"/>
        <w:spacing w:line="360" w:lineRule="exact"/>
        <w:rPr>
          <w:rFonts w:ascii="宋体" w:hAnsi="宋体" w:cs="Calibri"/>
          <w:b/>
          <w:bCs/>
          <w:kern w:val="0"/>
          <w:sz w:val="22"/>
        </w:rPr>
      </w:pPr>
      <w:bookmarkStart w:id="73" w:name="_Toc10279"/>
      <w:r>
        <w:rPr>
          <w:rFonts w:ascii="宋体" w:hAnsi="宋体" w:cs="Calibri"/>
          <w:b/>
          <w:bCs/>
          <w:kern w:val="0"/>
          <w:sz w:val="22"/>
        </w:rPr>
        <w:t>6.1 评标委员会</w:t>
      </w:r>
      <w:bookmarkEnd w:id="73"/>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74" w:name="_Toc3460"/>
      <w:r>
        <w:rPr>
          <w:rFonts w:ascii="宋体" w:hAnsi="宋体" w:cs="Calibri"/>
          <w:b/>
          <w:bCs/>
          <w:kern w:val="0"/>
          <w:sz w:val="22"/>
        </w:rPr>
        <w:t>6.2 评标原则</w:t>
      </w:r>
      <w:bookmarkEnd w:id="74"/>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75" w:name="_Toc28178"/>
      <w:r>
        <w:rPr>
          <w:rFonts w:ascii="宋体" w:hAnsi="宋体" w:cs="Calibri"/>
          <w:b/>
          <w:bCs/>
          <w:kern w:val="0"/>
          <w:sz w:val="22"/>
        </w:rPr>
        <w:t>6.3 评标</w:t>
      </w:r>
      <w:bookmarkEnd w:id="75"/>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评标委员会按照第</w:t>
      </w:r>
      <w:r>
        <w:rPr>
          <w:rFonts w:hint="eastAsia" w:ascii="宋体" w:hAnsi="宋体" w:cs="Calibri"/>
          <w:kern w:val="0"/>
          <w:sz w:val="22"/>
        </w:rPr>
        <w:t>五</w:t>
      </w:r>
      <w:r>
        <w:rPr>
          <w:rFonts w:ascii="宋体" w:hAnsi="宋体" w:cs="Calibri"/>
          <w:kern w:val="0"/>
          <w:sz w:val="22"/>
        </w:rPr>
        <w:t>章“评标方法及标准”对投标文件进行评审。第</w:t>
      </w:r>
      <w:r>
        <w:rPr>
          <w:rFonts w:hint="eastAsia" w:ascii="宋体" w:hAnsi="宋体" w:cs="Calibri"/>
          <w:kern w:val="0"/>
          <w:sz w:val="22"/>
        </w:rPr>
        <w:t>五</w:t>
      </w:r>
      <w:r>
        <w:rPr>
          <w:rFonts w:ascii="宋体" w:hAnsi="宋体" w:cs="Calibri"/>
          <w:kern w:val="0"/>
          <w:sz w:val="22"/>
        </w:rPr>
        <w:t>章“评标方法及标准”没有规定的方法、评审因素和标准，不作为评标依据。</w:t>
      </w:r>
    </w:p>
    <w:p>
      <w:pPr>
        <w:autoSpaceDE w:val="0"/>
        <w:autoSpaceDN w:val="0"/>
        <w:adjustRightInd w:val="0"/>
        <w:snapToGrid w:val="0"/>
        <w:spacing w:line="360" w:lineRule="exact"/>
        <w:rPr>
          <w:rFonts w:ascii="宋体" w:hAnsi="宋体" w:cs="Calibri"/>
          <w:b/>
          <w:bCs/>
          <w:kern w:val="0"/>
          <w:sz w:val="22"/>
        </w:rPr>
      </w:pPr>
      <w:bookmarkStart w:id="76" w:name="_Toc24237"/>
      <w:r>
        <w:rPr>
          <w:rFonts w:ascii="宋体" w:hAnsi="宋体" w:cs="Calibri"/>
          <w:b/>
          <w:bCs/>
          <w:kern w:val="0"/>
          <w:sz w:val="22"/>
        </w:rPr>
        <w:t>7.合同授予</w:t>
      </w:r>
      <w:bookmarkEnd w:id="76"/>
    </w:p>
    <w:p>
      <w:pPr>
        <w:autoSpaceDE w:val="0"/>
        <w:autoSpaceDN w:val="0"/>
        <w:adjustRightInd w:val="0"/>
        <w:snapToGrid w:val="0"/>
        <w:spacing w:line="360" w:lineRule="exact"/>
        <w:rPr>
          <w:rFonts w:ascii="宋体" w:hAnsi="宋体" w:cs="Calibri"/>
          <w:b/>
          <w:bCs/>
          <w:kern w:val="0"/>
          <w:sz w:val="22"/>
        </w:rPr>
      </w:pPr>
      <w:bookmarkStart w:id="77" w:name="_Toc18809"/>
      <w:r>
        <w:rPr>
          <w:rFonts w:ascii="宋体" w:hAnsi="宋体" w:cs="Calibri"/>
          <w:b/>
          <w:bCs/>
          <w:kern w:val="0"/>
          <w:sz w:val="22"/>
        </w:rPr>
        <w:t>7.1 定标方式</w:t>
      </w:r>
      <w:bookmarkEnd w:id="77"/>
    </w:p>
    <w:p>
      <w:pPr>
        <w:adjustRightInd w:val="0"/>
        <w:snapToGrid w:val="0"/>
        <w:spacing w:line="360" w:lineRule="exact"/>
        <w:ind w:firstLine="440" w:firstLineChars="20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78" w:name="_Toc14573"/>
      <w:r>
        <w:rPr>
          <w:rFonts w:ascii="宋体" w:hAnsi="宋体" w:cs="Calibri"/>
          <w:b/>
          <w:bCs/>
          <w:kern w:val="0"/>
          <w:sz w:val="22"/>
        </w:rPr>
        <w:t>7.2 中标通知</w:t>
      </w:r>
      <w:bookmarkEnd w:id="78"/>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cs="Calibri"/>
          <w:b/>
          <w:bCs/>
          <w:kern w:val="0"/>
          <w:sz w:val="22"/>
        </w:rPr>
      </w:pPr>
      <w:bookmarkStart w:id="79" w:name="_Toc27132"/>
      <w:bookmarkStart w:id="80" w:name="_Toc27581"/>
      <w:r>
        <w:rPr>
          <w:rFonts w:ascii="宋体" w:hAnsi="宋体" w:cs="Calibri"/>
          <w:b/>
          <w:bCs/>
          <w:kern w:val="0"/>
          <w:sz w:val="22"/>
        </w:rPr>
        <w:t>7.3 履约</w:t>
      </w:r>
      <w:r>
        <w:rPr>
          <w:rFonts w:hint="eastAsia" w:ascii="宋体" w:hAnsi="宋体" w:cs="Calibri"/>
          <w:b/>
          <w:bCs/>
          <w:kern w:val="0"/>
          <w:sz w:val="22"/>
        </w:rPr>
        <w:t>保证金</w:t>
      </w:r>
      <w:bookmarkEnd w:id="79"/>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7.4 签订合同</w:t>
      </w:r>
      <w:bookmarkEnd w:id="80"/>
    </w:p>
    <w:p>
      <w:pPr>
        <w:adjustRightInd w:val="0"/>
        <w:snapToGrid w:val="0"/>
        <w:spacing w:line="360" w:lineRule="exact"/>
        <w:ind w:firstLine="440" w:firstLineChars="200"/>
        <w:rPr>
          <w:rFonts w:ascii="宋体" w:hAnsi="宋体" w:cs="Calibri"/>
          <w:kern w:val="0"/>
          <w:sz w:val="22"/>
        </w:rPr>
      </w:pPr>
      <w:r>
        <w:rPr>
          <w:rFonts w:ascii="宋体" w:hAnsi="宋体" w:cs="Calibri"/>
          <w:sz w:val="22"/>
        </w:rPr>
        <w:t>7</w:t>
      </w:r>
      <w:bookmarkStart w:id="81" w:name="_Toc11806"/>
      <w:bookmarkStart w:id="82" w:name="_Toc220123241"/>
      <w:bookmarkStart w:id="83" w:name="_Toc219809801"/>
      <w:r>
        <w:rPr>
          <w:rFonts w:ascii="宋体" w:hAnsi="宋体" w:cs="Calibri"/>
          <w:kern w:val="0"/>
          <w:sz w:val="22"/>
        </w:rPr>
        <w:t>.4.1招标人和中标人应当自中标通知书发出之日起30个工作日内订立书面合同（合同条款按第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）。中标人无正当理由拒签协议的，招标人取消其中标资格，其投标保证金不予退还；给招标人造成的损失超过投标保证金数额的，中标人还应当对超过部分予以赔偿。</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ascii="宋体" w:hAnsi="宋体" w:cs="Calibri"/>
          <w:b/>
          <w:kern w:val="0"/>
          <w:sz w:val="22"/>
        </w:rPr>
      </w:pPr>
      <w:r>
        <w:rPr>
          <w:rFonts w:hint="eastAsia" w:ascii="宋体" w:hAnsi="宋体" w:cs="Calibri"/>
          <w:kern w:val="0"/>
          <w:sz w:val="22"/>
        </w:rPr>
        <w:t xml:space="preserve">7.4.3 </w:t>
      </w:r>
      <w:r>
        <w:rPr>
          <w:rFonts w:hint="eastAsia" w:ascii="宋体" w:hAnsi="宋体" w:cs="Calibri"/>
          <w:b/>
          <w:kern w:val="0"/>
          <w:sz w:val="22"/>
        </w:rPr>
        <w:t>招标人在授予合同有权对本项目的服务内容等予以增加或者减少，中标人不得提出异议，否则招标人有权取消其中标资格。</w:t>
      </w:r>
    </w:p>
    <w:p>
      <w:pPr>
        <w:adjustRightInd w:val="0"/>
        <w:snapToGrid w:val="0"/>
        <w:spacing w:line="360" w:lineRule="exact"/>
        <w:ind w:firstLine="440" w:firstLineChars="200"/>
        <w:rPr>
          <w:rFonts w:ascii="宋体" w:hAnsi="宋体" w:cs="Calibri"/>
          <w:kern w:val="0"/>
          <w:sz w:val="22"/>
        </w:rPr>
      </w:pPr>
      <w:r>
        <w:rPr>
          <w:rFonts w:hint="eastAsia" w:ascii="宋体" w:hAnsi="宋体" w:cs="Calibri"/>
          <w:kern w:val="0"/>
          <w:sz w:val="22"/>
        </w:rPr>
        <w:t xml:space="preserve">7.4.4 </w:t>
      </w:r>
      <w:r>
        <w:rPr>
          <w:rFonts w:hint="eastAsia" w:ascii="宋体" w:hAnsi="宋体" w:cs="Calibri"/>
          <w:b/>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81"/>
      <w:bookmarkEnd w:id="82"/>
      <w:bookmarkEnd w:id="83"/>
    </w:p>
    <w:p>
      <w:pPr>
        <w:autoSpaceDE w:val="0"/>
        <w:autoSpaceDN w:val="0"/>
        <w:adjustRightInd w:val="0"/>
        <w:snapToGrid w:val="0"/>
        <w:spacing w:line="360" w:lineRule="exact"/>
        <w:rPr>
          <w:rFonts w:ascii="宋体" w:hAnsi="宋体" w:cs="Calibri"/>
          <w:b/>
          <w:bCs/>
          <w:kern w:val="0"/>
          <w:sz w:val="22"/>
        </w:rPr>
      </w:pPr>
      <w:bookmarkStart w:id="84" w:name="_Toc219809802"/>
      <w:bookmarkStart w:id="85" w:name="_Toc15553"/>
      <w:bookmarkStart w:id="86" w:name="_Toc220123242"/>
      <w:r>
        <w:rPr>
          <w:rFonts w:ascii="宋体" w:hAnsi="宋体" w:cs="Calibri"/>
          <w:b/>
          <w:bCs/>
          <w:kern w:val="0"/>
          <w:sz w:val="22"/>
        </w:rPr>
        <w:t>8.1 重新招标</w:t>
      </w:r>
      <w:bookmarkEnd w:id="84"/>
      <w:bookmarkEnd w:id="85"/>
      <w:bookmarkEnd w:id="86"/>
    </w:p>
    <w:p>
      <w:pPr>
        <w:adjustRightInd w:val="0"/>
        <w:snapToGrid w:val="0"/>
        <w:spacing w:line="360" w:lineRule="exact"/>
        <w:ind w:firstLine="440" w:firstLineChars="20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firstLineChars="20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40" w:firstLineChars="200"/>
        <w:rPr>
          <w:rFonts w:ascii="宋体" w:hAnsi="宋体" w:cs="Calibri"/>
          <w:kern w:val="0"/>
          <w:sz w:val="22"/>
        </w:rPr>
      </w:pPr>
      <w:r>
        <w:rPr>
          <w:rFonts w:hint="eastAsia" w:ascii="宋体" w:hAnsi="宋体" w:cs="Calibri"/>
          <w:kern w:val="0"/>
          <w:sz w:val="22"/>
        </w:rPr>
        <w:t>（2）</w:t>
      </w:r>
      <w:r>
        <w:rPr>
          <w:rFonts w:hint="eastAsia" w:ascii="宋体" w:hAnsi="宋体"/>
          <w:b/>
          <w:bCs/>
          <w:sz w:val="22"/>
        </w:rPr>
        <w:t>所有投标人的报价均偏高，招标人无法接受的；</w:t>
      </w:r>
    </w:p>
    <w:p>
      <w:pPr>
        <w:adjustRightInd w:val="0"/>
        <w:snapToGrid w:val="0"/>
        <w:spacing w:line="360" w:lineRule="exact"/>
        <w:ind w:firstLine="440" w:firstLineChars="20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87" w:name="_Toc219809803"/>
      <w:bookmarkStart w:id="88" w:name="_Toc220123243"/>
      <w:bookmarkStart w:id="89" w:name="_Toc18806"/>
      <w:r>
        <w:rPr>
          <w:rFonts w:ascii="宋体" w:hAnsi="宋体" w:cs="Calibri"/>
          <w:b/>
          <w:bCs/>
          <w:kern w:val="0"/>
          <w:sz w:val="22"/>
        </w:rPr>
        <w:t>8.2 不再招标</w:t>
      </w:r>
      <w:bookmarkEnd w:id="87"/>
      <w:bookmarkEnd w:id="88"/>
      <w:bookmarkEnd w:id="89"/>
    </w:p>
    <w:p>
      <w:pPr>
        <w:adjustRightInd w:val="0"/>
        <w:snapToGrid w:val="0"/>
        <w:spacing w:line="360" w:lineRule="exact"/>
        <w:ind w:firstLine="440" w:firstLineChars="20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90" w:name="_Toc215941254"/>
      <w:bookmarkStart w:id="91" w:name="_Toc2986"/>
      <w:bookmarkStart w:id="92" w:name="_Toc220123244"/>
      <w:bookmarkStart w:id="93" w:name="_Toc219809804"/>
      <w:r>
        <w:rPr>
          <w:rFonts w:ascii="宋体" w:hAnsi="宋体" w:cs="Calibri"/>
          <w:b/>
          <w:bCs/>
          <w:kern w:val="0"/>
          <w:sz w:val="22"/>
        </w:rPr>
        <w:t>9.纪律和监督</w:t>
      </w:r>
      <w:bookmarkEnd w:id="90"/>
      <w:bookmarkEnd w:id="91"/>
      <w:bookmarkEnd w:id="92"/>
      <w:bookmarkEnd w:id="93"/>
    </w:p>
    <w:p>
      <w:pPr>
        <w:autoSpaceDE w:val="0"/>
        <w:autoSpaceDN w:val="0"/>
        <w:adjustRightInd w:val="0"/>
        <w:snapToGrid w:val="0"/>
        <w:spacing w:line="360" w:lineRule="exact"/>
        <w:rPr>
          <w:rFonts w:ascii="宋体" w:hAnsi="宋体" w:cs="Calibri"/>
          <w:b/>
          <w:bCs/>
          <w:kern w:val="0"/>
          <w:sz w:val="22"/>
        </w:rPr>
      </w:pPr>
      <w:bookmarkStart w:id="94" w:name="_Toc219809805"/>
      <w:bookmarkStart w:id="95" w:name="_Toc5509"/>
      <w:bookmarkStart w:id="96" w:name="_Toc220123245"/>
      <w:r>
        <w:rPr>
          <w:rFonts w:ascii="宋体" w:hAnsi="宋体" w:cs="Calibri"/>
          <w:b/>
          <w:bCs/>
          <w:kern w:val="0"/>
          <w:sz w:val="22"/>
        </w:rPr>
        <w:t>9.1 对招标人的纪律要求</w:t>
      </w:r>
      <w:bookmarkEnd w:id="94"/>
      <w:bookmarkEnd w:id="95"/>
      <w:bookmarkEnd w:id="96"/>
    </w:p>
    <w:p>
      <w:pPr>
        <w:adjustRightInd w:val="0"/>
        <w:snapToGrid w:val="0"/>
        <w:spacing w:line="360" w:lineRule="exact"/>
        <w:ind w:firstLine="440" w:firstLineChars="200"/>
        <w:rPr>
          <w:rFonts w:ascii="宋体" w:hAnsi="宋体" w:cs="Calibri"/>
          <w:sz w:val="22"/>
        </w:rPr>
      </w:pPr>
      <w:r>
        <w:rPr>
          <w:rFonts w:ascii="宋体" w:hAnsi="宋体" w:cs="Calibri"/>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97" w:name="_Toc219809806"/>
      <w:bookmarkStart w:id="98" w:name="_Toc10820"/>
      <w:bookmarkStart w:id="99" w:name="_Toc220123246"/>
      <w:r>
        <w:rPr>
          <w:rFonts w:ascii="宋体" w:hAnsi="宋体" w:cs="Calibri"/>
          <w:b/>
          <w:bCs/>
          <w:kern w:val="0"/>
          <w:sz w:val="22"/>
        </w:rPr>
        <w:t>9.2 对投标人的纪律要求</w:t>
      </w:r>
      <w:bookmarkEnd w:id="97"/>
      <w:bookmarkEnd w:id="98"/>
      <w:bookmarkEnd w:id="99"/>
    </w:p>
    <w:p>
      <w:pPr>
        <w:adjustRightInd w:val="0"/>
        <w:snapToGrid w:val="0"/>
        <w:spacing w:line="360" w:lineRule="exact"/>
        <w:ind w:firstLine="440" w:firstLineChars="200"/>
        <w:rPr>
          <w:rFonts w:ascii="宋体" w:hAnsi="宋体" w:cs="Calibri"/>
          <w:sz w:val="22"/>
        </w:rPr>
      </w:pPr>
      <w:r>
        <w:rPr>
          <w:rFonts w:ascii="宋体" w:hAnsi="宋体" w:cs="Calibri"/>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cs="Calibri"/>
          <w:sz w:val="22"/>
        </w:rPr>
      </w:pPr>
      <w:r>
        <w:rPr>
          <w:rFonts w:hint="eastAsia" w:ascii="宋体" w:hAnsi="宋体" w:cs="Calibri"/>
          <w:b/>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cs="Calibri"/>
          <w:b/>
          <w:bCs/>
          <w:kern w:val="0"/>
          <w:sz w:val="22"/>
        </w:rPr>
      </w:pPr>
      <w:bookmarkStart w:id="100" w:name="_Toc220123247"/>
      <w:bookmarkStart w:id="101" w:name="_Toc10756"/>
      <w:bookmarkStart w:id="102" w:name="_Toc219809807"/>
      <w:r>
        <w:rPr>
          <w:rFonts w:ascii="宋体" w:hAnsi="宋体" w:cs="Calibri"/>
          <w:b/>
          <w:bCs/>
          <w:kern w:val="0"/>
          <w:sz w:val="22"/>
        </w:rPr>
        <w:t>9.3 对评标委员会成员的纪律要求</w:t>
      </w:r>
      <w:bookmarkEnd w:id="100"/>
      <w:bookmarkEnd w:id="101"/>
      <w:bookmarkEnd w:id="102"/>
    </w:p>
    <w:p>
      <w:pPr>
        <w:adjustRightInd w:val="0"/>
        <w:snapToGrid w:val="0"/>
        <w:spacing w:line="360" w:lineRule="exact"/>
        <w:ind w:firstLine="440" w:firstLineChars="200"/>
        <w:rPr>
          <w:rFonts w:ascii="宋体" w:hAnsi="宋体" w:cs="Calibri"/>
          <w:sz w:val="22"/>
        </w:rPr>
      </w:pPr>
      <w:r>
        <w:rPr>
          <w:rFonts w:ascii="宋体" w:hAnsi="宋体" w:cs="Calibri"/>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cs="Calibri"/>
          <w:sz w:val="22"/>
        </w:rPr>
        <w:t>五</w:t>
      </w:r>
      <w:r>
        <w:rPr>
          <w:rFonts w:ascii="宋体" w:hAnsi="宋体" w:cs="Calibri"/>
          <w:sz w:val="22"/>
        </w:rPr>
        <w:t>章“评标办法及标准”没有规定的评审因素和标准进行评标。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103" w:name="_Toc219809808"/>
      <w:bookmarkStart w:id="104" w:name="_Toc12792"/>
      <w:bookmarkStart w:id="105" w:name="_Toc220123248"/>
      <w:r>
        <w:rPr>
          <w:rFonts w:ascii="宋体" w:hAnsi="宋体" w:cs="Calibri"/>
          <w:b/>
          <w:bCs/>
          <w:kern w:val="0"/>
          <w:sz w:val="22"/>
        </w:rPr>
        <w:t>9.4 对评标活动有关的工作人员的纪律要求</w:t>
      </w:r>
      <w:bookmarkEnd w:id="103"/>
      <w:bookmarkEnd w:id="104"/>
      <w:bookmarkEnd w:id="105"/>
    </w:p>
    <w:p>
      <w:pPr>
        <w:adjustRightInd w:val="0"/>
        <w:snapToGrid w:val="0"/>
        <w:spacing w:line="360" w:lineRule="exact"/>
        <w:ind w:firstLine="440" w:firstLineChars="200"/>
        <w:rPr>
          <w:rFonts w:ascii="宋体" w:hAnsi="宋体" w:cs="Calibri"/>
          <w:sz w:val="22"/>
        </w:rPr>
      </w:pPr>
      <w:r>
        <w:rPr>
          <w:rFonts w:ascii="宋体" w:hAnsi="宋体" w:cs="Calibri"/>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106" w:name="_Toc219809809"/>
      <w:bookmarkStart w:id="107" w:name="_Toc239"/>
      <w:bookmarkStart w:id="108" w:name="_Toc220123249"/>
      <w:r>
        <w:rPr>
          <w:rFonts w:ascii="宋体" w:hAnsi="宋体" w:cs="Calibri"/>
          <w:b/>
          <w:bCs/>
          <w:kern w:val="0"/>
          <w:sz w:val="22"/>
        </w:rPr>
        <w:t>9.5 投诉</w:t>
      </w:r>
      <w:bookmarkEnd w:id="106"/>
      <w:bookmarkEnd w:id="107"/>
      <w:bookmarkEnd w:id="108"/>
    </w:p>
    <w:p>
      <w:pPr>
        <w:adjustRightInd w:val="0"/>
        <w:snapToGrid w:val="0"/>
        <w:spacing w:line="360" w:lineRule="exact"/>
        <w:ind w:firstLine="440" w:firstLineChars="200"/>
        <w:rPr>
          <w:rFonts w:ascii="宋体" w:hAnsi="宋体" w:cs="Calibri"/>
          <w:sz w:val="22"/>
        </w:rPr>
      </w:pPr>
      <w:r>
        <w:rPr>
          <w:rFonts w:ascii="宋体" w:hAnsi="宋体" w:cs="Calibri"/>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109" w:name="_Toc10817"/>
      <w:r>
        <w:rPr>
          <w:rFonts w:ascii="宋体" w:hAnsi="宋体" w:cs="Calibri"/>
          <w:b/>
          <w:bCs/>
          <w:kern w:val="0"/>
          <w:sz w:val="22"/>
        </w:rPr>
        <w:t>10. 需要补充的其他内容</w:t>
      </w:r>
      <w:bookmarkEnd w:id="109"/>
    </w:p>
    <w:p>
      <w:pPr>
        <w:autoSpaceDE w:val="0"/>
        <w:autoSpaceDN w:val="0"/>
        <w:adjustRightInd w:val="0"/>
        <w:snapToGrid w:val="0"/>
        <w:spacing w:line="360" w:lineRule="exact"/>
        <w:ind w:firstLine="440" w:firstLineChars="200"/>
        <w:jc w:val="left"/>
        <w:rPr>
          <w:rFonts w:ascii="宋体" w:hAnsi="宋体"/>
          <w:sz w:val="22"/>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ascii="宋体" w:hAnsi="宋体" w:cs="Calibri"/>
          <w:sz w:val="22"/>
        </w:rPr>
        <w:t>需要补充的其他内容：见投标人须知前附表。</w:t>
      </w:r>
    </w:p>
    <w:p>
      <w:pPr>
        <w:pStyle w:val="2"/>
        <w:spacing w:before="0" w:after="0" w:line="360" w:lineRule="auto"/>
        <w:jc w:val="center"/>
        <w:rPr>
          <w:rFonts w:ascii="Calibri" w:hAnsi="Calibri" w:eastAsia="黑体" w:cs="Calibri"/>
          <w:kern w:val="0"/>
          <w:sz w:val="32"/>
        </w:rPr>
      </w:pPr>
      <w:bookmarkStart w:id="110" w:name="_Toc213036227"/>
      <w:bookmarkStart w:id="111" w:name="_Toc223327527"/>
      <w:bookmarkStart w:id="112" w:name="_Toc448002985"/>
      <w:r>
        <w:rPr>
          <w:rFonts w:ascii="Calibri" w:hAnsi="Calibri" w:eastAsia="黑体" w:cs="Calibri"/>
          <w:kern w:val="0"/>
          <w:sz w:val="32"/>
        </w:rPr>
        <w:t>第</w:t>
      </w:r>
      <w:r>
        <w:rPr>
          <w:rFonts w:hint="eastAsia" w:ascii="Calibri" w:hAnsi="Calibri" w:eastAsia="黑体" w:cs="Calibri"/>
          <w:kern w:val="0"/>
          <w:sz w:val="32"/>
        </w:rPr>
        <w:t>三</w:t>
      </w:r>
      <w:r>
        <w:rPr>
          <w:rFonts w:ascii="Calibri" w:hAnsi="Calibri" w:eastAsia="黑体" w:cs="Calibri"/>
          <w:kern w:val="0"/>
          <w:sz w:val="32"/>
        </w:rPr>
        <w:t xml:space="preserve">章  </w:t>
      </w:r>
      <w:bookmarkEnd w:id="110"/>
      <w:bookmarkEnd w:id="111"/>
      <w:r>
        <w:rPr>
          <w:rFonts w:hint="eastAsia" w:ascii="Calibri" w:hAnsi="Calibri" w:eastAsia="黑体" w:cs="Calibri"/>
          <w:kern w:val="0"/>
          <w:sz w:val="32"/>
        </w:rPr>
        <w:t>服务技术标准及要求</w:t>
      </w:r>
      <w:bookmarkEnd w:id="112"/>
    </w:p>
    <w:p>
      <w:pPr>
        <w:spacing w:line="360" w:lineRule="auto"/>
        <w:ind w:firstLine="361" w:firstLineChars="150"/>
        <w:rPr>
          <w:rFonts w:ascii="宋体" w:cs="宋体"/>
          <w:b/>
          <w:sz w:val="24"/>
        </w:rPr>
      </w:pPr>
      <w:r>
        <w:rPr>
          <w:rFonts w:hint="eastAsia" w:ascii="宋体" w:hAnsi="宋体" w:cs="宋体"/>
          <w:b/>
          <w:sz w:val="24"/>
        </w:rPr>
        <w:t>（一）编制维修计划</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rPr>
        <w:t>、编制维修方案。</w:t>
      </w:r>
    </w:p>
    <w:p>
      <w:pPr>
        <w:spacing w:line="360" w:lineRule="auto"/>
        <w:ind w:firstLine="480" w:firstLineChars="200"/>
        <w:rPr>
          <w:rFonts w:ascii="宋体" w:hAnsi="宋体"/>
          <w:sz w:val="24"/>
        </w:rPr>
      </w:pPr>
      <w:r>
        <w:rPr>
          <w:rFonts w:hint="eastAsia" w:ascii="宋体" w:hAnsi="宋体"/>
          <w:sz w:val="24"/>
        </w:rPr>
        <w:t>2、与招标方协商拟订维修日程计划。</w:t>
      </w:r>
    </w:p>
    <w:p>
      <w:pPr>
        <w:spacing w:line="360" w:lineRule="auto"/>
        <w:ind w:firstLine="361" w:firstLineChars="150"/>
        <w:rPr>
          <w:rFonts w:ascii="宋体" w:hAnsi="宋体" w:cs="宋体"/>
          <w:b/>
          <w:sz w:val="24"/>
        </w:rPr>
      </w:pPr>
      <w:r>
        <w:rPr>
          <w:rFonts w:hint="eastAsia" w:ascii="宋体" w:hAnsi="宋体" w:cs="宋体"/>
          <w:b/>
          <w:sz w:val="24"/>
        </w:rPr>
        <w:t>（二）维修要求</w:t>
      </w:r>
    </w:p>
    <w:p>
      <w:pPr>
        <w:spacing w:line="360" w:lineRule="auto"/>
        <w:ind w:firstLine="480" w:firstLineChars="200"/>
        <w:rPr>
          <w:rFonts w:ascii="宋体" w:hAnsi="宋体"/>
          <w:sz w:val="24"/>
        </w:rPr>
      </w:pPr>
      <w:r>
        <w:rPr>
          <w:rFonts w:hint="eastAsia" w:ascii="宋体" w:hAnsi="宋体"/>
          <w:sz w:val="24"/>
        </w:rPr>
        <w:t>1、维修内容</w:t>
      </w:r>
    </w:p>
    <w:tbl>
      <w:tblPr>
        <w:tblStyle w:val="45"/>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18"/>
        <w:gridCol w:w="1842"/>
        <w:gridCol w:w="1701"/>
        <w:gridCol w:w="3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序号</w:t>
            </w:r>
          </w:p>
        </w:tc>
        <w:tc>
          <w:tcPr>
            <w:tcW w:w="141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维修部件</w:t>
            </w:r>
          </w:p>
        </w:tc>
        <w:tc>
          <w:tcPr>
            <w:tcW w:w="184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变频器型号</w:t>
            </w:r>
          </w:p>
        </w:tc>
        <w:tc>
          <w:tcPr>
            <w:tcW w:w="170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数量</w:t>
            </w:r>
          </w:p>
        </w:tc>
        <w:tc>
          <w:tcPr>
            <w:tcW w:w="3850"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w:t>
            </w:r>
          </w:p>
        </w:tc>
        <w:tc>
          <w:tcPr>
            <w:tcW w:w="141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184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HD90N4</w:t>
            </w:r>
          </w:p>
        </w:tc>
        <w:tc>
          <w:tcPr>
            <w:tcW w:w="170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4</w:t>
            </w:r>
          </w:p>
        </w:tc>
        <w:tc>
          <w:tcPr>
            <w:tcW w:w="3850"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2</w:t>
            </w:r>
          </w:p>
        </w:tc>
        <w:tc>
          <w:tcPr>
            <w:tcW w:w="141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184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HD75N4</w:t>
            </w:r>
          </w:p>
        </w:tc>
        <w:tc>
          <w:tcPr>
            <w:tcW w:w="170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4</w:t>
            </w:r>
          </w:p>
        </w:tc>
        <w:tc>
          <w:tcPr>
            <w:tcW w:w="3850"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3</w:t>
            </w:r>
          </w:p>
        </w:tc>
        <w:tc>
          <w:tcPr>
            <w:tcW w:w="141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184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HD90N4</w:t>
            </w:r>
          </w:p>
        </w:tc>
        <w:tc>
          <w:tcPr>
            <w:tcW w:w="170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6</w:t>
            </w:r>
          </w:p>
        </w:tc>
        <w:tc>
          <w:tcPr>
            <w:tcW w:w="3850"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4</w:t>
            </w:r>
          </w:p>
        </w:tc>
        <w:tc>
          <w:tcPr>
            <w:tcW w:w="141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184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HD75N4</w:t>
            </w:r>
          </w:p>
        </w:tc>
        <w:tc>
          <w:tcPr>
            <w:tcW w:w="170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12</w:t>
            </w:r>
          </w:p>
        </w:tc>
        <w:tc>
          <w:tcPr>
            <w:tcW w:w="3850"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5</w:t>
            </w:r>
          </w:p>
        </w:tc>
        <w:tc>
          <w:tcPr>
            <w:tcW w:w="141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184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HD30N4</w:t>
            </w:r>
          </w:p>
        </w:tc>
        <w:tc>
          <w:tcPr>
            <w:tcW w:w="170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9</w:t>
            </w:r>
          </w:p>
        </w:tc>
        <w:tc>
          <w:tcPr>
            <w:tcW w:w="3850"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6</w:t>
            </w:r>
          </w:p>
        </w:tc>
        <w:tc>
          <w:tcPr>
            <w:tcW w:w="141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184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HD45N4</w:t>
            </w:r>
          </w:p>
        </w:tc>
        <w:tc>
          <w:tcPr>
            <w:tcW w:w="170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4</w:t>
            </w:r>
          </w:p>
        </w:tc>
        <w:tc>
          <w:tcPr>
            <w:tcW w:w="3850"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bl>
    <w:p>
      <w:pPr>
        <w:spacing w:line="360" w:lineRule="auto"/>
        <w:rPr>
          <w:rFonts w:ascii="宋体" w:hAnsi="宋体"/>
          <w:sz w:val="24"/>
        </w:rPr>
      </w:pPr>
    </w:p>
    <w:p>
      <w:pPr>
        <w:spacing w:line="360" w:lineRule="auto"/>
        <w:ind w:firstLine="480" w:firstLineChars="200"/>
        <w:rPr>
          <w:rFonts w:ascii="宋体" w:hAnsi="宋体"/>
          <w:sz w:val="24"/>
        </w:rPr>
      </w:pPr>
      <w:r>
        <w:rPr>
          <w:rFonts w:hint="eastAsia" w:ascii="宋体" w:hAnsi="宋体"/>
          <w:sz w:val="24"/>
        </w:rPr>
        <w:t>2、维修要求</w:t>
      </w:r>
    </w:p>
    <w:p>
      <w:pPr>
        <w:pStyle w:val="147"/>
        <w:numPr>
          <w:ilvl w:val="0"/>
          <w:numId w:val="3"/>
        </w:numPr>
        <w:spacing w:line="360" w:lineRule="auto"/>
        <w:ind w:firstLineChars="0"/>
        <w:rPr>
          <w:rFonts w:ascii="宋体" w:hAnsi="宋体"/>
          <w:sz w:val="24"/>
        </w:rPr>
      </w:pPr>
      <w:r>
        <w:rPr>
          <w:rFonts w:hint="eastAsia" w:ascii="宋体" w:hAnsi="宋体"/>
          <w:sz w:val="24"/>
        </w:rPr>
        <w:t>根据招标要求，维修技术人员现场更换变频器型号配套的电源板和散热风机，</w:t>
      </w:r>
      <w:r>
        <w:rPr>
          <w:rFonts w:hint="eastAsia" w:ascii="宋体" w:hAnsi="宋体" w:cs="Arial"/>
          <w:kern w:val="0"/>
          <w:sz w:val="22"/>
        </w:rPr>
        <w:t>维修人员必须持有低压电工作业证，严格按照相关规程开展维修工作并服从招标人的管理和安排</w:t>
      </w:r>
      <w:r>
        <w:rPr>
          <w:rFonts w:hint="eastAsia" w:ascii="宋体" w:hAnsi="宋体"/>
          <w:sz w:val="24"/>
        </w:rPr>
        <w:t>。</w:t>
      </w:r>
    </w:p>
    <w:p>
      <w:pPr>
        <w:pStyle w:val="147"/>
        <w:numPr>
          <w:ilvl w:val="0"/>
          <w:numId w:val="3"/>
        </w:numPr>
        <w:spacing w:line="360" w:lineRule="auto"/>
        <w:ind w:firstLineChars="0"/>
        <w:rPr>
          <w:rFonts w:ascii="宋体" w:hAnsi="宋体" w:cs="Arial"/>
          <w:kern w:val="0"/>
          <w:sz w:val="22"/>
        </w:rPr>
      </w:pPr>
      <w:r>
        <w:rPr>
          <w:rFonts w:hint="eastAsia" w:ascii="宋体" w:hAnsi="宋体" w:cs="Arial"/>
          <w:kern w:val="0"/>
          <w:sz w:val="22"/>
        </w:rPr>
        <w:t>部分维修涉及机场运行隔离区，投标方服务时应严格遵守招标方有关规章制度及管理规定, 在项目实施期间，必须严格执行民航总局第191号令《民用机场运行安全管理规定》、《机坪运行管理规定》和《机坪车辆行驶管理手册》，做好机坪外来物防范措施，由投标方造成的一切人身安全责任事故、影响机场飞行、空防安全及机场设施、设备损坏事故，均由投标方负责。</w:t>
      </w:r>
    </w:p>
    <w:p>
      <w:pPr>
        <w:pStyle w:val="147"/>
        <w:numPr>
          <w:ilvl w:val="0"/>
          <w:numId w:val="3"/>
        </w:numPr>
        <w:spacing w:line="360" w:lineRule="auto"/>
        <w:ind w:firstLineChars="0"/>
        <w:rPr>
          <w:rFonts w:ascii="宋体" w:hAnsi="宋体"/>
          <w:sz w:val="24"/>
        </w:rPr>
      </w:pPr>
      <w:r>
        <w:rPr>
          <w:rFonts w:hint="eastAsia" w:ascii="宋体" w:hAnsi="宋体"/>
          <w:sz w:val="24"/>
        </w:rPr>
        <w:t>每台设备维修后进行一次运行测试：</w:t>
      </w:r>
    </w:p>
    <w:p>
      <w:pPr>
        <w:widowControl/>
        <w:numPr>
          <w:ilvl w:val="0"/>
          <w:numId w:val="4"/>
        </w:numPr>
        <w:spacing w:line="360" w:lineRule="auto"/>
        <w:ind w:right="23"/>
        <w:jc w:val="left"/>
        <w:rPr>
          <w:rFonts w:ascii="宋体" w:hAnsi="宋体"/>
          <w:sz w:val="24"/>
        </w:rPr>
      </w:pPr>
      <w:r>
        <w:rPr>
          <w:rFonts w:hint="eastAsia" w:ascii="宋体" w:hAnsi="宋体"/>
          <w:sz w:val="24"/>
        </w:rPr>
        <w:t>进行一次变频器硬件测试：</w:t>
      </w:r>
    </w:p>
    <w:p>
      <w:pPr>
        <w:widowControl/>
        <w:numPr>
          <w:ilvl w:val="0"/>
          <w:numId w:val="5"/>
        </w:numPr>
        <w:spacing w:line="360" w:lineRule="auto"/>
        <w:ind w:right="23"/>
        <w:jc w:val="left"/>
        <w:rPr>
          <w:rFonts w:ascii="宋体" w:hAnsi="宋体"/>
          <w:sz w:val="24"/>
        </w:rPr>
      </w:pPr>
      <w:r>
        <w:rPr>
          <w:rFonts w:hint="eastAsia" w:ascii="宋体" w:hAnsi="宋体"/>
          <w:sz w:val="24"/>
        </w:rPr>
        <w:t>整流模块测试</w:t>
      </w:r>
    </w:p>
    <w:p>
      <w:pPr>
        <w:widowControl/>
        <w:numPr>
          <w:ilvl w:val="0"/>
          <w:numId w:val="5"/>
        </w:numPr>
        <w:spacing w:line="360" w:lineRule="auto"/>
        <w:ind w:right="23"/>
        <w:jc w:val="left"/>
        <w:rPr>
          <w:rFonts w:ascii="宋体" w:hAnsi="宋体"/>
          <w:sz w:val="24"/>
        </w:rPr>
      </w:pPr>
      <w:r>
        <w:rPr>
          <w:rFonts w:hint="eastAsia" w:ascii="宋体" w:hAnsi="宋体"/>
          <w:sz w:val="24"/>
        </w:rPr>
        <w:t>逆变模块测试</w:t>
      </w:r>
    </w:p>
    <w:p>
      <w:pPr>
        <w:widowControl/>
        <w:numPr>
          <w:ilvl w:val="0"/>
          <w:numId w:val="5"/>
        </w:numPr>
        <w:spacing w:line="360" w:lineRule="auto"/>
        <w:ind w:right="23"/>
        <w:jc w:val="left"/>
        <w:rPr>
          <w:rFonts w:ascii="宋体" w:hAnsi="宋体"/>
          <w:sz w:val="24"/>
        </w:rPr>
      </w:pPr>
      <w:r>
        <w:rPr>
          <w:rFonts w:hint="eastAsia" w:ascii="宋体" w:hAnsi="宋体"/>
          <w:sz w:val="24"/>
        </w:rPr>
        <w:t>绝缘测试</w:t>
      </w:r>
    </w:p>
    <w:p>
      <w:pPr>
        <w:widowControl/>
        <w:numPr>
          <w:ilvl w:val="0"/>
          <w:numId w:val="4"/>
        </w:numPr>
        <w:spacing w:line="360" w:lineRule="auto"/>
        <w:ind w:right="23"/>
        <w:jc w:val="left"/>
        <w:rPr>
          <w:rFonts w:ascii="宋体" w:hAnsi="宋体"/>
          <w:sz w:val="24"/>
        </w:rPr>
      </w:pPr>
      <w:r>
        <w:rPr>
          <w:rFonts w:hint="eastAsia" w:ascii="宋体" w:hAnsi="宋体"/>
          <w:sz w:val="24"/>
        </w:rPr>
        <w:t>进行一次变频器运行观察：</w:t>
      </w:r>
    </w:p>
    <w:p>
      <w:pPr>
        <w:widowControl/>
        <w:numPr>
          <w:ilvl w:val="0"/>
          <w:numId w:val="6"/>
        </w:numPr>
        <w:spacing w:line="360" w:lineRule="auto"/>
        <w:ind w:right="23"/>
        <w:jc w:val="left"/>
        <w:rPr>
          <w:rFonts w:ascii="宋体" w:hAnsi="宋体"/>
          <w:sz w:val="24"/>
        </w:rPr>
      </w:pPr>
      <w:r>
        <w:rPr>
          <w:rFonts w:hint="eastAsia" w:ascii="宋体" w:hAnsi="宋体"/>
          <w:sz w:val="24"/>
        </w:rPr>
        <w:t>输出电压情况</w:t>
      </w:r>
    </w:p>
    <w:p>
      <w:pPr>
        <w:widowControl/>
        <w:numPr>
          <w:ilvl w:val="0"/>
          <w:numId w:val="6"/>
        </w:numPr>
        <w:spacing w:line="360" w:lineRule="auto"/>
        <w:ind w:right="23"/>
        <w:jc w:val="left"/>
        <w:rPr>
          <w:rFonts w:ascii="宋体" w:hAnsi="宋体"/>
          <w:sz w:val="24"/>
        </w:rPr>
      </w:pPr>
      <w:r>
        <w:rPr>
          <w:rFonts w:hint="eastAsia" w:ascii="宋体" w:hAnsi="宋体"/>
          <w:sz w:val="24"/>
        </w:rPr>
        <w:t>电源电压情况</w:t>
      </w:r>
    </w:p>
    <w:p>
      <w:pPr>
        <w:widowControl/>
        <w:numPr>
          <w:ilvl w:val="0"/>
          <w:numId w:val="6"/>
        </w:numPr>
        <w:spacing w:line="360" w:lineRule="auto"/>
        <w:ind w:right="23"/>
        <w:jc w:val="left"/>
        <w:rPr>
          <w:rFonts w:ascii="宋体" w:hAnsi="宋体"/>
          <w:sz w:val="24"/>
        </w:rPr>
      </w:pPr>
      <w:r>
        <w:rPr>
          <w:rFonts w:hint="eastAsia" w:ascii="宋体" w:hAnsi="宋体"/>
          <w:sz w:val="24"/>
        </w:rPr>
        <w:t>输出电流情况</w:t>
      </w:r>
    </w:p>
    <w:p>
      <w:pPr>
        <w:widowControl/>
        <w:numPr>
          <w:ilvl w:val="0"/>
          <w:numId w:val="6"/>
        </w:numPr>
        <w:spacing w:line="360" w:lineRule="auto"/>
        <w:ind w:right="23"/>
        <w:jc w:val="left"/>
        <w:rPr>
          <w:rFonts w:ascii="宋体" w:hAnsi="宋体"/>
          <w:sz w:val="24"/>
        </w:rPr>
      </w:pPr>
      <w:r>
        <w:rPr>
          <w:rFonts w:hint="eastAsia" w:ascii="宋体" w:hAnsi="宋体"/>
          <w:sz w:val="24"/>
        </w:rPr>
        <w:t>进线电流情况</w:t>
      </w:r>
    </w:p>
    <w:p>
      <w:pPr>
        <w:pStyle w:val="147"/>
        <w:numPr>
          <w:ilvl w:val="0"/>
          <w:numId w:val="7"/>
        </w:numPr>
        <w:spacing w:line="360" w:lineRule="auto"/>
        <w:ind w:firstLineChars="0"/>
        <w:rPr>
          <w:rFonts w:ascii="宋体" w:hAnsi="宋体"/>
          <w:sz w:val="24"/>
        </w:rPr>
      </w:pPr>
      <w:r>
        <w:rPr>
          <w:rFonts w:hint="eastAsia" w:ascii="宋体" w:hAnsi="宋体"/>
          <w:sz w:val="24"/>
        </w:rPr>
        <w:t>维修项目完成后，投标人须对维修硬件进行参数设置和数据评估，形成维修报告交由招标人。</w:t>
      </w:r>
    </w:p>
    <w:p>
      <w:pPr>
        <w:ind w:firstLine="480" w:firstLineChars="200"/>
        <w:rPr>
          <w:rFonts w:ascii="宋体" w:hAnsi="宋体"/>
          <w:sz w:val="24"/>
        </w:rPr>
      </w:pPr>
      <w:r>
        <w:rPr>
          <w:rFonts w:hint="eastAsia" w:ascii="宋体" w:hAnsi="宋体"/>
          <w:sz w:val="24"/>
        </w:rPr>
        <w:t>3、维修部件要求</w:t>
      </w:r>
    </w:p>
    <w:p>
      <w:pPr>
        <w:tabs>
          <w:tab w:val="left" w:pos="720"/>
        </w:tabs>
        <w:autoSpaceDE w:val="0"/>
        <w:autoSpaceDN w:val="0"/>
        <w:adjustRightInd w:val="0"/>
        <w:ind w:firstLine="420" w:firstLineChars="200"/>
        <w:jc w:val="left"/>
        <w:rPr>
          <w:rFonts w:ascii="宋体" w:hAnsi="宋体"/>
          <w:sz w:val="24"/>
        </w:rPr>
      </w:pPr>
      <w:r>
        <w:rPr>
          <w:rFonts w:hint="eastAsia" w:ascii="宋体" w:hAnsi="宋体"/>
        </w:rPr>
        <w:t>★</w:t>
      </w:r>
      <w:r>
        <w:rPr>
          <w:rFonts w:hint="eastAsia" w:ascii="宋体" w:hAnsi="宋体"/>
          <w:sz w:val="24"/>
        </w:rPr>
        <w:t>投标人提供的维修零部件必须是施耐德的原厂配套部件或原厂指定使用品牌，要求投标人提供有关产品是否为原厂部件或原厂指定使用品牌的证明文件（货源渠道证明或施奈德维修授权证明）。</w:t>
      </w:r>
    </w:p>
    <w:p>
      <w:pPr>
        <w:spacing w:line="360" w:lineRule="auto"/>
        <w:ind w:left="480"/>
        <w:rPr>
          <w:rFonts w:ascii="宋体" w:cs="宋体"/>
          <w:b/>
          <w:sz w:val="24"/>
        </w:rPr>
      </w:pPr>
      <w:r>
        <w:rPr>
          <w:rFonts w:hint="eastAsia" w:ascii="宋体" w:hAnsi="宋体" w:cs="宋体"/>
          <w:b/>
          <w:sz w:val="24"/>
        </w:rPr>
        <w:t>（三）保修期故障处理</w:t>
      </w:r>
    </w:p>
    <w:p>
      <w:pPr>
        <w:widowControl/>
        <w:ind w:left="239" w:leftChars="114" w:firstLine="480" w:firstLineChars="200"/>
        <w:jc w:val="left"/>
        <w:rPr>
          <w:rFonts w:ascii="宋体" w:hAnsi="宋体"/>
          <w:sz w:val="24"/>
        </w:rPr>
      </w:pPr>
      <w:r>
        <w:rPr>
          <w:rFonts w:hint="eastAsia" w:ascii="宋体" w:hAnsi="宋体"/>
          <w:sz w:val="24"/>
        </w:rPr>
        <w:t>更换的零部件,在免费保修期内，投标方需提供7*24小时响应服务，电话应及时响应，投标方在接到招标方要求后，应派遣售后服务工程师于4小时内到达现场，对于常规问题投标方保证在到达现场后在24小时内处理。在免费保修期结束时，须由中标方专业工程师对所提供的设备单独进行一次全面测试和检查，任何缺陷必须由中标方免费修理，并得到业主认可,免费保修期为1年。</w:t>
      </w:r>
    </w:p>
    <w:p>
      <w:pPr>
        <w:widowControl/>
        <w:ind w:left="239" w:leftChars="114" w:firstLine="480" w:firstLineChars="200"/>
        <w:jc w:val="left"/>
        <w:rPr>
          <w:rFonts w:ascii="宋体" w:hAnsi="宋体"/>
          <w:sz w:val="24"/>
        </w:rPr>
      </w:pPr>
    </w:p>
    <w:p>
      <w:pPr>
        <w:spacing w:line="360" w:lineRule="auto"/>
        <w:ind w:firstLine="472" w:firstLineChars="196"/>
        <w:rPr>
          <w:rFonts w:ascii="宋体" w:cs="宋体"/>
          <w:b/>
          <w:sz w:val="24"/>
        </w:rPr>
      </w:pPr>
      <w:r>
        <w:rPr>
          <w:rFonts w:hint="eastAsia" w:ascii="宋体" w:hAnsi="宋体" w:cs="宋体"/>
          <w:b/>
          <w:sz w:val="24"/>
        </w:rPr>
        <w:t>（四）理论培训与咨询服务</w:t>
      </w:r>
    </w:p>
    <w:p>
      <w:pPr>
        <w:widowControl/>
        <w:ind w:left="239" w:leftChars="114" w:firstLine="480" w:firstLineChars="200"/>
        <w:jc w:val="left"/>
        <w:rPr>
          <w:rFonts w:eastAsia="黑体" w:cs="Calibri"/>
          <w:b/>
          <w:bCs/>
          <w:kern w:val="0"/>
          <w:sz w:val="32"/>
          <w:szCs w:val="44"/>
        </w:rPr>
      </w:pPr>
      <w:r>
        <w:rPr>
          <w:rFonts w:hint="eastAsia" w:ascii="宋体" w:hAnsi="宋体"/>
          <w:sz w:val="24"/>
        </w:rPr>
        <w:t>投标方在提供维修的同时，需提供专业技术的培训咨询服务，咨询包括不限于以下内容：变频器的运行原理，基本操作和维护保养说明和常见问题应急解决。</w:t>
      </w:r>
    </w:p>
    <w:p>
      <w:pPr>
        <w:jc w:val="left"/>
      </w:pPr>
      <w:r>
        <w:br w:type="page"/>
      </w:r>
    </w:p>
    <w:p>
      <w:pPr>
        <w:pStyle w:val="2"/>
        <w:spacing w:before="0" w:after="0" w:line="360" w:lineRule="auto"/>
        <w:jc w:val="center"/>
        <w:rPr>
          <w:rFonts w:ascii="Calibri" w:hAnsi="Calibri" w:eastAsia="黑体" w:cs="Calibri"/>
          <w:kern w:val="0"/>
          <w:sz w:val="32"/>
        </w:rPr>
      </w:pPr>
      <w:bookmarkStart w:id="113" w:name="_Toc448002986"/>
      <w:r>
        <w:rPr>
          <w:rFonts w:hint="eastAsia" w:ascii="Calibri" w:hAnsi="Calibri" w:eastAsia="黑体" w:cs="Calibri"/>
          <w:kern w:val="0"/>
          <w:sz w:val="32"/>
        </w:rPr>
        <w:t xml:space="preserve">第四章  </w:t>
      </w:r>
      <w:r>
        <w:rPr>
          <w:rFonts w:ascii="Calibri" w:hAnsi="Calibri" w:eastAsia="黑体" w:cs="Calibri"/>
          <w:kern w:val="0"/>
          <w:sz w:val="32"/>
        </w:rPr>
        <w:t>合同条款</w:t>
      </w:r>
      <w:bookmarkEnd w:id="113"/>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杭州萧山国际机场【中央空调系统变频器维修】项目合同</w:t>
      </w: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甲方：</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住所地：</w:t>
      </w: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乙方：</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住所地：</w:t>
      </w: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b/>
          <w:bCs/>
          <w:sz w:val="28"/>
          <w:szCs w:val="28"/>
        </w:rPr>
        <w:t>第一部分  协议书</w:t>
      </w:r>
    </w:p>
    <w:p>
      <w:pPr>
        <w:spacing w:line="560" w:lineRule="exact"/>
        <w:ind w:firstLine="560" w:firstLineChars="200"/>
        <w:jc w:val="lef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根据《中华人民共和国合同法》及有关法律规定，遵循平等、自愿、公平和诚实信用的原则，双方就</w:t>
      </w:r>
      <w:r>
        <w:rPr>
          <w:rFonts w:hint="eastAsia" w:ascii="仿宋_GB2312" w:hAnsi="仿宋_GB2312" w:eastAsia="仿宋_GB2312" w:cs="仿宋_GB2312"/>
          <w:sz w:val="28"/>
          <w:szCs w:val="28"/>
          <w:u w:val="single"/>
        </w:rPr>
        <w:t xml:space="preserve">  杭州萧山国际机场中央空调系统变频器维修  </w:t>
      </w:r>
      <w:r>
        <w:rPr>
          <w:rFonts w:hint="eastAsia" w:ascii="仿宋_GB2312" w:hAnsi="仿宋_GB2312" w:eastAsia="仿宋_GB2312" w:cs="仿宋_GB2312"/>
          <w:sz w:val="28"/>
          <w:szCs w:val="28"/>
        </w:rPr>
        <w:t>项目及有关事项友好协商一致，共同达成如下协议：</w:t>
      </w:r>
      <w:r>
        <w:rPr>
          <w:rFonts w:hint="eastAsia" w:ascii="仿宋_GB2312" w:hAnsi="仿宋_GB2312" w:eastAsia="仿宋_GB2312" w:cs="仿宋_GB2312"/>
          <w:color w:val="000000"/>
          <w:sz w:val="28"/>
          <w:szCs w:val="28"/>
        </w:rPr>
        <w:t xml:space="preserve"> </w:t>
      </w:r>
    </w:p>
    <w:p>
      <w:pPr>
        <w:spacing w:line="560" w:lineRule="exact"/>
        <w:jc w:val="left"/>
        <w:rPr>
          <w:rFonts w:ascii="仿宋_GB2312" w:hAnsi="仿宋_GB2312" w:eastAsia="仿宋_GB2312" w:cs="仿宋_GB2312"/>
          <w:b/>
          <w:sz w:val="28"/>
          <w:szCs w:val="28"/>
        </w:rPr>
      </w:pPr>
    </w:p>
    <w:p>
      <w:pPr>
        <w:pStyle w:val="148"/>
        <w:widowControl/>
        <w:numPr>
          <w:ilvl w:val="0"/>
          <w:numId w:val="8"/>
        </w:numPr>
        <w:spacing w:line="560" w:lineRule="exact"/>
        <w:ind w:firstLineChars="0"/>
        <w:jc w:val="left"/>
        <w:rPr>
          <w:rFonts w:ascii="仿宋_GB2312" w:hAnsi="仿宋_GB2312" w:eastAsia="仿宋_GB2312" w:cs="仿宋_GB2312"/>
          <w:b/>
          <w:szCs w:val="28"/>
          <w:u w:val="single"/>
        </w:rPr>
      </w:pPr>
      <w:r>
        <w:rPr>
          <w:rFonts w:hint="eastAsia" w:ascii="仿宋_GB2312" w:hAnsi="仿宋_GB2312" w:eastAsia="仿宋_GB2312" w:cs="仿宋_GB2312"/>
          <w:b/>
          <w:szCs w:val="28"/>
        </w:rPr>
        <w:t>服务概况</w:t>
      </w:r>
    </w:p>
    <w:p>
      <w:pPr>
        <w:pStyle w:val="148"/>
        <w:widowControl/>
        <w:spacing w:line="560" w:lineRule="exact"/>
        <w:ind w:left="777" w:firstLine="0" w:firstLineChars="0"/>
        <w:jc w:val="left"/>
        <w:rPr>
          <w:rFonts w:ascii="仿宋_GB2312" w:hAnsi="仿宋_GB2312" w:eastAsia="仿宋_GB2312" w:cs="仿宋_GB2312"/>
          <w:szCs w:val="28"/>
        </w:rPr>
      </w:pPr>
      <w:r>
        <w:rPr>
          <w:rFonts w:hint="eastAsia" w:ascii="仿宋_GB2312" w:hAnsi="仿宋_GB2312" w:eastAsia="仿宋_GB2312" w:cs="仿宋_GB2312"/>
          <w:szCs w:val="28"/>
        </w:rPr>
        <w:t xml:space="preserve">1.服务内容： </w:t>
      </w:r>
    </w:p>
    <w:tbl>
      <w:tblPr>
        <w:tblStyle w:val="45"/>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18"/>
        <w:gridCol w:w="2976"/>
        <w:gridCol w:w="1843"/>
        <w:gridCol w:w="2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序号</w:t>
            </w:r>
          </w:p>
        </w:tc>
        <w:tc>
          <w:tcPr>
            <w:tcW w:w="1418"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维修部件</w:t>
            </w:r>
          </w:p>
        </w:tc>
        <w:tc>
          <w:tcPr>
            <w:tcW w:w="2976"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变频器型号</w:t>
            </w:r>
          </w:p>
        </w:tc>
        <w:tc>
          <w:tcPr>
            <w:tcW w:w="1843"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数量</w:t>
            </w:r>
          </w:p>
        </w:tc>
        <w:tc>
          <w:tcPr>
            <w:tcW w:w="2574"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w:t>
            </w:r>
          </w:p>
        </w:tc>
        <w:tc>
          <w:tcPr>
            <w:tcW w:w="1418"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电源板</w:t>
            </w:r>
          </w:p>
        </w:tc>
        <w:tc>
          <w:tcPr>
            <w:tcW w:w="2976"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ATV 61 HD90N4</w:t>
            </w:r>
          </w:p>
        </w:tc>
        <w:tc>
          <w:tcPr>
            <w:tcW w:w="1843"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w:t>
            </w:r>
          </w:p>
        </w:tc>
        <w:tc>
          <w:tcPr>
            <w:tcW w:w="2574"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p>
        </w:tc>
        <w:tc>
          <w:tcPr>
            <w:tcW w:w="1418"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电源板</w:t>
            </w:r>
          </w:p>
        </w:tc>
        <w:tc>
          <w:tcPr>
            <w:tcW w:w="2976"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ATV 61 HD75N4</w:t>
            </w:r>
          </w:p>
        </w:tc>
        <w:tc>
          <w:tcPr>
            <w:tcW w:w="1843"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w:t>
            </w:r>
          </w:p>
        </w:tc>
        <w:tc>
          <w:tcPr>
            <w:tcW w:w="2574"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w:t>
            </w:r>
          </w:p>
        </w:tc>
        <w:tc>
          <w:tcPr>
            <w:tcW w:w="1418"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散热风机</w:t>
            </w:r>
          </w:p>
        </w:tc>
        <w:tc>
          <w:tcPr>
            <w:tcW w:w="2976"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ATV 61 HD90N4</w:t>
            </w:r>
          </w:p>
        </w:tc>
        <w:tc>
          <w:tcPr>
            <w:tcW w:w="1843"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6</w:t>
            </w:r>
          </w:p>
        </w:tc>
        <w:tc>
          <w:tcPr>
            <w:tcW w:w="2574"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w:t>
            </w:r>
          </w:p>
        </w:tc>
        <w:tc>
          <w:tcPr>
            <w:tcW w:w="1418"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散热风机</w:t>
            </w:r>
          </w:p>
        </w:tc>
        <w:tc>
          <w:tcPr>
            <w:tcW w:w="2976"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ATV 61 HD75N4</w:t>
            </w:r>
          </w:p>
        </w:tc>
        <w:tc>
          <w:tcPr>
            <w:tcW w:w="1843"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12</w:t>
            </w:r>
          </w:p>
        </w:tc>
        <w:tc>
          <w:tcPr>
            <w:tcW w:w="2574"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5</w:t>
            </w:r>
          </w:p>
        </w:tc>
        <w:tc>
          <w:tcPr>
            <w:tcW w:w="1418"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散热风机</w:t>
            </w:r>
          </w:p>
        </w:tc>
        <w:tc>
          <w:tcPr>
            <w:tcW w:w="2976"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ATV 61 HD30N4</w:t>
            </w:r>
          </w:p>
        </w:tc>
        <w:tc>
          <w:tcPr>
            <w:tcW w:w="1843"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9</w:t>
            </w:r>
          </w:p>
        </w:tc>
        <w:tc>
          <w:tcPr>
            <w:tcW w:w="2574"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6</w:t>
            </w:r>
          </w:p>
        </w:tc>
        <w:tc>
          <w:tcPr>
            <w:tcW w:w="1418"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散热风机</w:t>
            </w:r>
          </w:p>
        </w:tc>
        <w:tc>
          <w:tcPr>
            <w:tcW w:w="2976"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ATV 61 HD45N4</w:t>
            </w:r>
          </w:p>
        </w:tc>
        <w:tc>
          <w:tcPr>
            <w:tcW w:w="1843"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w:t>
            </w:r>
          </w:p>
        </w:tc>
        <w:tc>
          <w:tcPr>
            <w:tcW w:w="2574" w:type="dxa"/>
            <w:vAlign w:val="center"/>
          </w:tcPr>
          <w:p>
            <w:pPr>
              <w:spacing w:line="360" w:lineRule="auto"/>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更换</w:t>
            </w:r>
          </w:p>
        </w:tc>
      </w:tr>
    </w:tbl>
    <w:p>
      <w:pPr>
        <w:spacing w:line="360" w:lineRule="auto"/>
        <w:rPr>
          <w:rFonts w:ascii="仿宋_GB2312" w:hAnsi="仿宋_GB2312" w:eastAsia="仿宋_GB2312" w:cs="仿宋_GB2312"/>
          <w:bCs/>
          <w:sz w:val="28"/>
          <w:szCs w:val="28"/>
        </w:rPr>
      </w:pPr>
    </w:p>
    <w:p>
      <w:pPr>
        <w:pStyle w:val="147"/>
        <w:numPr>
          <w:ilvl w:val="0"/>
          <w:numId w:val="3"/>
        </w:numPr>
        <w:spacing w:line="360" w:lineRule="auto"/>
        <w:ind w:firstLineChars="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每台设备维修后进行一次运行测试：</w:t>
      </w:r>
    </w:p>
    <w:p>
      <w:pPr>
        <w:widowControl/>
        <w:numPr>
          <w:ilvl w:val="0"/>
          <w:numId w:val="9"/>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进行一次变频器硬件测试：</w:t>
      </w:r>
    </w:p>
    <w:p>
      <w:pPr>
        <w:widowControl/>
        <w:numPr>
          <w:ilvl w:val="0"/>
          <w:numId w:val="10"/>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整流模块测试</w:t>
      </w:r>
    </w:p>
    <w:p>
      <w:pPr>
        <w:widowControl/>
        <w:numPr>
          <w:ilvl w:val="0"/>
          <w:numId w:val="10"/>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逆变模块测试</w:t>
      </w:r>
    </w:p>
    <w:p>
      <w:pPr>
        <w:widowControl/>
        <w:numPr>
          <w:ilvl w:val="0"/>
          <w:numId w:val="10"/>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绝缘测试</w:t>
      </w:r>
    </w:p>
    <w:p>
      <w:pPr>
        <w:widowControl/>
        <w:numPr>
          <w:ilvl w:val="0"/>
          <w:numId w:val="9"/>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进行一次变频器运行观察：</w:t>
      </w:r>
    </w:p>
    <w:p>
      <w:pPr>
        <w:widowControl/>
        <w:numPr>
          <w:ilvl w:val="0"/>
          <w:numId w:val="6"/>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输出电压情况</w:t>
      </w:r>
    </w:p>
    <w:p>
      <w:pPr>
        <w:widowControl/>
        <w:numPr>
          <w:ilvl w:val="0"/>
          <w:numId w:val="6"/>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电源电压情况</w:t>
      </w:r>
    </w:p>
    <w:p>
      <w:pPr>
        <w:widowControl/>
        <w:numPr>
          <w:ilvl w:val="0"/>
          <w:numId w:val="6"/>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输出电流情况</w:t>
      </w:r>
    </w:p>
    <w:p>
      <w:pPr>
        <w:widowControl/>
        <w:numPr>
          <w:ilvl w:val="0"/>
          <w:numId w:val="6"/>
        </w:numPr>
        <w:spacing w:line="360" w:lineRule="auto"/>
        <w:ind w:right="23"/>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进线电流情况</w:t>
      </w:r>
    </w:p>
    <w:p>
      <w:pPr>
        <w:pStyle w:val="148"/>
        <w:widowControl/>
        <w:spacing w:line="560" w:lineRule="exact"/>
        <w:ind w:left="777" w:firstLine="0" w:firstLineChars="0"/>
        <w:jc w:val="left"/>
        <w:rPr>
          <w:rFonts w:ascii="仿宋_GB2312" w:hAnsi="仿宋_GB2312" w:eastAsia="仿宋_GB2312" w:cs="仿宋_GB2312"/>
          <w:szCs w:val="28"/>
        </w:rPr>
      </w:pPr>
    </w:p>
    <w:p>
      <w:pPr>
        <w:pStyle w:val="148"/>
        <w:spacing w:line="560" w:lineRule="exact"/>
        <w:ind w:left="777" w:firstLine="0" w:firstLineChars="0"/>
        <w:jc w:val="left"/>
        <w:rPr>
          <w:rFonts w:ascii="仿宋_GB2312" w:hAnsi="仿宋_GB2312" w:eastAsia="仿宋_GB2312" w:cs="仿宋_GB2312"/>
          <w:szCs w:val="28"/>
        </w:rPr>
      </w:pPr>
      <w:r>
        <w:rPr>
          <w:rFonts w:hint="eastAsia" w:ascii="仿宋_GB2312" w:hAnsi="仿宋_GB2312" w:eastAsia="仿宋_GB2312" w:cs="仿宋_GB2312"/>
          <w:szCs w:val="28"/>
        </w:rPr>
        <w:t>2.服务地点： T3航站楼空调机房</w:t>
      </w:r>
    </w:p>
    <w:p>
      <w:pPr>
        <w:pStyle w:val="148"/>
        <w:spacing w:line="560" w:lineRule="exact"/>
        <w:ind w:left="777" w:firstLine="0" w:firstLineChars="0"/>
        <w:jc w:val="left"/>
        <w:rPr>
          <w:rFonts w:ascii="仿宋_GB2312" w:hAnsi="仿宋_GB2312" w:eastAsia="仿宋_GB2312" w:cs="仿宋_GB2312"/>
          <w:szCs w:val="28"/>
        </w:rPr>
      </w:pPr>
      <w:r>
        <w:rPr>
          <w:rFonts w:hint="eastAsia" w:ascii="仿宋_GB2312" w:hAnsi="仿宋_GB2312" w:eastAsia="仿宋_GB2312" w:cs="仿宋_GB2312"/>
          <w:szCs w:val="28"/>
        </w:rPr>
        <w:t>3.服务形式：维修服务</w:t>
      </w:r>
    </w:p>
    <w:p>
      <w:pPr>
        <w:pStyle w:val="148"/>
        <w:widowControl/>
        <w:numPr>
          <w:ilvl w:val="0"/>
          <w:numId w:val="8"/>
        </w:numPr>
        <w:spacing w:line="560" w:lineRule="exact"/>
        <w:ind w:firstLineChars="0"/>
        <w:jc w:val="left"/>
        <w:rPr>
          <w:rFonts w:ascii="仿宋_GB2312" w:hAnsi="仿宋_GB2312" w:eastAsia="仿宋_GB2312" w:cs="仿宋_GB2312"/>
          <w:b/>
          <w:szCs w:val="28"/>
        </w:rPr>
      </w:pPr>
      <w:r>
        <w:rPr>
          <w:rFonts w:hint="eastAsia" w:ascii="仿宋_GB2312" w:hAnsi="仿宋_GB2312" w:eastAsia="仿宋_GB2312" w:cs="仿宋_GB2312"/>
          <w:b/>
          <w:szCs w:val="28"/>
        </w:rPr>
        <w:t>服务期限</w:t>
      </w:r>
    </w:p>
    <w:p>
      <w:pPr>
        <w:pStyle w:val="148"/>
        <w:widowControl/>
        <w:spacing w:line="560" w:lineRule="exact"/>
        <w:ind w:left="777" w:firstLine="0" w:firstLineChars="0"/>
        <w:jc w:val="left"/>
        <w:rPr>
          <w:rFonts w:ascii="仿宋_GB2312" w:hAnsi="仿宋_GB2312" w:eastAsia="仿宋_GB2312" w:cs="仿宋_GB2312"/>
          <w:szCs w:val="28"/>
        </w:rPr>
      </w:pPr>
      <w:r>
        <w:rPr>
          <w:rFonts w:hint="eastAsia" w:ascii="仿宋_GB2312" w:hAnsi="仿宋_GB2312" w:eastAsia="仿宋_GB2312" w:cs="仿宋_GB2312"/>
          <w:szCs w:val="28"/>
        </w:rPr>
        <w:t>本项目服务期限采用第</w:t>
      </w:r>
      <w:r>
        <w:rPr>
          <w:rFonts w:hint="eastAsia" w:ascii="仿宋_GB2312" w:hAnsi="仿宋_GB2312" w:eastAsia="仿宋_GB2312" w:cs="仿宋_GB2312"/>
          <w:szCs w:val="28"/>
          <w:u w:val="single"/>
        </w:rPr>
        <w:t xml:space="preserve">   2   </w:t>
      </w:r>
      <w:r>
        <w:rPr>
          <w:rFonts w:hint="eastAsia" w:ascii="仿宋_GB2312" w:hAnsi="仿宋_GB2312" w:eastAsia="仿宋_GB2312" w:cs="仿宋_GB2312"/>
          <w:szCs w:val="28"/>
        </w:rPr>
        <w:t>种方式：</w:t>
      </w:r>
    </w:p>
    <w:p>
      <w:pPr>
        <w:pStyle w:val="148"/>
        <w:widowControl/>
        <w:spacing w:line="560" w:lineRule="exact"/>
        <w:ind w:firstLine="560"/>
        <w:jc w:val="left"/>
        <w:rPr>
          <w:rFonts w:ascii="仿宋_GB2312" w:hAnsi="仿宋_GB2312" w:eastAsia="仿宋_GB2312" w:cs="仿宋_GB2312"/>
          <w:szCs w:val="28"/>
        </w:rPr>
      </w:pPr>
      <w:r>
        <w:rPr>
          <w:rFonts w:hint="eastAsia" w:ascii="仿宋_GB2312" w:hAnsi="仿宋_GB2312" w:eastAsia="仿宋_GB2312" w:cs="仿宋_GB2312"/>
          <w:szCs w:val="28"/>
        </w:rPr>
        <w:t xml:space="preserve">  1.本合同采用</w:t>
      </w:r>
      <w:r>
        <w:rPr>
          <w:rFonts w:hint="eastAsia" w:ascii="仿宋_GB2312" w:hAnsi="仿宋_GB2312" w:eastAsia="仿宋_GB2312" w:cs="仿宋_GB2312"/>
          <w:szCs w:val="28"/>
          <w:u w:val="single"/>
        </w:rPr>
        <w:t xml:space="preserve">   /  </w:t>
      </w:r>
      <w:r>
        <w:rPr>
          <w:rFonts w:hint="eastAsia" w:ascii="仿宋_GB2312" w:hAnsi="仿宋_GB2312" w:eastAsia="仿宋_GB2312" w:cs="仿宋_GB2312"/>
          <w:szCs w:val="28"/>
        </w:rPr>
        <w:t>模式，第一年为考核期，有效期限为</w:t>
      </w:r>
      <w:r>
        <w:rPr>
          <w:rFonts w:hint="eastAsia" w:ascii="仿宋_GB2312" w:hAnsi="仿宋_GB2312" w:eastAsia="仿宋_GB2312" w:cs="仿宋_GB2312"/>
          <w:szCs w:val="28"/>
          <w:u w:val="single"/>
        </w:rPr>
        <w:t xml:space="preserve">      /      </w:t>
      </w:r>
      <w:r>
        <w:rPr>
          <w:rFonts w:hint="eastAsia" w:ascii="仿宋_GB2312" w:hAnsi="仿宋_GB2312" w:eastAsia="仿宋_GB2312" w:cs="仿宋_GB2312"/>
          <w:szCs w:val="28"/>
        </w:rPr>
        <w:t>，第一年考核期限届满前60日前，由甲方按照附件【/】对乙方进行考核，经甲方考核后，乙方考核结果达到【/】视为考核合格，则同意乙方续约，合同有效期限自动顺延至【/】。</w:t>
      </w:r>
    </w:p>
    <w:p>
      <w:pPr>
        <w:pStyle w:val="148"/>
        <w:widowControl/>
        <w:spacing w:line="560" w:lineRule="exact"/>
        <w:ind w:firstLine="560"/>
        <w:jc w:val="left"/>
        <w:rPr>
          <w:rFonts w:ascii="仿宋_GB2312" w:hAnsi="仿宋_GB2312" w:eastAsia="仿宋_GB2312" w:cs="仿宋_GB2312"/>
          <w:szCs w:val="28"/>
        </w:rPr>
      </w:pPr>
      <w:r>
        <w:rPr>
          <w:rFonts w:hint="eastAsia" w:ascii="仿宋_GB2312" w:hAnsi="仿宋_GB2312" w:eastAsia="仿宋_GB2312" w:cs="仿宋_GB2312"/>
          <w:szCs w:val="28"/>
        </w:rPr>
        <w:t>若经甲方考核后，乙方考核结果未达到【/】视为考核不合格，则不同意乙方续约，则本合同有效期限至【/】终止。</w:t>
      </w:r>
    </w:p>
    <w:p>
      <w:pPr>
        <w:pStyle w:val="148"/>
        <w:widowControl/>
        <w:spacing w:line="560" w:lineRule="exact"/>
        <w:ind w:firstLine="560"/>
        <w:jc w:val="left"/>
        <w:rPr>
          <w:rFonts w:ascii="仿宋_GB2312" w:hAnsi="仿宋_GB2312" w:eastAsia="仿宋_GB2312" w:cs="仿宋_GB2312"/>
          <w:szCs w:val="28"/>
        </w:rPr>
      </w:pPr>
      <w:r>
        <w:rPr>
          <w:rFonts w:hint="eastAsia" w:ascii="仿宋_GB2312" w:hAnsi="仿宋_GB2312" w:eastAsia="仿宋_GB2312" w:cs="仿宋_GB2312"/>
          <w:szCs w:val="28"/>
        </w:rPr>
        <w:t>考核结果均以甲方确认的结果为准，乙方对此不得提出任何异议，并表示接受考核结果。</w:t>
      </w:r>
    </w:p>
    <w:p>
      <w:pPr>
        <w:pStyle w:val="148"/>
        <w:widowControl/>
        <w:spacing w:line="560" w:lineRule="exact"/>
        <w:ind w:firstLine="560"/>
        <w:jc w:val="left"/>
        <w:rPr>
          <w:rFonts w:ascii="仿宋_GB2312" w:hAnsi="仿宋_GB2312" w:eastAsia="仿宋_GB2312" w:cs="仿宋_GB2312"/>
          <w:szCs w:val="28"/>
        </w:rPr>
      </w:pPr>
      <w:r>
        <w:rPr>
          <w:rFonts w:hint="eastAsia" w:ascii="仿宋_GB2312" w:hAnsi="仿宋_GB2312" w:eastAsia="仿宋_GB2312" w:cs="仿宋_GB2312"/>
          <w:szCs w:val="28"/>
        </w:rPr>
        <w:t>若经甲方考核合格后同意乙方续约，乙方未能在甲方通知乙方可以续约之日起【 /】日内提出书面不续约的申请，则视为乙方违约，甲方有权要求乙方承担         /          违约责任。若在考核合格后，合同自动顺延期间，乙方提出书面不续约申请的，则按照本合同专用条款约定执行。并将乙方列入供应商黑名单。</w:t>
      </w:r>
    </w:p>
    <w:p>
      <w:pPr>
        <w:pStyle w:val="148"/>
        <w:widowControl/>
        <w:spacing w:line="560" w:lineRule="exact"/>
        <w:ind w:firstLine="560"/>
        <w:jc w:val="left"/>
        <w:rPr>
          <w:rFonts w:ascii="仿宋_GB2312" w:hAnsi="仿宋_GB2312" w:eastAsia="仿宋_GB2312" w:cs="仿宋_GB2312"/>
          <w:szCs w:val="28"/>
        </w:rPr>
      </w:pPr>
      <w:r>
        <w:rPr>
          <w:rFonts w:hint="eastAsia" w:ascii="仿宋_GB2312" w:hAnsi="仿宋_GB2312" w:eastAsia="仿宋_GB2312" w:cs="仿宋_GB2312"/>
          <w:szCs w:val="28"/>
        </w:rPr>
        <w:t>2、本合同有效期限为固定期限，有效期限为</w:t>
      </w:r>
      <w:r>
        <w:rPr>
          <w:rFonts w:hint="eastAsia" w:ascii="仿宋_GB2312" w:hAnsi="仿宋_GB2312" w:eastAsia="仿宋_GB2312" w:cs="仿宋_GB2312"/>
          <w:szCs w:val="28"/>
          <w:u w:val="single"/>
        </w:rPr>
        <w:t xml:space="preserve">  </w:t>
      </w:r>
      <w:r>
        <w:rPr>
          <w:rFonts w:ascii="仿宋_GB2312" w:hAnsi="微软雅黑" w:eastAsia="仿宋_GB2312"/>
          <w:color w:val="000000" w:themeColor="text1"/>
          <w:szCs w:val="28"/>
          <w:u w:val="single"/>
        </w:rPr>
        <w:t>2019</w:t>
      </w:r>
      <w:r>
        <w:rPr>
          <w:rFonts w:hint="eastAsia" w:ascii="仿宋_GB2312" w:hAnsi="微软雅黑" w:eastAsia="仿宋_GB2312"/>
          <w:color w:val="000000" w:themeColor="text1"/>
          <w:szCs w:val="28"/>
        </w:rPr>
        <w:t>年</w:t>
      </w:r>
      <w:r>
        <w:rPr>
          <w:rFonts w:ascii="仿宋_GB2312" w:hAnsi="微软雅黑" w:eastAsia="仿宋_GB2312"/>
          <w:color w:val="000000" w:themeColor="text1"/>
          <w:szCs w:val="28"/>
          <w:u w:val="single"/>
        </w:rPr>
        <w:t xml:space="preserve">  </w:t>
      </w:r>
      <w:r>
        <w:rPr>
          <w:rFonts w:hint="eastAsia" w:ascii="仿宋_GB2312" w:hAnsi="微软雅黑" w:eastAsia="仿宋_GB2312"/>
          <w:color w:val="000000" w:themeColor="text1"/>
          <w:szCs w:val="28"/>
        </w:rPr>
        <w:t>月</w:t>
      </w:r>
      <w:r>
        <w:rPr>
          <w:rFonts w:ascii="仿宋_GB2312" w:hAnsi="微软雅黑" w:eastAsia="仿宋_GB2312"/>
          <w:color w:val="000000" w:themeColor="text1"/>
          <w:szCs w:val="28"/>
          <w:u w:val="single"/>
        </w:rPr>
        <w:t xml:space="preserve">   </w:t>
      </w:r>
      <w:r>
        <w:rPr>
          <w:rFonts w:hint="eastAsia" w:ascii="仿宋_GB2312" w:hAnsi="微软雅黑" w:eastAsia="仿宋_GB2312"/>
          <w:color w:val="000000" w:themeColor="text1"/>
          <w:szCs w:val="28"/>
        </w:rPr>
        <w:t>日起至</w:t>
      </w:r>
      <w:r>
        <w:rPr>
          <w:rFonts w:ascii="仿宋_GB2312" w:hAnsi="微软雅黑" w:eastAsia="仿宋_GB2312"/>
          <w:color w:val="000000" w:themeColor="text1"/>
          <w:szCs w:val="28"/>
          <w:u w:val="single"/>
        </w:rPr>
        <w:t>20</w:t>
      </w:r>
      <w:r>
        <w:rPr>
          <w:rFonts w:hint="eastAsia" w:ascii="仿宋_GB2312" w:hAnsi="微软雅黑" w:eastAsia="仿宋_GB2312"/>
          <w:color w:val="000000" w:themeColor="text1"/>
          <w:szCs w:val="28"/>
          <w:u w:val="single"/>
        </w:rPr>
        <w:t>19</w:t>
      </w:r>
      <w:r>
        <w:rPr>
          <w:rFonts w:hint="eastAsia" w:ascii="仿宋_GB2312" w:hAnsi="微软雅黑" w:eastAsia="仿宋_GB2312"/>
          <w:color w:val="000000" w:themeColor="text1"/>
          <w:szCs w:val="28"/>
        </w:rPr>
        <w:t>年</w:t>
      </w:r>
      <w:r>
        <w:rPr>
          <w:rFonts w:ascii="仿宋_GB2312" w:hAnsi="微软雅黑" w:eastAsia="仿宋_GB2312"/>
          <w:color w:val="000000" w:themeColor="text1"/>
          <w:szCs w:val="28"/>
          <w:u w:val="single"/>
        </w:rPr>
        <w:t xml:space="preserve">   </w:t>
      </w:r>
      <w:r>
        <w:rPr>
          <w:rFonts w:hint="eastAsia" w:ascii="仿宋_GB2312" w:hAnsi="微软雅黑" w:eastAsia="仿宋_GB2312"/>
          <w:color w:val="000000" w:themeColor="text1"/>
          <w:szCs w:val="28"/>
        </w:rPr>
        <w:t>月</w:t>
      </w:r>
      <w:r>
        <w:rPr>
          <w:rFonts w:ascii="仿宋_GB2312" w:hAnsi="微软雅黑" w:eastAsia="仿宋_GB2312"/>
          <w:color w:val="000000" w:themeColor="text1"/>
          <w:szCs w:val="28"/>
          <w:u w:val="single"/>
        </w:rPr>
        <w:t xml:space="preserve">    </w:t>
      </w:r>
      <w:r>
        <w:rPr>
          <w:rFonts w:hint="eastAsia" w:ascii="仿宋_GB2312" w:hAnsi="微软雅黑" w:eastAsia="仿宋_GB2312"/>
          <w:color w:val="000000" w:themeColor="text1"/>
          <w:szCs w:val="28"/>
        </w:rPr>
        <w:t>日止</w:t>
      </w:r>
      <w:r>
        <w:rPr>
          <w:rFonts w:hint="eastAsia" w:ascii="仿宋_GB2312" w:hAnsi="仿宋_GB2312" w:eastAsia="仿宋_GB2312" w:cs="仿宋_GB2312"/>
          <w:szCs w:val="28"/>
        </w:rPr>
        <w:t>，合同有效期限届满后自本合同自动终止。</w:t>
      </w:r>
    </w:p>
    <w:p>
      <w:pPr>
        <w:widowControl/>
        <w:spacing w:line="560" w:lineRule="exact"/>
        <w:jc w:val="left"/>
        <w:rPr>
          <w:rFonts w:ascii="仿宋_GB2312" w:hAnsi="仿宋_GB2312" w:eastAsia="仿宋_GB2312" w:cs="仿宋_GB2312"/>
          <w:b/>
          <w:sz w:val="28"/>
          <w:szCs w:val="28"/>
        </w:rPr>
      </w:pPr>
    </w:p>
    <w:p>
      <w:pPr>
        <w:pStyle w:val="148"/>
        <w:widowControl/>
        <w:numPr>
          <w:ilvl w:val="0"/>
          <w:numId w:val="8"/>
        </w:numPr>
        <w:spacing w:line="560" w:lineRule="exact"/>
        <w:ind w:firstLineChars="0"/>
        <w:jc w:val="left"/>
        <w:rPr>
          <w:rFonts w:ascii="仿宋_GB2312" w:hAnsi="仿宋_GB2312" w:eastAsia="仿宋_GB2312" w:cs="仿宋_GB2312"/>
          <w:b/>
          <w:szCs w:val="28"/>
        </w:rPr>
      </w:pPr>
      <w:r>
        <w:rPr>
          <w:rFonts w:hint="eastAsia" w:ascii="仿宋_GB2312" w:hAnsi="仿宋_GB2312" w:eastAsia="仿宋_GB2312" w:cs="仿宋_GB2312"/>
          <w:b/>
          <w:szCs w:val="28"/>
        </w:rPr>
        <w:t>签约合同价与计价方式</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本合同采用下述第</w:t>
      </w:r>
      <w:r>
        <w:rPr>
          <w:rFonts w:hint="eastAsia" w:ascii="仿宋_GB2312" w:hAnsi="仿宋_GB2312" w:eastAsia="仿宋_GB2312" w:cs="仿宋_GB2312"/>
          <w:sz w:val="28"/>
          <w:szCs w:val="28"/>
          <w:u w:val="single"/>
        </w:rPr>
        <w:t xml:space="preserve">   1   </w:t>
      </w:r>
      <w:r>
        <w:rPr>
          <w:rFonts w:hint="eastAsia" w:ascii="仿宋_GB2312" w:hAnsi="仿宋_GB2312" w:eastAsia="仿宋_GB2312" w:cs="仿宋_GB2312"/>
          <w:sz w:val="28"/>
          <w:szCs w:val="28"/>
        </w:rPr>
        <w:t>种计价方式：</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（1）固定总价</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（2）固定单价，预估总价，以实际发生结算</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（3）固定总价+固定单价</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签约合同价为：人民币（大写）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（1）固定总价部分：人民币（大写）</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元)；</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（2）固定单价部分：人民币（大写）</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元)；预估总价，人民币（大写）</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元)，以实际发生结算。</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 价格清单</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（1）固定总价，其中：</w:t>
      </w:r>
    </w:p>
    <w:p>
      <w:pPr>
        <w:widowControl/>
        <w:spacing w:line="560" w:lineRule="exact"/>
        <w:ind w:firstLine="48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第一年费用：</w:t>
      </w:r>
    </w:p>
    <w:p>
      <w:pPr>
        <w:widowControl/>
        <w:spacing w:line="560" w:lineRule="exact"/>
        <w:ind w:firstLine="48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第二年费用：</w:t>
      </w:r>
    </w:p>
    <w:p>
      <w:pPr>
        <w:widowControl/>
        <w:spacing w:line="560" w:lineRule="exact"/>
        <w:ind w:firstLine="48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（2）固定单价</w:t>
      </w:r>
    </w:p>
    <w:tbl>
      <w:tblPr>
        <w:tblStyle w:val="44"/>
        <w:tblW w:w="813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8" w:type="dxa"/>
            <w:shd w:val="clear" w:color="auto" w:fill="auto"/>
          </w:tcPr>
          <w:p>
            <w:pPr>
              <w:widowControl/>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420" w:type="dxa"/>
            <w:shd w:val="clear" w:color="auto" w:fill="auto"/>
          </w:tcPr>
          <w:p>
            <w:pPr>
              <w:widowControl/>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名称</w:t>
            </w:r>
          </w:p>
        </w:tc>
        <w:tc>
          <w:tcPr>
            <w:tcW w:w="1420" w:type="dxa"/>
            <w:shd w:val="clear" w:color="auto" w:fill="auto"/>
          </w:tcPr>
          <w:p>
            <w:pPr>
              <w:widowControl/>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品牌、型号</w:t>
            </w:r>
          </w:p>
        </w:tc>
        <w:tc>
          <w:tcPr>
            <w:tcW w:w="1420" w:type="dxa"/>
            <w:shd w:val="clear" w:color="auto" w:fill="auto"/>
          </w:tcPr>
          <w:p>
            <w:pPr>
              <w:widowControl/>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预估数量</w:t>
            </w:r>
          </w:p>
        </w:tc>
        <w:tc>
          <w:tcPr>
            <w:tcW w:w="1421" w:type="dxa"/>
            <w:shd w:val="clear" w:color="auto" w:fill="auto"/>
          </w:tcPr>
          <w:p>
            <w:pPr>
              <w:widowControl/>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维保单价</w:t>
            </w:r>
          </w:p>
        </w:tc>
        <w:tc>
          <w:tcPr>
            <w:tcW w:w="1421" w:type="dxa"/>
            <w:shd w:val="clear" w:color="auto" w:fill="auto"/>
          </w:tcPr>
          <w:p>
            <w:pPr>
              <w:widowControl/>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预估总价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8"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1" w:type="dxa"/>
            <w:shd w:val="clear" w:color="auto" w:fill="auto"/>
          </w:tcPr>
          <w:p>
            <w:pPr>
              <w:widowControl/>
              <w:spacing w:line="560" w:lineRule="exact"/>
              <w:jc w:val="left"/>
              <w:rPr>
                <w:rFonts w:ascii="仿宋_GB2312" w:hAnsi="仿宋_GB2312" w:eastAsia="仿宋_GB2312" w:cs="仿宋_GB2312"/>
                <w:sz w:val="28"/>
                <w:szCs w:val="28"/>
              </w:rPr>
            </w:pPr>
          </w:p>
        </w:tc>
        <w:tc>
          <w:tcPr>
            <w:tcW w:w="1421" w:type="dxa"/>
            <w:shd w:val="clear" w:color="auto" w:fill="auto"/>
          </w:tcPr>
          <w:p>
            <w:pPr>
              <w:widowControl/>
              <w:spacing w:line="560" w:lineRule="exact"/>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8"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1" w:type="dxa"/>
            <w:shd w:val="clear" w:color="auto" w:fill="auto"/>
          </w:tcPr>
          <w:p>
            <w:pPr>
              <w:widowControl/>
              <w:spacing w:line="560" w:lineRule="exact"/>
              <w:jc w:val="left"/>
              <w:rPr>
                <w:rFonts w:ascii="仿宋_GB2312" w:hAnsi="仿宋_GB2312" w:eastAsia="仿宋_GB2312" w:cs="仿宋_GB2312"/>
                <w:sz w:val="28"/>
                <w:szCs w:val="28"/>
              </w:rPr>
            </w:pPr>
          </w:p>
        </w:tc>
        <w:tc>
          <w:tcPr>
            <w:tcW w:w="1421" w:type="dxa"/>
            <w:shd w:val="clear" w:color="auto" w:fill="auto"/>
          </w:tcPr>
          <w:p>
            <w:pPr>
              <w:widowControl/>
              <w:spacing w:line="560" w:lineRule="exact"/>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8"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0" w:type="dxa"/>
            <w:shd w:val="clear" w:color="auto" w:fill="auto"/>
          </w:tcPr>
          <w:p>
            <w:pPr>
              <w:widowControl/>
              <w:spacing w:line="560" w:lineRule="exact"/>
              <w:jc w:val="left"/>
              <w:rPr>
                <w:rFonts w:ascii="仿宋_GB2312" w:hAnsi="仿宋_GB2312" w:eastAsia="仿宋_GB2312" w:cs="仿宋_GB2312"/>
                <w:sz w:val="28"/>
                <w:szCs w:val="28"/>
              </w:rPr>
            </w:pPr>
          </w:p>
        </w:tc>
        <w:tc>
          <w:tcPr>
            <w:tcW w:w="1421" w:type="dxa"/>
            <w:shd w:val="clear" w:color="auto" w:fill="auto"/>
          </w:tcPr>
          <w:p>
            <w:pPr>
              <w:widowControl/>
              <w:spacing w:line="560" w:lineRule="exact"/>
              <w:jc w:val="left"/>
              <w:rPr>
                <w:rFonts w:ascii="仿宋_GB2312" w:hAnsi="仿宋_GB2312" w:eastAsia="仿宋_GB2312" w:cs="仿宋_GB2312"/>
                <w:sz w:val="28"/>
                <w:szCs w:val="28"/>
              </w:rPr>
            </w:pPr>
          </w:p>
        </w:tc>
        <w:tc>
          <w:tcPr>
            <w:tcW w:w="1421" w:type="dxa"/>
            <w:shd w:val="clear" w:color="auto" w:fill="auto"/>
          </w:tcPr>
          <w:p>
            <w:pPr>
              <w:widowControl/>
              <w:spacing w:line="560" w:lineRule="exact"/>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8" w:type="dxa"/>
            <w:shd w:val="clear" w:color="auto" w:fill="auto"/>
          </w:tcPr>
          <w:p>
            <w:pPr>
              <w:widowControl/>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合计</w:t>
            </w:r>
          </w:p>
        </w:tc>
        <w:tc>
          <w:tcPr>
            <w:tcW w:w="7102" w:type="dxa"/>
            <w:gridSpan w:val="5"/>
            <w:shd w:val="clear" w:color="auto" w:fill="auto"/>
          </w:tcPr>
          <w:p>
            <w:pPr>
              <w:widowControl/>
              <w:spacing w:line="560" w:lineRule="exact"/>
              <w:jc w:val="left"/>
              <w:rPr>
                <w:rFonts w:ascii="仿宋_GB2312" w:hAnsi="仿宋_GB2312" w:eastAsia="仿宋_GB2312" w:cs="仿宋_GB2312"/>
                <w:sz w:val="28"/>
                <w:szCs w:val="28"/>
              </w:rPr>
            </w:pPr>
          </w:p>
        </w:tc>
      </w:tr>
    </w:tbl>
    <w:p>
      <w:pPr>
        <w:widowControl/>
        <w:spacing w:line="560" w:lineRule="exact"/>
        <w:jc w:val="left"/>
        <w:rPr>
          <w:rFonts w:ascii="仿宋_GB2312" w:hAnsi="仿宋_GB2312" w:eastAsia="仿宋_GB2312" w:cs="仿宋_GB2312"/>
          <w:sz w:val="28"/>
          <w:szCs w:val="28"/>
        </w:rPr>
      </w:pP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4.以上外包费用已包含了</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color w:val="000000" w:themeColor="text1"/>
          <w:sz w:val="28"/>
          <w:szCs w:val="28"/>
          <w:u w:val="single"/>
        </w:rPr>
        <w:t>税费、维保费、运输费、办证费、人力费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等所有费用。</w:t>
      </w:r>
    </w:p>
    <w:p>
      <w:pPr>
        <w:spacing w:line="560" w:lineRule="exact"/>
        <w:ind w:firstLine="560" w:firstLineChars="200"/>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 xml:space="preserve">5. 其他约定: </w:t>
      </w:r>
      <w:r>
        <w:rPr>
          <w:rFonts w:hint="eastAsia" w:ascii="仿宋_GB2312" w:hAnsi="仿宋_GB2312" w:eastAsia="仿宋_GB2312" w:cs="仿宋_GB2312"/>
          <w:sz w:val="28"/>
          <w:szCs w:val="28"/>
          <w:u w:val="single"/>
        </w:rPr>
        <w:t xml:space="preserve">       无              </w:t>
      </w:r>
    </w:p>
    <w:p>
      <w:pPr>
        <w:spacing w:line="560" w:lineRule="exact"/>
        <w:ind w:firstLine="560" w:firstLineChars="200"/>
        <w:rPr>
          <w:rFonts w:ascii="仿宋_GB2312" w:hAnsi="仿宋_GB2312" w:eastAsia="仿宋_GB2312" w:cs="仿宋_GB2312"/>
          <w:sz w:val="28"/>
          <w:szCs w:val="28"/>
          <w:u w:val="single"/>
        </w:rPr>
      </w:pPr>
    </w:p>
    <w:p>
      <w:pPr>
        <w:widowControl/>
        <w:spacing w:line="560" w:lineRule="exact"/>
        <w:ind w:left="357"/>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四、验收及考核</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1、验收方式，本合同采用下属第</w:t>
      </w:r>
      <w:r>
        <w:rPr>
          <w:rFonts w:hint="eastAsia" w:ascii="仿宋_GB2312" w:hAnsi="仿宋_GB2312" w:eastAsia="仿宋_GB2312" w:cs="仿宋_GB2312"/>
          <w:sz w:val="28"/>
          <w:szCs w:val="28"/>
          <w:u w:val="single"/>
        </w:rPr>
        <w:t xml:space="preserve">    1    </w:t>
      </w:r>
      <w:r>
        <w:rPr>
          <w:rFonts w:hint="eastAsia" w:ascii="仿宋_GB2312" w:hAnsi="仿宋_GB2312" w:eastAsia="仿宋_GB2312" w:cs="仿宋_GB2312"/>
          <w:sz w:val="28"/>
          <w:szCs w:val="28"/>
        </w:rPr>
        <w:t>种验收方式；</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（1）合同履行完毕一次性验收；</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（2）分期验收，每三个月验收一次；</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（3）分期验收，每月验收一次；</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（4）按实际完成工作节点验收；</w:t>
      </w:r>
    </w:p>
    <w:p>
      <w:pPr>
        <w:widowControl/>
        <w:spacing w:line="560" w:lineRule="exact"/>
        <w:ind w:left="357"/>
        <w:jc w:val="lef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（5）其他：</w:t>
      </w:r>
      <w:r>
        <w:rPr>
          <w:rFonts w:hint="eastAsia" w:ascii="仿宋_GB2312" w:hAnsi="仿宋_GB2312" w:eastAsia="仿宋_GB2312" w:cs="仿宋_GB2312"/>
          <w:sz w:val="28"/>
          <w:szCs w:val="28"/>
          <w:u w:val="single"/>
        </w:rPr>
        <w:t xml:space="preserve">      无                 </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2、维保服务考核方式（不包括续约考核），本合同采用下属第</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种维保服务考核方式：</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（1）先服务后付款：</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A.合同履行完毕一次性考核；</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B.分期考核，每三个月考核一次；</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C.分期考核，每月考核一次；</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D.按实际完成工作节点考核；</w:t>
      </w:r>
    </w:p>
    <w:p>
      <w:pPr>
        <w:widowControl/>
        <w:spacing w:line="560" w:lineRule="exact"/>
        <w:ind w:left="357"/>
        <w:jc w:val="lef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E.其他：</w:t>
      </w:r>
      <w:r>
        <w:rPr>
          <w:rFonts w:hint="eastAsia" w:ascii="仿宋_GB2312" w:hAnsi="仿宋_GB2312" w:eastAsia="仿宋_GB2312" w:cs="仿宋_GB2312"/>
          <w:sz w:val="28"/>
          <w:szCs w:val="28"/>
          <w:u w:val="single"/>
        </w:rPr>
        <w:t xml:space="preserve">        /               </w:t>
      </w:r>
    </w:p>
    <w:p>
      <w:pPr>
        <w:widowControl/>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（2）先付款后服务：</w:t>
      </w:r>
    </w:p>
    <w:p>
      <w:pPr>
        <w:widowControl/>
        <w:spacing w:line="560" w:lineRule="exact"/>
        <w:ind w:left="357"/>
        <w:jc w:val="left"/>
        <w:rPr>
          <w:rFonts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                             </w:t>
      </w:r>
    </w:p>
    <w:p>
      <w:pPr>
        <w:widowControl/>
        <w:numPr>
          <w:ilvl w:val="0"/>
          <w:numId w:val="11"/>
        </w:numPr>
        <w:spacing w:line="560" w:lineRule="exact"/>
        <w:ind w:left="35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验收标准分为设备验收与维保服务考核，具体标准详见本合同专用条款。</w:t>
      </w:r>
    </w:p>
    <w:p>
      <w:pPr>
        <w:widowControl/>
        <w:spacing w:line="560" w:lineRule="exact"/>
        <w:jc w:val="left"/>
        <w:rPr>
          <w:rFonts w:ascii="仿宋_GB2312" w:hAnsi="仿宋_GB2312" w:eastAsia="仿宋_GB2312" w:cs="仿宋_GB2312"/>
          <w:sz w:val="28"/>
          <w:szCs w:val="28"/>
        </w:rPr>
      </w:pPr>
    </w:p>
    <w:p>
      <w:pPr>
        <w:widowControl/>
        <w:spacing w:line="560" w:lineRule="exact"/>
        <w:ind w:firstLine="422" w:firstLineChars="15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五、结算与支付</w:t>
      </w:r>
    </w:p>
    <w:p>
      <w:pPr>
        <w:pStyle w:val="148"/>
        <w:spacing w:line="560" w:lineRule="exact"/>
        <w:ind w:left="360" w:firstLine="0" w:firstLineChars="0"/>
        <w:rPr>
          <w:rFonts w:ascii="仿宋_GB2312" w:hAnsi="仿宋_GB2312" w:eastAsia="仿宋_GB2312" w:cs="仿宋_GB2312"/>
          <w:szCs w:val="28"/>
        </w:rPr>
      </w:pPr>
      <w:r>
        <w:rPr>
          <w:rFonts w:hint="eastAsia" w:ascii="仿宋_GB2312" w:hAnsi="仿宋_GB2312" w:eastAsia="仿宋_GB2312" w:cs="仿宋_GB2312"/>
          <w:szCs w:val="28"/>
        </w:rPr>
        <w:t>1. 本合同外包服务费采用以下第</w:t>
      </w:r>
      <w:r>
        <w:rPr>
          <w:rFonts w:hint="eastAsia" w:ascii="仿宋_GB2312" w:hAnsi="仿宋_GB2312" w:eastAsia="仿宋_GB2312" w:cs="仿宋_GB2312"/>
          <w:szCs w:val="28"/>
          <w:u w:val="single"/>
        </w:rPr>
        <w:t xml:space="preserve">     1  </w:t>
      </w:r>
      <w:r>
        <w:rPr>
          <w:rFonts w:hint="eastAsia" w:ascii="仿宋_GB2312" w:hAnsi="仿宋_GB2312" w:eastAsia="仿宋_GB2312" w:cs="仿宋_GB2312"/>
          <w:szCs w:val="28"/>
        </w:rPr>
        <w:t>种结算方式：</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（1）服务完成后一次性结算； </w:t>
      </w:r>
    </w:p>
    <w:p>
      <w:pPr>
        <w:spacing w:line="560" w:lineRule="exact"/>
        <w:ind w:firstLine="405"/>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（2）按实际完成服务内容结算：</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 xml:space="preserve"> </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（3）按期结算，每期</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月，每期结算金额</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（4）其它结算方式：</w:t>
      </w:r>
      <w:r>
        <w:rPr>
          <w:rFonts w:hint="eastAsia" w:ascii="仿宋_GB2312" w:hAnsi="仿宋_GB2312" w:eastAsia="仿宋_GB2312" w:cs="仿宋_GB2312"/>
          <w:sz w:val="28"/>
          <w:szCs w:val="28"/>
          <w:u w:val="single"/>
        </w:rPr>
        <w:t xml:space="preserve">      /             </w:t>
      </w:r>
      <w:r>
        <w:rPr>
          <w:rFonts w:hint="eastAsia" w:ascii="仿宋_GB2312" w:hAnsi="仿宋_GB2312" w:eastAsia="仿宋_GB2312" w:cs="仿宋_GB2312"/>
          <w:sz w:val="28"/>
          <w:szCs w:val="28"/>
        </w:rPr>
        <w:t>。</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2. 支付比例或金额</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（1）预付款（本项目 </w:t>
      </w:r>
      <w:r>
        <w:rPr>
          <w:rFonts w:hint="eastAsia" w:ascii="仿宋_GB2312" w:hAnsi="仿宋_GB2312" w:eastAsia="仿宋_GB2312" w:cs="仿宋_GB2312"/>
          <w:sz w:val="28"/>
          <w:szCs w:val="28"/>
        </w:rPr>
        <w:sym w:font="Wingdings" w:char="F0A8"/>
      </w:r>
      <w:r>
        <w:rPr>
          <w:rFonts w:hint="eastAsia" w:ascii="仿宋_GB2312" w:hAnsi="仿宋_GB2312" w:eastAsia="仿宋_GB2312" w:cs="仿宋_GB2312"/>
          <w:sz w:val="28"/>
          <w:szCs w:val="28"/>
        </w:rPr>
        <w:t xml:space="preserve"> 适用  </w:t>
      </w:r>
      <w:r>
        <w:rPr>
          <w:rFonts w:ascii="仿宋_GB2312" w:hAnsi="仿宋_GB2312" w:eastAsia="仿宋_GB2312" w:cs="仿宋_GB2312"/>
          <w:color w:val="000000" w:themeColor="text1"/>
          <w:sz w:val="28"/>
          <w:szCs w:val="28"/>
        </w:rPr>
        <w:sym w:font="Wingdings" w:char="00FE"/>
      </w:r>
      <w:r>
        <w:rPr>
          <w:rFonts w:hint="eastAsia" w:ascii="仿宋_GB2312" w:hAnsi="仿宋_GB2312" w:eastAsia="仿宋_GB2312" w:cs="仿宋_GB2312"/>
          <w:sz w:val="28"/>
          <w:szCs w:val="28"/>
        </w:rPr>
        <w:t>不适用）</w:t>
      </w:r>
    </w:p>
    <w:p>
      <w:pPr>
        <w:spacing w:line="560" w:lineRule="exact"/>
        <w:ind w:firstLine="405"/>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支付比例或金额：</w:t>
      </w:r>
      <w:r>
        <w:rPr>
          <w:rFonts w:hint="eastAsia" w:ascii="仿宋_GB2312" w:hAnsi="仿宋_GB2312" w:eastAsia="仿宋_GB2312" w:cs="仿宋_GB2312"/>
          <w:sz w:val="28"/>
          <w:szCs w:val="28"/>
          <w:u w:val="single"/>
        </w:rPr>
        <w:t xml:space="preserve">                      </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预付款支付期限：合同签订并提交收据后【/】工作日内支付</w:t>
      </w:r>
    </w:p>
    <w:p>
      <w:pPr>
        <w:spacing w:line="560" w:lineRule="exact"/>
        <w:ind w:firstLine="405"/>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预付款扣回的方式：</w:t>
      </w:r>
      <w:r>
        <w:rPr>
          <w:rFonts w:hint="eastAsia" w:ascii="仿宋_GB2312" w:hAnsi="仿宋_GB2312" w:eastAsia="仿宋_GB2312" w:cs="仿宋_GB2312"/>
          <w:sz w:val="28"/>
          <w:szCs w:val="28"/>
          <w:u w:val="single"/>
        </w:rPr>
        <w:t xml:space="preserve">          /             </w:t>
      </w:r>
    </w:p>
    <w:p>
      <w:pPr>
        <w:spacing w:line="560" w:lineRule="exact"/>
        <w:ind w:firstLine="405"/>
        <w:rPr>
          <w:rFonts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（2）合同价款支付</w:t>
      </w:r>
    </w:p>
    <w:p>
      <w:pPr>
        <w:spacing w:line="560" w:lineRule="exact"/>
        <w:ind w:firstLine="405"/>
        <w:rPr>
          <w:rFonts w:ascii="仿宋_GB2312" w:hAnsi="仿宋_GB2312" w:eastAsia="仿宋_GB2312" w:cs="仿宋_GB2312"/>
          <w:b/>
          <w:bCs/>
          <w:color w:val="0000FF"/>
          <w:sz w:val="28"/>
          <w:szCs w:val="28"/>
        </w:rPr>
      </w:pPr>
      <w:r>
        <w:rPr>
          <w:rFonts w:hint="eastAsia" w:ascii="仿宋_GB2312" w:hAnsi="仿宋_GB2312" w:eastAsia="仿宋_GB2312" w:cs="仿宋_GB2312"/>
          <w:b/>
          <w:bCs/>
          <w:color w:val="0000FF"/>
          <w:sz w:val="28"/>
          <w:szCs w:val="28"/>
        </w:rPr>
        <w:t>变频器维修项目完工后经甲方验收合格后且收到乙方开具的正规发票后【15】日内支付项目95%的费用,即大写：      元 小写：¥     元，剩余合同总额5%作为质保金，于甲方验收合格后满一年无息支付。</w:t>
      </w:r>
    </w:p>
    <w:p>
      <w:pPr>
        <w:spacing w:line="560" w:lineRule="exact"/>
        <w:ind w:firstLine="405"/>
        <w:rPr>
          <w:rFonts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 xml:space="preserve">（3）其他 </w:t>
      </w:r>
      <w:r>
        <w:rPr>
          <w:rFonts w:hint="eastAsia" w:ascii="仿宋_GB2312" w:hAnsi="仿宋_GB2312" w:eastAsia="仿宋_GB2312" w:cs="仿宋_GB2312"/>
          <w:color w:val="FF0000"/>
          <w:sz w:val="28"/>
          <w:szCs w:val="28"/>
          <w:u w:val="single"/>
        </w:rPr>
        <w:t xml:space="preserve">                 /                      </w:t>
      </w:r>
    </w:p>
    <w:p>
      <w:pPr>
        <w:pStyle w:val="148"/>
        <w:spacing w:line="560" w:lineRule="exact"/>
        <w:ind w:left="360" w:firstLine="0" w:firstLineChars="0"/>
        <w:rPr>
          <w:rFonts w:ascii="仿宋_GB2312" w:hAnsi="仿宋_GB2312" w:eastAsia="仿宋_GB2312" w:cs="仿宋_GB2312"/>
          <w:szCs w:val="28"/>
        </w:rPr>
      </w:pPr>
      <w:r>
        <w:rPr>
          <w:rFonts w:hint="eastAsia" w:ascii="仿宋_GB2312" w:hAnsi="仿宋_GB2312" w:eastAsia="仿宋_GB2312" w:cs="仿宋_GB2312"/>
          <w:szCs w:val="28"/>
        </w:rPr>
        <w:t>3. 支付时间及条件</w:t>
      </w:r>
    </w:p>
    <w:p>
      <w:pPr>
        <w:spacing w:line="56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sz w:val="28"/>
          <w:szCs w:val="28"/>
        </w:rPr>
        <w:t>除另有约定外，</w:t>
      </w:r>
      <w:r>
        <w:rPr>
          <w:rFonts w:hint="eastAsia" w:ascii="仿宋_GB2312" w:hAnsi="仿宋_GB2312" w:eastAsia="仿宋_GB2312" w:cs="仿宋_GB2312"/>
          <w:color w:val="000000"/>
          <w:sz w:val="28"/>
          <w:szCs w:val="28"/>
        </w:rPr>
        <w:t>甲方在收到乙方提供的下列支付凭证后【15】个工作日内支付</w:t>
      </w:r>
      <w:r>
        <w:rPr>
          <w:rFonts w:hint="eastAsia" w:ascii="仿宋_GB2312" w:hAnsi="仿宋_GB2312" w:eastAsia="仿宋_GB2312" w:cs="仿宋_GB2312"/>
          <w:sz w:val="28"/>
          <w:szCs w:val="28"/>
        </w:rPr>
        <w:t>，支付时扣除质保金</w:t>
      </w:r>
      <w:r>
        <w:rPr>
          <w:rFonts w:hint="eastAsia" w:ascii="仿宋_GB2312" w:hAnsi="仿宋_GB2312" w:eastAsia="仿宋_GB2312" w:cs="仿宋_GB2312"/>
          <w:color w:val="000000"/>
          <w:sz w:val="28"/>
          <w:szCs w:val="28"/>
        </w:rPr>
        <w:t>：</w:t>
      </w:r>
    </w:p>
    <w:p>
      <w:pPr>
        <w:pStyle w:val="148"/>
        <w:spacing w:line="560" w:lineRule="exact"/>
        <w:ind w:firstLine="0" w:firstLineChars="0"/>
        <w:rPr>
          <w:rFonts w:ascii="仿宋_GB2312" w:hAnsi="仿宋_GB2312" w:eastAsia="仿宋_GB2312" w:cs="仿宋_GB2312"/>
          <w:szCs w:val="28"/>
        </w:rPr>
      </w:pPr>
      <w:r>
        <w:rPr>
          <w:rFonts w:hint="eastAsia" w:ascii="仿宋_GB2312" w:hAnsi="仿宋_GB2312" w:eastAsia="仿宋_GB2312" w:cs="仿宋_GB2312"/>
          <w:szCs w:val="28"/>
        </w:rPr>
        <w:t>（1）付款申请书（含结算资料）</w:t>
      </w:r>
    </w:p>
    <w:p>
      <w:pPr>
        <w:pStyle w:val="148"/>
        <w:spacing w:line="560" w:lineRule="exact"/>
        <w:ind w:firstLine="0" w:firstLineChars="0"/>
        <w:rPr>
          <w:rFonts w:ascii="仿宋_GB2312" w:hAnsi="仿宋_GB2312" w:eastAsia="仿宋_GB2312" w:cs="仿宋_GB2312"/>
          <w:szCs w:val="28"/>
        </w:rPr>
      </w:pPr>
      <w:r>
        <w:rPr>
          <w:rFonts w:hint="eastAsia" w:ascii="仿宋_GB2312" w:hAnsi="仿宋_GB2312" w:eastAsia="仿宋_GB2312" w:cs="仿宋_GB2312"/>
          <w:szCs w:val="28"/>
        </w:rPr>
        <w:t>（2）乙方开具的</w:t>
      </w:r>
      <w:r>
        <w:rPr>
          <w:rFonts w:hint="eastAsia" w:ascii="仿宋_GB2312" w:hAnsi="仿宋_GB2312" w:eastAsia="仿宋_GB2312" w:cs="仿宋_GB2312"/>
          <w:szCs w:val="28"/>
          <w:u w:val="single"/>
        </w:rPr>
        <w:t xml:space="preserve">  </w:t>
      </w:r>
      <w:r>
        <w:rPr>
          <w:rFonts w:ascii="仿宋_GB2312" w:hAnsi="仿宋_GB2312" w:eastAsia="仿宋_GB2312" w:cs="仿宋_GB2312"/>
          <w:color w:val="000000" w:themeColor="text1"/>
          <w:szCs w:val="28"/>
          <w:u w:val="single"/>
        </w:rPr>
        <w:t xml:space="preserve">增值税专用发票 </w:t>
      </w:r>
      <w:r>
        <w:rPr>
          <w:rFonts w:hint="eastAsia" w:ascii="仿宋_GB2312" w:hAnsi="仿宋_GB2312" w:eastAsia="仿宋_GB2312" w:cs="仿宋_GB2312"/>
          <w:szCs w:val="28"/>
          <w:u w:val="single"/>
        </w:rPr>
        <w:t xml:space="preserve">       </w:t>
      </w:r>
      <w:r>
        <w:rPr>
          <w:rFonts w:hint="eastAsia" w:ascii="仿宋_GB2312" w:hAnsi="仿宋_GB2312" w:eastAsia="仿宋_GB2312" w:cs="仿宋_GB2312"/>
          <w:szCs w:val="28"/>
        </w:rPr>
        <w:t>;</w:t>
      </w:r>
    </w:p>
    <w:p>
      <w:pPr>
        <w:pStyle w:val="148"/>
        <w:spacing w:line="560" w:lineRule="exact"/>
        <w:ind w:firstLine="0" w:firstLineChars="0"/>
        <w:rPr>
          <w:rFonts w:ascii="仿宋_GB2312" w:hAnsi="仿宋_GB2312" w:eastAsia="仿宋_GB2312" w:cs="仿宋_GB2312"/>
          <w:szCs w:val="28"/>
        </w:rPr>
      </w:pPr>
      <w:r>
        <w:rPr>
          <w:rFonts w:hint="eastAsia" w:ascii="仿宋_GB2312" w:hAnsi="仿宋_GB2312" w:eastAsia="仿宋_GB2312" w:cs="仿宋_GB2312"/>
          <w:szCs w:val="28"/>
        </w:rPr>
        <w:t xml:space="preserve">（3）经甲乙双方项目负责人签字确认的《验收单》。 </w:t>
      </w:r>
    </w:p>
    <w:p>
      <w:pPr>
        <w:pStyle w:val="148"/>
        <w:spacing w:line="560" w:lineRule="exact"/>
        <w:ind w:firstLine="0" w:firstLineChars="0"/>
        <w:rPr>
          <w:rFonts w:ascii="仿宋_GB2312" w:hAnsi="仿宋_GB2312" w:eastAsia="仿宋_GB2312" w:cs="仿宋_GB2312"/>
          <w:szCs w:val="28"/>
          <w:u w:val="single"/>
        </w:rPr>
      </w:pPr>
      <w:r>
        <w:rPr>
          <w:rFonts w:hint="eastAsia" w:ascii="仿宋_GB2312" w:hAnsi="仿宋_GB2312" w:eastAsia="仿宋_GB2312" w:cs="仿宋_GB2312"/>
          <w:szCs w:val="28"/>
        </w:rPr>
        <w:t>（4）其他</w:t>
      </w:r>
      <w:r>
        <w:rPr>
          <w:rFonts w:hint="eastAsia" w:ascii="仿宋_GB2312" w:hAnsi="仿宋_GB2312" w:eastAsia="仿宋_GB2312" w:cs="仿宋_GB2312"/>
          <w:szCs w:val="28"/>
          <w:u w:val="single"/>
        </w:rPr>
        <w:t xml:space="preserve">                     </w:t>
      </w:r>
    </w:p>
    <w:p>
      <w:pPr>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4.乙方的基本账户信息：</w:t>
      </w:r>
    </w:p>
    <w:p>
      <w:pPr>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开户行：</w:t>
      </w:r>
    </w:p>
    <w:p>
      <w:pPr>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账号：</w:t>
      </w:r>
    </w:p>
    <w:p>
      <w:pPr>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纳税人识别号：</w:t>
      </w:r>
    </w:p>
    <w:p>
      <w:pPr>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联系人：</w:t>
      </w:r>
    </w:p>
    <w:p>
      <w:pPr>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联系方式：</w:t>
      </w:r>
    </w:p>
    <w:p>
      <w:pPr>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5.其他约定：</w:t>
      </w:r>
      <w:r>
        <w:rPr>
          <w:rFonts w:hint="eastAsia" w:ascii="仿宋_GB2312" w:hAnsi="仿宋_GB2312" w:eastAsia="仿宋_GB2312" w:cs="仿宋_GB2312"/>
          <w:sz w:val="28"/>
          <w:szCs w:val="28"/>
          <w:u w:val="single"/>
        </w:rPr>
        <w:t xml:space="preserve">                                                         </w:t>
      </w:r>
    </w:p>
    <w:p>
      <w:pPr>
        <w:spacing w:line="560" w:lineRule="exact"/>
        <w:jc w:val="left"/>
        <w:rPr>
          <w:rFonts w:ascii="仿宋_GB2312" w:hAnsi="仿宋_GB2312" w:eastAsia="仿宋_GB2312" w:cs="仿宋_GB2312"/>
          <w:sz w:val="28"/>
          <w:szCs w:val="28"/>
          <w:u w:val="single"/>
        </w:rPr>
      </w:pPr>
    </w:p>
    <w:p>
      <w:pPr>
        <w:pStyle w:val="149"/>
        <w:spacing w:line="560" w:lineRule="exact"/>
        <w:ind w:left="360" w:firstLine="0" w:firstLineChars="0"/>
        <w:rPr>
          <w:rFonts w:ascii="仿宋_GB2312" w:hAnsi="仿宋_GB2312" w:eastAsia="仿宋_GB2312" w:cs="仿宋_GB2312"/>
          <w:b/>
          <w:szCs w:val="28"/>
        </w:rPr>
      </w:pPr>
      <w:r>
        <w:rPr>
          <w:rFonts w:hint="eastAsia" w:ascii="仿宋_GB2312" w:hAnsi="仿宋_GB2312" w:eastAsia="仿宋_GB2312" w:cs="仿宋_GB2312"/>
          <w:b/>
          <w:szCs w:val="28"/>
        </w:rPr>
        <w:t>六、履约担保</w:t>
      </w:r>
    </w:p>
    <w:p>
      <w:pPr>
        <w:pStyle w:val="149"/>
        <w:spacing w:line="560" w:lineRule="exact"/>
        <w:ind w:left="360" w:firstLine="0" w:firstLineChars="0"/>
        <w:rPr>
          <w:rFonts w:ascii="仿宋_GB2312" w:hAnsi="仿宋_GB2312" w:eastAsia="仿宋_GB2312" w:cs="仿宋_GB2312"/>
          <w:b/>
          <w:szCs w:val="28"/>
        </w:rPr>
      </w:pPr>
      <w:r>
        <w:rPr>
          <w:rFonts w:hint="eastAsia" w:ascii="仿宋_GB2312" w:hAnsi="仿宋_GB2312" w:eastAsia="仿宋_GB2312" w:cs="仿宋_GB2312"/>
          <w:b/>
          <w:szCs w:val="28"/>
        </w:rPr>
        <w:t xml:space="preserve">本项目是否适用：适用  </w:t>
      </w:r>
      <w:r>
        <w:rPr>
          <w:rFonts w:ascii="仿宋_GB2312" w:hAnsi="仿宋_GB2312" w:eastAsia="仿宋_GB2312" w:cs="仿宋_GB2312"/>
          <w:b/>
          <w:color w:val="000000" w:themeColor="text1"/>
          <w:szCs w:val="28"/>
        </w:rPr>
        <w:sym w:font="Wingdings" w:char="00FE"/>
      </w:r>
      <w:r>
        <w:rPr>
          <w:rFonts w:ascii="仿宋_GB2312" w:hAnsi="仿宋_GB2312" w:eastAsia="仿宋_GB2312" w:cs="仿宋_GB2312"/>
          <w:b/>
          <w:color w:val="000000" w:themeColor="text1"/>
          <w:szCs w:val="28"/>
        </w:rPr>
        <w:t xml:space="preserve"> </w:t>
      </w:r>
      <w:r>
        <w:rPr>
          <w:rFonts w:hint="eastAsia" w:ascii="仿宋_GB2312" w:hAnsi="仿宋_GB2312" w:eastAsia="仿宋_GB2312" w:cs="仿宋_GB2312"/>
          <w:b/>
          <w:szCs w:val="28"/>
        </w:rPr>
        <w:t xml:space="preserve">   不适用  </w:t>
      </w:r>
      <w:r>
        <w:rPr>
          <w:rFonts w:hint="eastAsia" w:ascii="仿宋_GB2312" w:hAnsi="仿宋_GB2312" w:eastAsia="仿宋_GB2312" w:cs="仿宋_GB2312"/>
          <w:b/>
          <w:szCs w:val="28"/>
        </w:rPr>
        <w:sym w:font="Wingdings" w:char="F0A8"/>
      </w:r>
    </w:p>
    <w:p>
      <w:pPr>
        <w:spacing w:line="560" w:lineRule="exact"/>
        <w:ind w:firstLine="315"/>
        <w:rPr>
          <w:rFonts w:ascii="仿宋_GB2312" w:hAnsi="仿宋_GB2312" w:eastAsia="仿宋_GB2312" w:cs="仿宋_GB2312"/>
          <w:sz w:val="28"/>
          <w:szCs w:val="28"/>
        </w:rPr>
      </w:pPr>
      <w:r>
        <w:rPr>
          <w:rFonts w:hint="eastAsia" w:ascii="仿宋_GB2312" w:hAnsi="仿宋_GB2312" w:eastAsia="仿宋_GB2312" w:cs="仿宋_GB2312"/>
          <w:sz w:val="28"/>
          <w:szCs w:val="28"/>
        </w:rPr>
        <w:t>1. 乙方提交履约担保的形式为：</w:t>
      </w:r>
      <w:r>
        <w:rPr>
          <w:rFonts w:ascii="仿宋_GB2312" w:hAnsi="仿宋_GB2312" w:eastAsia="仿宋_GB2312" w:cs="仿宋_GB2312"/>
          <w:snapToGrid w:val="0"/>
          <w:color w:val="000000" w:themeColor="text1"/>
          <w:kern w:val="0"/>
          <w:sz w:val="28"/>
          <w:szCs w:val="28"/>
          <w:u w:val="single"/>
        </w:rPr>
        <w:t xml:space="preserve">履约担保金 </w:t>
      </w:r>
      <w:r>
        <w:rPr>
          <w:rFonts w:hint="eastAsia" w:ascii="仿宋_GB2312" w:hAnsi="仿宋_GB2312" w:eastAsia="仿宋_GB2312" w:cs="仿宋_GB2312"/>
          <w:snapToGrid w:val="0"/>
          <w:color w:val="000000"/>
          <w:kern w:val="0"/>
          <w:sz w:val="28"/>
          <w:szCs w:val="28"/>
          <w:u w:val="single"/>
        </w:rPr>
        <w:t xml:space="preserve">     </w:t>
      </w:r>
      <w:r>
        <w:rPr>
          <w:rFonts w:hint="eastAsia" w:ascii="仿宋_GB2312" w:hAnsi="仿宋_GB2312" w:eastAsia="仿宋_GB2312" w:cs="仿宋_GB2312"/>
          <w:sz w:val="28"/>
          <w:szCs w:val="28"/>
        </w:rPr>
        <w:t>；</w:t>
      </w:r>
    </w:p>
    <w:p>
      <w:pPr>
        <w:pStyle w:val="149"/>
        <w:spacing w:line="560" w:lineRule="exact"/>
        <w:ind w:left="360" w:firstLine="0" w:firstLineChars="0"/>
        <w:rPr>
          <w:rFonts w:ascii="仿宋_GB2312" w:hAnsi="仿宋_GB2312" w:eastAsia="仿宋_GB2312" w:cs="仿宋_GB2312"/>
          <w:szCs w:val="28"/>
        </w:rPr>
      </w:pPr>
      <w:r>
        <w:rPr>
          <w:rFonts w:hint="eastAsia" w:ascii="仿宋_GB2312" w:hAnsi="仿宋_GB2312" w:eastAsia="仿宋_GB2312" w:cs="仿宋_GB2312"/>
          <w:szCs w:val="28"/>
        </w:rPr>
        <w:t>2. 履约担保金额为：人民币（大写）</w:t>
      </w:r>
      <w:r>
        <w:rPr>
          <w:rFonts w:hint="eastAsia" w:ascii="仿宋_GB2312" w:hAnsi="仿宋_GB2312" w:eastAsia="仿宋_GB2312" w:cs="仿宋_GB2312"/>
          <w:szCs w:val="28"/>
          <w:u w:val="single"/>
        </w:rPr>
        <w:t xml:space="preserve">                </w:t>
      </w:r>
      <w:r>
        <w:rPr>
          <w:rFonts w:hint="eastAsia" w:ascii="仿宋_GB2312" w:hAnsi="仿宋_GB2312" w:eastAsia="仿宋_GB2312" w:cs="仿宋_GB2312"/>
          <w:szCs w:val="28"/>
        </w:rPr>
        <w:t>(¥</w:t>
      </w:r>
      <w:r>
        <w:rPr>
          <w:rFonts w:hint="eastAsia" w:ascii="仿宋_GB2312" w:hAnsi="仿宋_GB2312" w:eastAsia="仿宋_GB2312" w:cs="仿宋_GB2312"/>
          <w:szCs w:val="28"/>
          <w:u w:val="single"/>
        </w:rPr>
        <w:t xml:space="preserve">       </w:t>
      </w:r>
      <w:r>
        <w:rPr>
          <w:rFonts w:hint="eastAsia" w:ascii="仿宋_GB2312" w:hAnsi="仿宋_GB2312" w:eastAsia="仿宋_GB2312" w:cs="仿宋_GB2312"/>
          <w:szCs w:val="28"/>
        </w:rPr>
        <w:t>元) （合同总价或者首年外包服务费总额（二选一）的</w:t>
      </w:r>
      <w:r>
        <w:rPr>
          <w:rFonts w:hint="eastAsia" w:ascii="仿宋_GB2312" w:hAnsi="仿宋_GB2312" w:eastAsia="仿宋_GB2312" w:cs="仿宋_GB2312"/>
          <w:szCs w:val="28"/>
          <w:u w:val="single"/>
        </w:rPr>
        <w:t xml:space="preserve"> 10 </w:t>
      </w:r>
      <w:r>
        <w:rPr>
          <w:rFonts w:hint="eastAsia" w:ascii="仿宋_GB2312" w:hAnsi="仿宋_GB2312" w:eastAsia="仿宋_GB2312" w:cs="仿宋_GB2312"/>
          <w:szCs w:val="28"/>
        </w:rPr>
        <w:t>%）；其中廉洁保证金占履约担保的10%。</w:t>
      </w:r>
    </w:p>
    <w:p>
      <w:pPr>
        <w:pStyle w:val="149"/>
        <w:spacing w:line="560" w:lineRule="exact"/>
        <w:ind w:left="360" w:firstLine="0" w:firstLineChars="0"/>
        <w:rPr>
          <w:rFonts w:ascii="仿宋_GB2312" w:hAnsi="仿宋_GB2312" w:eastAsia="仿宋_GB2312" w:cs="仿宋_GB2312"/>
          <w:szCs w:val="28"/>
          <w:u w:val="single"/>
        </w:rPr>
      </w:pPr>
      <w:r>
        <w:rPr>
          <w:rFonts w:hint="eastAsia" w:ascii="仿宋_GB2312" w:hAnsi="仿宋_GB2312" w:eastAsia="仿宋_GB2312" w:cs="仿宋_GB2312"/>
          <w:szCs w:val="28"/>
        </w:rPr>
        <w:t>3. 担保期限为：待本合同约定的服务内容及服务期限全部履行完毕后6个月。</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4.在本合同履行期间，若乙方存在违反本合同约定的行为，则甲方有权扣除乙方的履约保证金，并书面通知乙方，乙方对此不得提出任何异议。乙方在收到甲方的书面通知之日起15日内补足履约保证金，逾期不补足，视为乙方违约，则甲方有权解除本合同，并要求乙方承担由此给甲方造成的实际损失（包括但不限于运输、保险、检验、人民银行公布的同期货款基准利率及银行手续费、担保、抵押、法院执行措施所产生的费用等）。</w:t>
      </w:r>
    </w:p>
    <w:p>
      <w:pPr>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 xml:space="preserve">    待本合同约定的服务内容及服务期限全部履行完毕后，经甲方确认后，乙方不存在任何违约行为，自甲方确认之日起15日内，甲方无息返还乙方履约保证金。若乙方存在违约行为或者有相关费用未支付的，则甲方在扣除相关费用后，若有剩余，则无息返还乙方。</w:t>
      </w:r>
    </w:p>
    <w:p>
      <w:pPr>
        <w:pStyle w:val="148"/>
        <w:spacing w:line="560" w:lineRule="exact"/>
        <w:ind w:left="360" w:firstLine="0" w:firstLineChars="0"/>
        <w:rPr>
          <w:rFonts w:ascii="仿宋_GB2312" w:hAnsi="仿宋_GB2312" w:eastAsia="仿宋_GB2312" w:cs="仿宋_GB2312"/>
          <w:szCs w:val="28"/>
        </w:rPr>
      </w:pPr>
    </w:p>
    <w:p>
      <w:pPr>
        <w:spacing w:line="560" w:lineRule="exact"/>
        <w:ind w:firstLine="405"/>
        <w:rPr>
          <w:rFonts w:ascii="仿宋_GB2312" w:hAnsi="仿宋_GB2312" w:eastAsia="仿宋_GB2312" w:cs="仿宋_GB2312"/>
          <w:b/>
          <w:sz w:val="28"/>
          <w:szCs w:val="28"/>
        </w:rPr>
      </w:pPr>
      <w:r>
        <w:rPr>
          <w:rFonts w:hint="eastAsia" w:ascii="仿宋_GB2312" w:hAnsi="仿宋_GB2312" w:eastAsia="仿宋_GB2312" w:cs="仿宋_GB2312"/>
          <w:b/>
          <w:sz w:val="28"/>
          <w:szCs w:val="28"/>
        </w:rPr>
        <w:t>七、保修期</w:t>
      </w:r>
    </w:p>
    <w:p>
      <w:pPr>
        <w:pStyle w:val="148"/>
        <w:spacing w:line="560" w:lineRule="exact"/>
        <w:ind w:left="360" w:firstLine="0" w:firstLineChars="0"/>
        <w:rPr>
          <w:rFonts w:ascii="仿宋_GB2312" w:hAnsi="仿宋_GB2312" w:eastAsia="仿宋_GB2312" w:cs="仿宋_GB2312"/>
          <w:b/>
          <w:szCs w:val="28"/>
        </w:rPr>
      </w:pPr>
      <w:r>
        <w:rPr>
          <w:rFonts w:hint="eastAsia" w:ascii="仿宋_GB2312" w:hAnsi="仿宋_GB2312" w:eastAsia="仿宋_GB2312" w:cs="仿宋_GB2312"/>
          <w:b/>
          <w:szCs w:val="28"/>
        </w:rPr>
        <w:t xml:space="preserve">本项目是否适用：适用  </w:t>
      </w:r>
      <w:r>
        <w:rPr>
          <w:rFonts w:ascii="仿宋_GB2312" w:hAnsi="仿宋_GB2312" w:eastAsia="仿宋_GB2312" w:cs="仿宋_GB2312"/>
          <w:b/>
          <w:color w:val="000000" w:themeColor="text1"/>
          <w:szCs w:val="28"/>
        </w:rPr>
        <w:sym w:font="Wingdings" w:char="00FE"/>
      </w:r>
      <w:r>
        <w:rPr>
          <w:rFonts w:hint="eastAsia" w:ascii="仿宋_GB2312" w:hAnsi="仿宋_GB2312" w:eastAsia="仿宋_GB2312" w:cs="仿宋_GB2312"/>
          <w:b/>
          <w:szCs w:val="28"/>
        </w:rPr>
        <w:t xml:space="preserve">   不适用  </w:t>
      </w:r>
      <w:r>
        <w:rPr>
          <w:rFonts w:hint="eastAsia" w:ascii="仿宋_GB2312" w:hAnsi="仿宋_GB2312" w:eastAsia="仿宋_GB2312" w:cs="仿宋_GB2312"/>
          <w:b/>
          <w:szCs w:val="28"/>
        </w:rPr>
        <w:sym w:font="Wingdings" w:char="F0A8"/>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1.保修期为正式验收合格之日起</w:t>
      </w:r>
      <w:r>
        <w:rPr>
          <w:rFonts w:hint="eastAsia" w:ascii="仿宋_GB2312" w:hAnsi="仿宋_GB2312" w:eastAsia="仿宋_GB2312" w:cs="仿宋_GB2312"/>
          <w:sz w:val="28"/>
          <w:szCs w:val="28"/>
          <w:u w:val="single"/>
        </w:rPr>
        <w:t xml:space="preserve">       365        </w:t>
      </w:r>
      <w:r>
        <w:rPr>
          <w:rFonts w:hint="eastAsia" w:ascii="仿宋_GB2312" w:hAnsi="仿宋_GB2312" w:eastAsia="仿宋_GB2312" w:cs="仿宋_GB2312"/>
          <w:sz w:val="28"/>
          <w:szCs w:val="28"/>
        </w:rPr>
        <w:t>天；</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2.保修期内，乙方应在接到甲方通知后</w:t>
      </w:r>
      <w:r>
        <w:rPr>
          <w:rFonts w:hint="eastAsia" w:ascii="仿宋_GB2312" w:hAnsi="仿宋_GB2312" w:eastAsia="仿宋_GB2312" w:cs="仿宋_GB2312"/>
          <w:sz w:val="28"/>
          <w:szCs w:val="28"/>
          <w:u w:val="single"/>
        </w:rPr>
        <w:t xml:space="preserve">     4    </w:t>
      </w:r>
      <w:r>
        <w:rPr>
          <w:rFonts w:hint="eastAsia" w:ascii="仿宋_GB2312" w:hAnsi="仿宋_GB2312" w:eastAsia="仿宋_GB2312" w:cs="仿宋_GB2312"/>
          <w:sz w:val="28"/>
          <w:szCs w:val="28"/>
        </w:rPr>
        <w:t>小时内到达现场并修复缺陷或损坏。</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3.保修期内发生的维修服务，若修复后经维修的项目的保修期不足</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的，则该项目的保修期延长至</w:t>
      </w:r>
      <w:r>
        <w:rPr>
          <w:rFonts w:hint="eastAsia" w:ascii="仿宋_GB2312" w:hAnsi="仿宋_GB2312" w:eastAsia="仿宋_GB2312" w:cs="仿宋_GB2312"/>
          <w:sz w:val="28"/>
          <w:szCs w:val="28"/>
          <w:u w:val="single"/>
        </w:rPr>
        <w:t xml:space="preserve">    1年          </w:t>
      </w:r>
      <w:r>
        <w:rPr>
          <w:rFonts w:hint="eastAsia" w:ascii="仿宋_GB2312" w:hAnsi="仿宋_GB2312" w:eastAsia="仿宋_GB2312" w:cs="仿宋_GB2312"/>
          <w:sz w:val="28"/>
          <w:szCs w:val="28"/>
        </w:rPr>
        <w:t>。</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4.具体保修内容以专用条款为准。</w:t>
      </w:r>
    </w:p>
    <w:p>
      <w:pPr>
        <w:spacing w:line="560" w:lineRule="exact"/>
        <w:ind w:firstLine="405"/>
        <w:rPr>
          <w:rFonts w:ascii="仿宋_GB2312" w:hAnsi="仿宋_GB2312" w:eastAsia="仿宋_GB2312" w:cs="仿宋_GB2312"/>
          <w:sz w:val="28"/>
          <w:szCs w:val="28"/>
        </w:rPr>
      </w:pPr>
    </w:p>
    <w:p>
      <w:pPr>
        <w:spacing w:line="560" w:lineRule="exact"/>
        <w:ind w:firstLine="405"/>
        <w:rPr>
          <w:rFonts w:ascii="仿宋_GB2312" w:hAnsi="仿宋_GB2312" w:eastAsia="仿宋_GB2312" w:cs="仿宋_GB2312"/>
          <w:b/>
          <w:sz w:val="28"/>
          <w:szCs w:val="28"/>
        </w:rPr>
      </w:pPr>
      <w:r>
        <w:rPr>
          <w:rFonts w:hint="eastAsia" w:ascii="仿宋_GB2312" w:hAnsi="仿宋_GB2312" w:eastAsia="仿宋_GB2312" w:cs="仿宋_GB2312"/>
          <w:b/>
          <w:sz w:val="28"/>
          <w:szCs w:val="28"/>
        </w:rPr>
        <w:t xml:space="preserve">八、保险 </w:t>
      </w:r>
    </w:p>
    <w:p>
      <w:pPr>
        <w:spacing w:line="560" w:lineRule="exact"/>
        <w:ind w:firstLine="405"/>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本合同是否适用：适用 </w:t>
      </w:r>
      <w:r>
        <w:rPr>
          <w:rFonts w:ascii="仿宋_GB2312" w:hAnsi="仿宋_GB2312" w:eastAsia="仿宋_GB2312" w:cs="仿宋_GB2312"/>
          <w:b/>
          <w:bCs/>
          <w:color w:val="000000" w:themeColor="text1"/>
          <w:sz w:val="28"/>
          <w:szCs w:val="28"/>
        </w:rPr>
        <w:sym w:font="Wingdings" w:char="00FE"/>
      </w:r>
      <w:r>
        <w:rPr>
          <w:rFonts w:hint="eastAsia" w:ascii="仿宋_GB2312" w:hAnsi="仿宋_GB2312" w:eastAsia="仿宋_GB2312" w:cs="仿宋_GB2312"/>
          <w:b/>
          <w:bCs/>
          <w:sz w:val="28"/>
          <w:szCs w:val="28"/>
        </w:rPr>
        <w:t xml:space="preserve">    不适用  </w:t>
      </w:r>
      <w:r>
        <w:rPr>
          <w:rFonts w:hint="eastAsia" w:ascii="仿宋_GB2312" w:hAnsi="仿宋_GB2312" w:eastAsia="仿宋_GB2312" w:cs="仿宋_GB2312"/>
          <w:b/>
          <w:bCs/>
          <w:sz w:val="28"/>
          <w:szCs w:val="28"/>
        </w:rPr>
        <w:sym w:font="Wingdings" w:char="F0A8"/>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1.乙方应遵循本合同中，合同通用条款 第一部分 第</w:t>
      </w:r>
      <w:r>
        <w:rPr>
          <w:rFonts w:hint="eastAsia" w:ascii="仿宋_GB2312" w:hAnsi="仿宋_GB2312" w:eastAsia="仿宋_GB2312" w:cs="仿宋_GB2312"/>
          <w:sz w:val="28"/>
          <w:szCs w:val="28"/>
          <w:u w:val="single"/>
        </w:rPr>
        <w:t xml:space="preserve">   3    </w:t>
      </w:r>
      <w:r>
        <w:rPr>
          <w:rFonts w:hint="eastAsia" w:ascii="仿宋_GB2312" w:hAnsi="仿宋_GB2312" w:eastAsia="仿宋_GB2312" w:cs="仿宋_GB2312"/>
          <w:sz w:val="28"/>
          <w:szCs w:val="28"/>
        </w:rPr>
        <w:t>条 之约定，办理为完成合同所需之一切保险事务。</w:t>
      </w:r>
    </w:p>
    <w:p>
      <w:pPr>
        <w:pStyle w:val="148"/>
        <w:spacing w:line="560" w:lineRule="exact"/>
        <w:ind w:left="360" w:firstLine="0" w:firstLineChars="0"/>
        <w:rPr>
          <w:rFonts w:ascii="仿宋_GB2312" w:hAnsi="仿宋_GB2312" w:eastAsia="仿宋_GB2312" w:cs="仿宋_GB2312"/>
          <w:color w:val="000000"/>
          <w:szCs w:val="28"/>
          <w:u w:val="single"/>
        </w:rPr>
      </w:pPr>
      <w:r>
        <w:rPr>
          <w:rFonts w:hint="eastAsia" w:ascii="仿宋_GB2312" w:hAnsi="仿宋_GB2312" w:eastAsia="仿宋_GB2312" w:cs="仿宋_GB2312"/>
          <w:color w:val="000000"/>
          <w:szCs w:val="28"/>
        </w:rPr>
        <w:t>2.本合同关于购买保险的具体险种:</w:t>
      </w:r>
      <w:r>
        <w:rPr>
          <w:rFonts w:hint="eastAsia" w:ascii="仿宋_GB2312" w:hAnsi="仿宋_GB2312" w:eastAsia="仿宋_GB2312" w:cs="仿宋_GB2312"/>
          <w:color w:val="000000"/>
          <w:szCs w:val="28"/>
          <w:u w:val="single"/>
        </w:rPr>
        <w:t xml:space="preserve">                     </w:t>
      </w:r>
    </w:p>
    <w:p>
      <w:pPr>
        <w:spacing w:line="560" w:lineRule="exact"/>
        <w:ind w:firstLine="405"/>
        <w:rPr>
          <w:rFonts w:ascii="仿宋_GB2312" w:hAnsi="仿宋_GB2312" w:eastAsia="仿宋_GB2312" w:cs="仿宋_GB2312"/>
          <w:sz w:val="28"/>
          <w:szCs w:val="28"/>
        </w:rPr>
      </w:pPr>
      <w:r>
        <w:rPr>
          <w:rFonts w:hint="eastAsia" w:ascii="仿宋_GB2312" w:hAnsi="仿宋_GB2312" w:eastAsia="仿宋_GB2312" w:cs="仿宋_GB2312"/>
          <w:sz w:val="28"/>
          <w:szCs w:val="28"/>
        </w:rPr>
        <w:t>3.具体投保内容以专用条款为准。</w:t>
      </w:r>
    </w:p>
    <w:p>
      <w:pPr>
        <w:pStyle w:val="148"/>
        <w:spacing w:line="560" w:lineRule="exact"/>
        <w:ind w:left="360" w:firstLine="0" w:firstLineChars="0"/>
        <w:rPr>
          <w:rFonts w:ascii="仿宋_GB2312" w:hAnsi="仿宋_GB2312" w:eastAsia="仿宋_GB2312" w:cs="仿宋_GB2312"/>
          <w:color w:val="000000"/>
          <w:szCs w:val="28"/>
          <w:u w:val="single"/>
        </w:rPr>
      </w:pPr>
    </w:p>
    <w:p>
      <w:pPr>
        <w:spacing w:line="560" w:lineRule="exact"/>
        <w:ind w:firstLine="405"/>
        <w:rPr>
          <w:rFonts w:ascii="仿宋_GB2312" w:hAnsi="仿宋_GB2312" w:eastAsia="仿宋_GB2312" w:cs="仿宋_GB2312"/>
          <w:b/>
          <w:sz w:val="28"/>
          <w:szCs w:val="28"/>
        </w:rPr>
      </w:pPr>
      <w:r>
        <w:rPr>
          <w:rFonts w:hint="eastAsia" w:ascii="仿宋_GB2312" w:hAnsi="仿宋_GB2312" w:eastAsia="仿宋_GB2312" w:cs="仿宋_GB2312"/>
          <w:b/>
          <w:sz w:val="28"/>
          <w:szCs w:val="28"/>
        </w:rPr>
        <w:t>九、补充约定</w:t>
      </w:r>
    </w:p>
    <w:p>
      <w:pPr>
        <w:spacing w:line="560" w:lineRule="exact"/>
        <w:ind w:firstLine="420" w:firstLineChars="150"/>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pPr>
        <w:spacing w:line="56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pPr>
        <w:spacing w:line="56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pPr>
        <w:spacing w:line="560" w:lineRule="exact"/>
        <w:ind w:firstLine="420" w:firstLineChars="150"/>
        <w:rPr>
          <w:rFonts w:ascii="仿宋_GB2312" w:hAnsi="仿宋_GB2312" w:eastAsia="仿宋_GB2312" w:cs="仿宋_GB2312"/>
          <w:sz w:val="28"/>
          <w:szCs w:val="28"/>
        </w:rPr>
      </w:pPr>
    </w:p>
    <w:p>
      <w:pPr>
        <w:spacing w:line="560" w:lineRule="exact"/>
        <w:ind w:firstLine="422" w:firstLineChars="15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十、文件组成</w:t>
      </w:r>
    </w:p>
    <w:p>
      <w:pPr>
        <w:spacing w:line="56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本合同所附下列文件是合同构成不可分割的部分：</w:t>
      </w:r>
    </w:p>
    <w:p>
      <w:pPr>
        <w:spacing w:line="56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1、合同条款</w:t>
      </w:r>
    </w:p>
    <w:p>
      <w:pPr>
        <w:spacing w:line="56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2、合同附件</w:t>
      </w:r>
    </w:p>
    <w:p>
      <w:pPr>
        <w:spacing w:line="56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3、招标文件、投标文件及其相应附件</w:t>
      </w:r>
    </w:p>
    <w:p>
      <w:pPr>
        <w:spacing w:line="56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如合同条款与上述文件表述不一，则按照上述文件优先顺序进行解释。</w:t>
      </w:r>
    </w:p>
    <w:p>
      <w:pPr>
        <w:spacing w:line="560" w:lineRule="exact"/>
        <w:ind w:firstLine="420" w:firstLineChars="150"/>
        <w:rPr>
          <w:rFonts w:ascii="仿宋_GB2312" w:hAnsi="仿宋_GB2312" w:eastAsia="仿宋_GB2312" w:cs="仿宋_GB2312"/>
          <w:sz w:val="28"/>
          <w:szCs w:val="28"/>
        </w:rPr>
      </w:pPr>
    </w:p>
    <w:p>
      <w:pPr>
        <w:pStyle w:val="148"/>
        <w:spacing w:line="560" w:lineRule="exact"/>
        <w:ind w:left="360" w:firstLine="0" w:firstLineChars="0"/>
        <w:rPr>
          <w:rFonts w:ascii="仿宋_GB2312" w:hAnsi="仿宋_GB2312" w:eastAsia="仿宋_GB2312" w:cs="仿宋_GB2312"/>
          <w:b/>
          <w:szCs w:val="28"/>
        </w:rPr>
      </w:pPr>
      <w:r>
        <w:rPr>
          <w:rFonts w:hint="eastAsia" w:ascii="仿宋_GB2312" w:hAnsi="仿宋_GB2312" w:eastAsia="仿宋_GB2312" w:cs="仿宋_GB2312"/>
          <w:b/>
          <w:szCs w:val="28"/>
        </w:rPr>
        <w:t>十一、其他</w:t>
      </w:r>
    </w:p>
    <w:p>
      <w:pPr>
        <w:spacing w:line="560" w:lineRule="exact"/>
        <w:ind w:firstLine="420" w:firstLineChars="1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1、本合同一式</w:t>
      </w:r>
      <w:r>
        <w:rPr>
          <w:rFonts w:hint="eastAsia" w:ascii="仿宋_GB2312" w:hAnsi="仿宋_GB2312" w:eastAsia="仿宋_GB2312" w:cs="仿宋_GB2312"/>
          <w:color w:val="000000"/>
          <w:sz w:val="28"/>
          <w:szCs w:val="28"/>
          <w:u w:val="single"/>
        </w:rPr>
        <w:t xml:space="preserve"> 陆 </w:t>
      </w:r>
      <w:r>
        <w:rPr>
          <w:rFonts w:hint="eastAsia" w:ascii="仿宋_GB2312" w:hAnsi="仿宋_GB2312" w:eastAsia="仿宋_GB2312" w:cs="仿宋_GB2312"/>
          <w:color w:val="000000"/>
          <w:sz w:val="28"/>
          <w:szCs w:val="28"/>
        </w:rPr>
        <w:t>份，甲方执</w:t>
      </w:r>
      <w:r>
        <w:rPr>
          <w:rFonts w:hint="eastAsia" w:ascii="仿宋_GB2312" w:hAnsi="仿宋_GB2312" w:eastAsia="仿宋_GB2312" w:cs="仿宋_GB2312"/>
          <w:color w:val="000000"/>
          <w:sz w:val="28"/>
          <w:szCs w:val="28"/>
          <w:u w:val="single"/>
        </w:rPr>
        <w:t xml:space="preserve"> 肆 </w:t>
      </w:r>
      <w:r>
        <w:rPr>
          <w:rFonts w:hint="eastAsia" w:ascii="仿宋_GB2312" w:hAnsi="仿宋_GB2312" w:eastAsia="仿宋_GB2312" w:cs="仿宋_GB2312"/>
          <w:color w:val="000000"/>
          <w:sz w:val="28"/>
          <w:szCs w:val="28"/>
        </w:rPr>
        <w:t>份，乙方执</w:t>
      </w:r>
      <w:r>
        <w:rPr>
          <w:rFonts w:hint="eastAsia" w:ascii="仿宋_GB2312" w:hAnsi="仿宋_GB2312" w:eastAsia="仿宋_GB2312" w:cs="仿宋_GB2312"/>
          <w:color w:val="000000"/>
          <w:sz w:val="28"/>
          <w:szCs w:val="28"/>
          <w:u w:val="single"/>
        </w:rPr>
        <w:t xml:space="preserve"> 贰 </w:t>
      </w:r>
      <w:r>
        <w:rPr>
          <w:rFonts w:hint="eastAsia" w:ascii="仿宋_GB2312" w:hAnsi="仿宋_GB2312" w:eastAsia="仿宋_GB2312" w:cs="仿宋_GB2312"/>
          <w:color w:val="000000"/>
          <w:sz w:val="28"/>
          <w:szCs w:val="28"/>
        </w:rPr>
        <w:t>份，自双方盖章以及法定代表人或授权代表签字之日起生效。本合同于</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日，在杭州萧山国际机场内签订。</w:t>
      </w:r>
    </w:p>
    <w:p>
      <w:pPr>
        <w:spacing w:line="560" w:lineRule="exact"/>
        <w:ind w:firstLine="420" w:firstLineChars="1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2、若双方在本合同有效期间内发生争议，则协商解决。若无法协商一致，则任何一方均有权向甲方所在的人民法院起诉。</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甲方：  (公章)                          乙方：  (公章)</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法定代表人或其委托代理人：              法定代表人或其委托代理人：</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（签字）                                 （签字）</w:t>
      </w: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widowControl/>
        <w:jc w:val="left"/>
        <w:rPr>
          <w:rFonts w:ascii="仿宋_GB2312" w:hAnsi="仿宋_GB2312" w:eastAsia="仿宋_GB2312" w:cs="仿宋_GB2312"/>
          <w:sz w:val="28"/>
          <w:szCs w:val="28"/>
        </w:rPr>
      </w:pPr>
    </w:p>
    <w:p>
      <w:pPr>
        <w:adjustRightInd w:val="0"/>
        <w:snapToGrid w:val="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第二部分 通用条款</w:t>
      </w:r>
    </w:p>
    <w:p>
      <w:pPr>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b/>
          <w:sz w:val="28"/>
          <w:szCs w:val="28"/>
        </w:rPr>
        <w:t>（略）</w:t>
      </w:r>
    </w:p>
    <w:p>
      <w:pPr>
        <w:widowControl/>
        <w:jc w:val="left"/>
        <w:rPr>
          <w:rFonts w:ascii="仿宋_GB2312" w:hAnsi="仿宋_GB2312" w:eastAsia="仿宋_GB2312" w:cs="仿宋_GB2312"/>
          <w:b/>
          <w:bCs/>
          <w:sz w:val="28"/>
          <w:szCs w:val="28"/>
        </w:rPr>
      </w:pPr>
      <w:r>
        <w:rPr>
          <w:rFonts w:ascii="仿宋_GB2312" w:hAnsi="仿宋_GB2312" w:eastAsia="仿宋_GB2312" w:cs="仿宋_GB2312"/>
          <w:b/>
          <w:bCs/>
          <w:sz w:val="28"/>
          <w:szCs w:val="28"/>
        </w:rPr>
        <w:br w:type="page"/>
      </w:r>
    </w:p>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第三部分 专用条款</w:t>
      </w:r>
    </w:p>
    <w:p>
      <w:pPr>
        <w:pStyle w:val="150"/>
        <w:adjustRightInd w:val="0"/>
        <w:snapToGrid w:val="0"/>
        <w:spacing w:line="560" w:lineRule="exact"/>
        <w:ind w:firstLine="0" w:firstLineChars="0"/>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1.服务期限及进度</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1.2服务进度要求：</w:t>
      </w:r>
      <w:r>
        <w:rPr>
          <w:rFonts w:hint="eastAsia" w:ascii="仿宋_GB2312" w:hAnsi="仿宋_GB2312" w:eastAsia="仿宋_GB2312" w:cs="仿宋_GB2312"/>
          <w:sz w:val="28"/>
          <w:szCs w:val="28"/>
          <w:u w:val="single"/>
        </w:rPr>
        <w:t xml:space="preserve">  乙方须在本合同规定的期限内完成维修工程。 </w:t>
      </w:r>
    </w:p>
    <w:p>
      <w:pPr>
        <w:adjustRightInd w:val="0"/>
        <w:snapToGrid w:val="0"/>
        <w:spacing w:line="560" w:lineRule="exact"/>
        <w:rPr>
          <w:rFonts w:ascii="仿宋_GB2312" w:hAnsi="仿宋_GB2312" w:eastAsia="仿宋_GB2312" w:cs="仿宋_GB2312"/>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2.项目负责人</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2.1项目负责人基本信息：</w:t>
      </w:r>
      <w:r>
        <w:rPr>
          <w:rFonts w:hint="eastAsia" w:ascii="仿宋_GB2312" w:hAnsi="仿宋_GB2312" w:eastAsia="仿宋_GB2312" w:cs="仿宋_GB2312"/>
          <w:sz w:val="28"/>
          <w:szCs w:val="28"/>
          <w:u w:val="single"/>
        </w:rPr>
        <w:t xml:space="preserve">                                       </w:t>
      </w:r>
    </w:p>
    <w:p>
      <w:pPr>
        <w:adjustRightInd w:val="0"/>
        <w:snapToGrid w:val="0"/>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2.2项目负责人职责：</w:t>
      </w:r>
      <w:r>
        <w:rPr>
          <w:rFonts w:hint="eastAsia" w:ascii="仿宋_GB2312" w:hAnsi="仿宋_GB2312" w:eastAsia="仿宋_GB2312" w:cs="仿宋_GB2312"/>
          <w:sz w:val="28"/>
          <w:szCs w:val="28"/>
          <w:u w:val="single"/>
        </w:rPr>
        <w:t xml:space="preserve">                                       </w:t>
      </w:r>
    </w:p>
    <w:p>
      <w:pPr>
        <w:pStyle w:val="150"/>
        <w:adjustRightInd w:val="0"/>
        <w:snapToGrid w:val="0"/>
        <w:spacing w:line="560" w:lineRule="exact"/>
        <w:ind w:firstLine="0" w:firstLineChars="0"/>
        <w:rPr>
          <w:rFonts w:ascii="仿宋_GB2312" w:hAnsi="仿宋_GB2312" w:eastAsia="仿宋_GB2312" w:cs="仿宋_GB2312"/>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
          <w:sz w:val="28"/>
          <w:szCs w:val="28"/>
        </w:rPr>
        <w:t>保险</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3.1乙方投保的保险要求与内容：</w:t>
      </w:r>
      <w:r>
        <w:rPr>
          <w:rFonts w:hint="eastAsia" w:ascii="仿宋_GB2312" w:hAnsi="仿宋_GB2312" w:eastAsia="仿宋_GB2312" w:cs="仿宋_GB2312"/>
          <w:sz w:val="28"/>
          <w:szCs w:val="28"/>
          <w:u w:val="single"/>
        </w:rPr>
        <w:t>承包人应依照有关法律规定参加工伤保险，为其履行合同所雇佣的全部人员，缴纳工伤保险费，并要求其分包人也进行此项保险</w:t>
      </w:r>
      <w:r>
        <w:rPr>
          <w:rFonts w:hint="eastAsia" w:ascii="仿宋_GB2312" w:eastAsia="仿宋_GB2312"/>
          <w:color w:val="000000" w:themeColor="text1"/>
          <w:spacing w:val="10"/>
          <w:sz w:val="28"/>
        </w:rPr>
        <w:t>。</w:t>
      </w:r>
      <w:r>
        <w:rPr>
          <w:rFonts w:hint="eastAsia" w:ascii="仿宋_GB2312" w:hAnsi="仿宋_GB2312" w:eastAsia="仿宋_GB2312" w:cs="仿宋_GB2312"/>
          <w:sz w:val="28"/>
          <w:szCs w:val="28"/>
          <w:u w:val="single"/>
        </w:rPr>
        <w:t xml:space="preserve"> </w:t>
      </w:r>
    </w:p>
    <w:p>
      <w:pPr>
        <w:adjustRightInd w:val="0"/>
        <w:snapToGrid w:val="0"/>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3.2乙方向甲方提交保单凭证的时间：</w:t>
      </w:r>
      <w:r>
        <w:rPr>
          <w:rFonts w:hint="eastAsia" w:ascii="仿宋_GB2312" w:hAnsi="仿宋_GB2312" w:eastAsia="仿宋_GB2312" w:cs="仿宋_GB2312"/>
          <w:sz w:val="28"/>
          <w:szCs w:val="28"/>
          <w:u w:val="single"/>
        </w:rPr>
        <w:t xml:space="preserve">      合同签订后1个月内提交                       </w:t>
      </w:r>
      <w:r>
        <w:rPr>
          <w:rFonts w:hint="eastAsia" w:ascii="仿宋_GB2312" w:hAnsi="仿宋_GB2312" w:eastAsia="仿宋_GB2312" w:cs="仿宋_GB2312"/>
          <w:sz w:val="28"/>
          <w:szCs w:val="28"/>
        </w:rPr>
        <w:t xml:space="preserve"> </w:t>
      </w:r>
    </w:p>
    <w:p>
      <w:pPr>
        <w:adjustRightInd w:val="0"/>
        <w:snapToGrid w:val="0"/>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3.4其他约定：</w:t>
      </w:r>
      <w:r>
        <w:rPr>
          <w:rFonts w:hint="eastAsia" w:ascii="仿宋_GB2312" w:hAnsi="仿宋_GB2312" w:eastAsia="仿宋_GB2312" w:cs="仿宋_GB2312"/>
          <w:sz w:val="28"/>
          <w:szCs w:val="28"/>
          <w:u w:val="single"/>
        </w:rPr>
        <w:t xml:space="preserve">       /                                         </w:t>
      </w:r>
    </w:p>
    <w:p>
      <w:pPr>
        <w:pStyle w:val="150"/>
        <w:adjustRightInd w:val="0"/>
        <w:snapToGrid w:val="0"/>
        <w:spacing w:line="560" w:lineRule="exact"/>
        <w:ind w:firstLine="0" w:firstLineChars="0"/>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4.服务要求</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4.1乙方提供服务的要求：</w:t>
      </w:r>
      <w:r>
        <w:rPr>
          <w:rFonts w:hint="eastAsia" w:ascii="仿宋_GB2312" w:hAnsi="仿宋_GB2312" w:eastAsia="仿宋_GB2312" w:cs="仿宋_GB2312"/>
          <w:sz w:val="28"/>
          <w:szCs w:val="28"/>
          <w:u w:val="single"/>
        </w:rPr>
        <w:t xml:space="preserve"> 乙方维修技术人员现场更换变频器型号配套的电源板和散热风机，维修人员必须持有低压电工作业证，严格按照相关质量及安全、卫生操作规程开展维修工作并服从甲方的管理和安排 。 </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4.2服务时间要求：</w:t>
      </w:r>
      <w:r>
        <w:rPr>
          <w:rFonts w:hint="eastAsia" w:ascii="仿宋_GB2312" w:hAnsi="仿宋_GB2312" w:eastAsia="仿宋_GB2312" w:cs="仿宋_GB2312"/>
          <w:sz w:val="28"/>
          <w:szCs w:val="28"/>
          <w:u w:val="single"/>
        </w:rPr>
        <w:t xml:space="preserve">   </w:t>
      </w:r>
      <w:r>
        <w:rPr>
          <w:rFonts w:hint="eastAsia" w:ascii="仿宋_GB2312" w:eastAsia="仿宋_GB2312"/>
          <w:color w:val="000000" w:themeColor="text1"/>
          <w:spacing w:val="10"/>
          <w:sz w:val="28"/>
          <w:u w:val="single"/>
        </w:rPr>
        <w:t>在合同期限内，乙方完成维修服务。</w:t>
      </w:r>
      <w:r>
        <w:rPr>
          <w:rFonts w:hint="eastAsia" w:ascii="仿宋_GB2312" w:hAnsi="仿宋_GB2312" w:eastAsia="仿宋_GB2312" w:cs="仿宋_GB2312"/>
          <w:sz w:val="28"/>
          <w:szCs w:val="28"/>
          <w:u w:val="single"/>
        </w:rPr>
        <w:t xml:space="preserve">    </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4.3人员管理要求：</w:t>
      </w:r>
      <w:r>
        <w:rPr>
          <w:rFonts w:hint="eastAsia" w:ascii="仿宋_GB2312" w:hAnsi="仿宋_GB2312" w:eastAsia="仿宋_GB2312" w:cs="仿宋_GB2312"/>
          <w:sz w:val="28"/>
          <w:szCs w:val="28"/>
          <w:u w:val="single"/>
        </w:rPr>
        <w:t xml:space="preserve">  乙方有专人负责项目实施，遵守甲方运营相关的规章制度。部分维修涉及机场运行隔离区，投标方服务时应严格遵守招标方有关规章制度及管理规定, 在项目实施期间，必须严格执行民航总局第191号令《民用机场运行安全管理规定》、《机坪运行管理规定》和《机坪车辆行驶管理手册》，做好机坪外来物防范措施，由投标方造成的一切人身安全责任事故、影响机场飞行、空防安全及机场设施、设备损坏事故，均由乙方负责  。                         </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4.4培训要求：</w:t>
      </w:r>
      <w:r>
        <w:rPr>
          <w:rFonts w:hint="eastAsia" w:ascii="仿宋_GB2312" w:hAnsi="仿宋_GB2312" w:eastAsia="仿宋_GB2312" w:cs="仿宋_GB2312"/>
          <w:sz w:val="28"/>
          <w:szCs w:val="28"/>
          <w:u w:val="single"/>
        </w:rPr>
        <w:t xml:space="preserve">乙方在提供维修的同时，需提供专业技术的培训咨询服务，咨询包括不限于以下内容：变频器的运行原理，基本操作和维护保养说明和常见问题应急解决。 </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4.5其他约定：</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5.双方权利和义务</w:t>
      </w:r>
    </w:p>
    <w:p>
      <w:pPr>
        <w:adjustRightInd w:val="0"/>
        <w:snapToGrid w:val="0"/>
        <w:spacing w:line="560" w:lineRule="exact"/>
        <w:rPr>
          <w:rFonts w:ascii="仿宋_GB2312" w:hAnsi="仿宋_GB2312" w:eastAsia="仿宋_GB2312" w:cs="仿宋_GB2312"/>
          <w:b/>
          <w:sz w:val="28"/>
          <w:szCs w:val="28"/>
        </w:rPr>
      </w:pPr>
      <w:r>
        <w:rPr>
          <w:rFonts w:hint="eastAsia" w:ascii="仿宋_GB2312" w:hAnsi="仿宋_GB2312" w:eastAsia="仿宋_GB2312" w:cs="仿宋_GB2312"/>
          <w:b/>
          <w:sz w:val="28"/>
          <w:szCs w:val="28"/>
        </w:rPr>
        <w:t>5.1甲方的权利和义务</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除通用条款约定外，其他约定：</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b/>
          <w:sz w:val="28"/>
          <w:szCs w:val="28"/>
        </w:rPr>
      </w:pPr>
      <w:r>
        <w:rPr>
          <w:rFonts w:hint="eastAsia" w:ascii="仿宋_GB2312" w:hAnsi="仿宋_GB2312" w:eastAsia="仿宋_GB2312" w:cs="仿宋_GB2312"/>
          <w:b/>
          <w:sz w:val="28"/>
          <w:szCs w:val="28"/>
        </w:rPr>
        <w:t>5.2乙方的权利和义务</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除通用条款约定外，其他约定：</w:t>
      </w:r>
      <w:r>
        <w:rPr>
          <w:rFonts w:hint="eastAsia" w:ascii="仿宋_GB2312" w:hAnsi="仿宋_GB2312" w:eastAsia="仿宋_GB2312" w:cs="仿宋_GB2312"/>
          <w:sz w:val="28"/>
          <w:szCs w:val="28"/>
          <w:u w:val="single"/>
        </w:rPr>
        <w:t xml:space="preserve">                   /                                     </w:t>
      </w:r>
    </w:p>
    <w:p>
      <w:pPr>
        <w:pStyle w:val="150"/>
        <w:adjustRightInd w:val="0"/>
        <w:snapToGrid w:val="0"/>
        <w:spacing w:line="560" w:lineRule="exact"/>
        <w:ind w:firstLine="0" w:firstLineChars="0"/>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6.乙方工作人员的更换及增减</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其他约定：</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7、服务质量验收</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7.1甲方对乙方服务进行监督、检查的方式及要求：</w:t>
      </w:r>
      <w:r>
        <w:rPr>
          <w:rFonts w:hint="eastAsia" w:ascii="仿宋_GB2312" w:hAnsi="仿宋_GB2312" w:eastAsia="仿宋_GB2312" w:cs="仿宋_GB2312"/>
          <w:sz w:val="28"/>
          <w:szCs w:val="28"/>
          <w:u w:val="single"/>
        </w:rPr>
        <w:t xml:space="preserve">  甲方对乙方的维修服务进行全程监管，对每项维修乙方应出具维修报告并双方签字确认 。</w:t>
      </w:r>
      <w:r>
        <w:rPr>
          <w:rFonts w:hint="eastAsia" w:ascii="仿宋_GB2312" w:hAnsi="仿宋_GB2312" w:eastAsia="仿宋_GB2312" w:cs="仿宋_GB2312"/>
          <w:color w:val="FF0000"/>
          <w:sz w:val="28"/>
          <w:szCs w:val="28"/>
          <w:u w:val="single"/>
        </w:rPr>
        <w:t>甲方确认验收合格后对乙方服务填写《验收单》（具体详见附件【2】）。</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7.2扣除不达指标的外包服务费或要求乙方承担违约金的标准：</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7.3验收标准：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7.3.1设备验收标准：</w:t>
      </w:r>
    </w:p>
    <w:p>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维修项目完成后，乙方须对维修硬件进行参数设置和数据评估，形成维修报告交由甲方确认，报告内容包括硬件更换信息，硬件测试情况和变频器运行情况。</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7.3.2维保服务考核标准：</w:t>
      </w:r>
      <w:r>
        <w:rPr>
          <w:rFonts w:hint="eastAsia" w:ascii="仿宋_GB2312" w:hAnsi="仿宋_GB2312" w:eastAsia="仿宋_GB2312" w:cs="仿宋_GB2312"/>
          <w:sz w:val="28"/>
          <w:szCs w:val="28"/>
          <w:u w:val="single"/>
        </w:rPr>
        <w:t>/</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7.4其他约定：</w:t>
      </w:r>
      <w:r>
        <w:rPr>
          <w:rFonts w:hint="eastAsia" w:ascii="仿宋_GB2312" w:hAnsi="仿宋_GB2312" w:eastAsia="仿宋_GB2312" w:cs="仿宋_GB2312"/>
          <w:sz w:val="28"/>
          <w:szCs w:val="28"/>
          <w:u w:val="single"/>
        </w:rPr>
        <w:t xml:space="preserve">          /                       </w:t>
      </w:r>
    </w:p>
    <w:p>
      <w:pPr>
        <w:pStyle w:val="150"/>
        <w:adjustRightInd w:val="0"/>
        <w:snapToGrid w:val="0"/>
        <w:spacing w:line="560" w:lineRule="exact"/>
        <w:ind w:firstLine="0" w:firstLineChars="0"/>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8.合同变更、终止与解除</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除通用条款约定的情形外，补充约定下列内容：</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p>
      <w:pPr>
        <w:adjustRightInd w:val="0"/>
        <w:snapToGrid w:val="0"/>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9.结算</w:t>
      </w:r>
    </w:p>
    <w:p>
      <w:pPr>
        <w:adjustRightInd w:val="0"/>
        <w:snapToGrid w:val="0"/>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9.1乙方应根据</w:t>
      </w:r>
      <w:r>
        <w:rPr>
          <w:rFonts w:hint="eastAsia" w:ascii="仿宋_GB2312" w:hAnsi="仿宋_GB2312" w:eastAsia="仿宋_GB2312" w:cs="仿宋_GB2312"/>
          <w:sz w:val="28"/>
          <w:szCs w:val="28"/>
          <w:u w:val="single"/>
        </w:rPr>
        <w:t xml:space="preserve">  经甲方验收合格后提供增值税专用发票  </w:t>
      </w:r>
      <w:r>
        <w:rPr>
          <w:rFonts w:hint="eastAsia" w:ascii="仿宋_GB2312" w:hAnsi="仿宋_GB2312" w:eastAsia="仿宋_GB2312" w:cs="仿宋_GB2312"/>
          <w:sz w:val="28"/>
          <w:szCs w:val="28"/>
        </w:rPr>
        <w:t>向甲方提出结算请求。</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9.2双方确定违约责任及赔偿金额重新结算的时间要求：</w:t>
      </w:r>
      <w:r>
        <w:rPr>
          <w:rFonts w:hint="eastAsia" w:ascii="仿宋_GB2312" w:hAnsi="仿宋_GB2312" w:eastAsia="仿宋_GB2312" w:cs="仿宋_GB2312"/>
          <w:sz w:val="28"/>
          <w:szCs w:val="28"/>
          <w:u w:val="single"/>
        </w:rPr>
        <w:t xml:space="preserve">支付维修费用前7日确定最终付款及赔偿金额。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9.3其他约定：</w:t>
      </w:r>
      <w:r>
        <w:rPr>
          <w:rFonts w:hint="eastAsia" w:ascii="仿宋_GB2312" w:hAnsi="仿宋_GB2312" w:eastAsia="仿宋_GB2312" w:cs="仿宋_GB2312"/>
          <w:sz w:val="28"/>
          <w:szCs w:val="28"/>
          <w:u w:val="single"/>
        </w:rPr>
        <w:t>/</w:t>
      </w:r>
    </w:p>
    <w:p>
      <w:pPr>
        <w:adjustRightInd w:val="0"/>
        <w:snapToGrid w:val="0"/>
        <w:spacing w:line="560" w:lineRule="exact"/>
        <w:rPr>
          <w:rFonts w:ascii="仿宋_GB2312" w:hAnsi="仿宋_GB2312" w:eastAsia="仿宋_GB2312" w:cs="仿宋_GB2312"/>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10.支付</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10.1甲方完成结算且收到乙方提供的发票后</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color w:val="000000" w:themeColor="text1"/>
          <w:sz w:val="28"/>
          <w:szCs w:val="28"/>
          <w:u w:val="single"/>
        </w:rPr>
        <w:t>15</w:t>
      </w:r>
      <w:r>
        <w:rPr>
          <w:rFonts w:hint="eastAsia" w:ascii="仿宋_GB2312" w:hAnsi="仿宋_GB2312" w:eastAsia="仿宋_GB2312" w:cs="仿宋_GB2312"/>
          <w:color w:val="000000" w:themeColor="text1"/>
          <w:sz w:val="28"/>
          <w:szCs w:val="28"/>
          <w:u w:val="single"/>
        </w:rPr>
        <w:t>日内</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向乙方支</w:t>
      </w:r>
      <w:r>
        <w:rPr>
          <w:rFonts w:hint="eastAsia" w:ascii="仿宋_GB2312" w:hAnsi="仿宋_GB2312" w:eastAsia="仿宋_GB2312" w:cs="仿宋_GB2312"/>
          <w:sz w:val="28"/>
          <w:szCs w:val="28"/>
          <w:u w:val="single"/>
        </w:rPr>
        <w:t>付合同总额的95%；合同总额的5%作为维修方质保金，如在质保期届满后，经甲方确认乙方在本合同项下未发生任何赔偿或违约责任，则甲方于质保期届满后一个月内无息付清余款。</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10.2乙方付款申请填写错误或相关材料缺失的，应在</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color w:val="000000" w:themeColor="text1"/>
          <w:sz w:val="28"/>
          <w:szCs w:val="28"/>
          <w:u w:val="single"/>
        </w:rPr>
        <w:t>7</w:t>
      </w:r>
      <w:r>
        <w:rPr>
          <w:rFonts w:hint="eastAsia" w:ascii="仿宋_GB2312" w:hAnsi="仿宋_GB2312" w:eastAsia="仿宋_GB2312" w:cs="仿宋_GB2312"/>
          <w:color w:val="000000" w:themeColor="text1"/>
          <w:sz w:val="28"/>
          <w:szCs w:val="28"/>
          <w:u w:val="single"/>
        </w:rPr>
        <w:t xml:space="preserve">日内 </w:t>
      </w:r>
      <w:r>
        <w:rPr>
          <w:rFonts w:hint="eastAsia" w:ascii="仿宋_GB2312" w:hAnsi="仿宋_GB2312" w:eastAsia="仿宋_GB2312" w:cs="仿宋_GB2312"/>
          <w:sz w:val="28"/>
          <w:szCs w:val="28"/>
          <w:u w:val="single"/>
        </w:rPr>
        <w:t xml:space="preserve">   日内</w:t>
      </w:r>
      <w:r>
        <w:rPr>
          <w:rFonts w:hint="eastAsia" w:ascii="仿宋_GB2312" w:hAnsi="仿宋_GB2312" w:eastAsia="仿宋_GB2312" w:cs="仿宋_GB2312"/>
          <w:sz w:val="28"/>
          <w:szCs w:val="28"/>
        </w:rPr>
        <w:t>修正或补充材料后重新提交。</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10.3其他约定：/</w:t>
      </w:r>
    </w:p>
    <w:p>
      <w:pPr>
        <w:pStyle w:val="150"/>
        <w:adjustRightInd w:val="0"/>
        <w:snapToGrid w:val="0"/>
        <w:spacing w:line="560" w:lineRule="exact"/>
        <w:ind w:firstLine="0" w:firstLineChars="0"/>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11.退场和移交</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11.1乙方退场和移交的时间：</w:t>
      </w:r>
      <w:r>
        <w:rPr>
          <w:rFonts w:hint="eastAsia" w:ascii="仿宋_GB2312" w:hAnsi="仿宋_GB2312" w:eastAsia="仿宋_GB2312" w:cs="仿宋_GB2312"/>
          <w:sz w:val="28"/>
          <w:szCs w:val="28"/>
          <w:u w:val="single"/>
        </w:rPr>
        <w:t xml:space="preserve">   </w:t>
      </w:r>
      <w:r>
        <w:rPr>
          <w:rFonts w:ascii="仿宋_GB2312" w:hAnsi="仿宋_GB2312" w:eastAsia="仿宋_GB2312" w:cs="仿宋_GB2312"/>
          <w:color w:val="000000" w:themeColor="text1"/>
          <w:sz w:val="28"/>
          <w:szCs w:val="28"/>
          <w:u w:val="single"/>
        </w:rPr>
        <w:t>合同解除日期即为乙方退场和移交日期</w:t>
      </w:r>
      <w:r>
        <w:rPr>
          <w:rFonts w:hint="eastAsia" w:ascii="仿宋_GB2312" w:hAnsi="仿宋_GB2312" w:eastAsia="仿宋_GB2312" w:cs="仿宋_GB2312"/>
          <w:sz w:val="28"/>
          <w:szCs w:val="28"/>
          <w:u w:val="single"/>
        </w:rPr>
        <w:t xml:space="preserve">   。</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11.2乙方退场时与甲方办理移交手续的要求：</w:t>
      </w:r>
      <w:r>
        <w:rPr>
          <w:rFonts w:hint="eastAsia" w:ascii="仿宋_GB2312" w:hAnsi="仿宋_GB2312" w:eastAsia="仿宋_GB2312" w:cs="仿宋_GB2312"/>
          <w:sz w:val="28"/>
          <w:szCs w:val="28"/>
          <w:u w:val="single"/>
        </w:rPr>
        <w:t xml:space="preserve">  乙方确保设备正常运作，将维修报告提交给甲方并双方签字确认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11.3若乙方未按照本合同约定退场和移交手续，乙方应向甲方承担违约责任：</w:t>
      </w:r>
      <w:r>
        <w:rPr>
          <w:rFonts w:hint="eastAsia" w:ascii="仿宋_GB2312" w:hAnsi="仿宋_GB2312" w:eastAsia="仿宋_GB2312" w:cs="仿宋_GB2312"/>
          <w:sz w:val="28"/>
          <w:szCs w:val="28"/>
          <w:u w:val="single"/>
        </w:rPr>
        <w:t>甲方向乙方发出整改通知，要求其在指定的期限内整改。在甲方发出整改通知后，乙方在指定的期限内仍不整改到位的视为违约，应向甲方支付合同总金额</w:t>
      </w:r>
      <w:r>
        <w:rPr>
          <w:rFonts w:ascii="仿宋_GB2312" w:hAnsi="仿宋_GB2312" w:eastAsia="仿宋_GB2312" w:cs="仿宋_GB2312"/>
          <w:sz w:val="28"/>
          <w:szCs w:val="28"/>
          <w:u w:val="single"/>
        </w:rPr>
        <w:t>10%的违约金，违约金不足以弥补甲方损失的，乙方应当全额赔偿甲方损失，乙方缴纳的履约保证金（若有）不予以退还。</w:t>
      </w:r>
      <w:r>
        <w:rPr>
          <w:rFonts w:hint="eastAsia" w:ascii="仿宋_GB2312" w:hAnsi="仿宋_GB2312" w:eastAsia="仿宋_GB2312" w:cs="仿宋_GB2312"/>
          <w:sz w:val="28"/>
          <w:szCs w:val="28"/>
          <w:u w:val="single"/>
        </w:rPr>
        <w:t xml:space="preserve"> </w:t>
      </w:r>
    </w:p>
    <w:p>
      <w:pPr>
        <w:adjustRightInd w:val="0"/>
        <w:snapToGrid w:val="0"/>
        <w:spacing w:line="560"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rPr>
        <w:t>11.4其他约定：</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sz w:val="28"/>
          <w:szCs w:val="28"/>
          <w:u w:val="single"/>
        </w:rPr>
      </w:pPr>
    </w:p>
    <w:p>
      <w:pPr>
        <w:adjustRightInd w:val="0"/>
        <w:snapToGrid w:val="0"/>
        <w:spacing w:line="560" w:lineRule="exact"/>
        <w:rPr>
          <w:rFonts w:ascii="仿宋_GB2312" w:hAnsi="仿宋_GB2312" w:eastAsia="仿宋_GB2312" w:cs="仿宋_GB2312"/>
          <w:b/>
          <w:sz w:val="28"/>
          <w:szCs w:val="28"/>
        </w:rPr>
      </w:pPr>
      <w:r>
        <w:rPr>
          <w:rFonts w:hint="eastAsia" w:ascii="仿宋_GB2312" w:hAnsi="仿宋_GB2312" w:eastAsia="仿宋_GB2312" w:cs="仿宋_GB2312"/>
          <w:b/>
          <w:bCs/>
          <w:sz w:val="28"/>
          <w:szCs w:val="28"/>
        </w:rPr>
        <w:t>12.</w:t>
      </w:r>
      <w:r>
        <w:rPr>
          <w:rFonts w:hint="eastAsia" w:ascii="仿宋_GB2312" w:hAnsi="仿宋_GB2312" w:eastAsia="仿宋_GB2312" w:cs="仿宋_GB2312"/>
          <w:b/>
          <w:sz w:val="28"/>
          <w:szCs w:val="28"/>
        </w:rPr>
        <w:t>违约责任</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12.1发生除通用条款约定之外的情形时，视为乙方违约：</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12.4 其他约定：/</w:t>
      </w:r>
    </w:p>
    <w:p>
      <w:pPr>
        <w:adjustRightInd w:val="0"/>
        <w:snapToGrid w:val="0"/>
        <w:spacing w:line="560" w:lineRule="exact"/>
        <w:rPr>
          <w:rFonts w:ascii="仿宋_GB2312" w:hAnsi="仿宋_GB2312" w:eastAsia="仿宋_GB2312" w:cs="仿宋_GB2312"/>
          <w:sz w:val="28"/>
          <w:szCs w:val="28"/>
        </w:rPr>
      </w:pPr>
    </w:p>
    <w:p>
      <w:pPr>
        <w:pStyle w:val="150"/>
        <w:adjustRightInd w:val="0"/>
        <w:snapToGrid w:val="0"/>
        <w:spacing w:line="560" w:lineRule="exact"/>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13.合同终止与解除</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13.2</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除本合同通用条款约定的情形外，乙方有以下行为之一的，甲方有权单方解除合同，并要求乙方赔偿因此造成的损失，且乙方缴纳的履约保证金（若有）不予以退还：</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u w:val="single"/>
        </w:rPr>
        <w:t xml:space="preserve">           /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13.3</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除本合同通用条款约定的情形外，乙方有下列违法行为之一的，甲方有权单方解除合同，并要求乙方赔偿因此造成的损失，乙方缴纳的履约保证金（若有）不予以退还：</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13.5 其他约定：/</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13.6 补充约定：/</w:t>
      </w: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附件：</w:t>
      </w:r>
    </w:p>
    <w:p>
      <w:pPr>
        <w:numPr>
          <w:ilvl w:val="0"/>
          <w:numId w:val="12"/>
        </w:num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维修详细清单</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2、维修验收单</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3、廉洁自律承诺书</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4、保密承诺书</w:t>
      </w: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5、项目实施安全文明协议书</w:t>
      </w:r>
    </w:p>
    <w:p>
      <w:pPr>
        <w:spacing w:line="560" w:lineRule="exact"/>
        <w:jc w:val="left"/>
        <w:rPr>
          <w:rFonts w:ascii="仿宋_GB2312" w:hAnsi="仿宋_GB2312" w:eastAsia="仿宋_GB2312" w:cs="仿宋_GB2312"/>
          <w:b/>
          <w:bCs/>
          <w:color w:val="0000FF"/>
          <w:sz w:val="28"/>
          <w:szCs w:val="28"/>
        </w:rPr>
      </w:pPr>
      <w:r>
        <w:rPr>
          <w:rFonts w:hint="eastAsia" w:ascii="仿宋_GB2312" w:hAnsi="仿宋_GB2312" w:eastAsia="仿宋_GB2312" w:cs="仿宋_GB2312"/>
          <w:b/>
          <w:bCs/>
          <w:color w:val="0000FF"/>
          <w:sz w:val="28"/>
          <w:szCs w:val="28"/>
        </w:rPr>
        <w:t>6、消防安全责任书</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上述附件均是合同的组成部分，与合同具有同等法律效力。</w:t>
      </w: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spacing w:line="560" w:lineRule="exact"/>
        <w:jc w:val="left"/>
        <w:rPr>
          <w:rFonts w:ascii="仿宋_GB2312" w:hAnsi="仿宋_GB2312" w:eastAsia="仿宋_GB2312" w:cs="仿宋_GB2312"/>
          <w:sz w:val="28"/>
          <w:szCs w:val="28"/>
        </w:rPr>
      </w:pPr>
    </w:p>
    <w:p>
      <w:pPr>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附件1：维修详细清单</w:t>
      </w:r>
    </w:p>
    <w:p>
      <w:pPr>
        <w:spacing w:line="560" w:lineRule="exact"/>
        <w:jc w:val="left"/>
        <w:rPr>
          <w:rFonts w:ascii="仿宋_GB2312" w:hAnsi="仿宋_GB2312" w:eastAsia="仿宋_GB2312" w:cs="仿宋_GB2312"/>
          <w:sz w:val="28"/>
          <w:szCs w:val="28"/>
        </w:rPr>
      </w:pPr>
    </w:p>
    <w:tbl>
      <w:tblPr>
        <w:tblStyle w:val="45"/>
        <w:tblW w:w="8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2366"/>
        <w:gridCol w:w="2858"/>
        <w:gridCol w:w="1751"/>
        <w:gridCol w:w="1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7"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序号</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维修部件</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变频器型号</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位置</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HD90N4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1#冷却泵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2</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HD90N4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2#冷却泵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3</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HD90N4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4#冷却泵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4</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HD90N4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5#冷却泵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5</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HD75N4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2#二次泵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6</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HD75N4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4#二次泵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7</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HD75N4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5#二次泵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8</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电源板</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HD75N4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2#三次泵</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0"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9</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HD90N4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1#—6#冷却泵，共6台</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9"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10</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HD75N4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1#—7#二次泵，1#—5#主楼三次泵；共12台</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4"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11</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HD30N4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1#—6#热水泵，中指廊1#-3#三次泵；共9台</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5" w:hRule="atLeast"/>
        </w:trPr>
        <w:tc>
          <w:tcPr>
            <w:tcW w:w="762"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12</w:t>
            </w:r>
          </w:p>
        </w:tc>
        <w:tc>
          <w:tcPr>
            <w:tcW w:w="2366"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散热风机</w:t>
            </w:r>
          </w:p>
        </w:tc>
        <w:tc>
          <w:tcPr>
            <w:tcW w:w="2858"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ATV 61 HD45N4</w:t>
            </w:r>
          </w:p>
        </w:tc>
        <w:tc>
          <w:tcPr>
            <w:tcW w:w="1751"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北指廊1#-4#三次泵；共4台</w:t>
            </w:r>
          </w:p>
        </w:tc>
        <w:tc>
          <w:tcPr>
            <w:tcW w:w="1043" w:type="dxa"/>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更换</w:t>
            </w:r>
          </w:p>
        </w:tc>
      </w:tr>
    </w:tbl>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widowControl/>
        <w:jc w:val="left"/>
        <w:rPr>
          <w:rFonts w:ascii="仿宋_GB2312" w:hAnsi="仿宋_GB2312" w:eastAsia="仿宋_GB2312" w:cs="仿宋_GB2312"/>
          <w:sz w:val="28"/>
          <w:szCs w:val="28"/>
        </w:rPr>
      </w:pPr>
      <w:r>
        <w:rPr>
          <w:rFonts w:ascii="仿宋_GB2312" w:hAnsi="仿宋_GB2312" w:eastAsia="仿宋_GB2312" w:cs="仿宋_GB2312"/>
          <w:sz w:val="28"/>
          <w:szCs w:val="28"/>
        </w:rPr>
        <w:br w:type="page"/>
      </w:r>
    </w:p>
    <w:p>
      <w:pPr>
        <w:spacing w:line="560" w:lineRule="exact"/>
        <w:jc w:val="left"/>
        <w:rPr>
          <w:rFonts w:ascii="仿宋_GB2312" w:hAnsi="仿宋_GB2312" w:eastAsia="仿宋_GB2312" w:cs="仿宋_GB2312"/>
          <w:sz w:val="28"/>
          <w:szCs w:val="28"/>
        </w:rPr>
      </w:pPr>
    </w:p>
    <w:p>
      <w:pPr>
        <w:spacing w:line="560" w:lineRule="exact"/>
        <w:jc w:val="left"/>
        <w:rPr>
          <w:rFonts w:ascii="宋体" w:hAnsi="宋体" w:eastAsia="宋体" w:cs="宋体"/>
          <w:color w:val="000000"/>
          <w:kern w:val="0"/>
          <w:sz w:val="36"/>
          <w:szCs w:val="36"/>
          <w:lang w:bidi="ar"/>
        </w:rPr>
      </w:pPr>
      <w:r>
        <w:rPr>
          <w:rFonts w:hint="eastAsia" w:ascii="仿宋_GB2312" w:hAnsi="仿宋_GB2312" w:eastAsia="仿宋_GB2312" w:cs="仿宋_GB2312"/>
          <w:sz w:val="28"/>
          <w:szCs w:val="28"/>
        </w:rPr>
        <w:t>附件2：维修验收单</w:t>
      </w:r>
    </w:p>
    <w:tbl>
      <w:tblPr>
        <w:tblStyle w:val="44"/>
        <w:tblW w:w="9180" w:type="dxa"/>
        <w:tblInd w:w="0" w:type="dxa"/>
        <w:tblLayout w:type="fixed"/>
        <w:tblCellMar>
          <w:top w:w="15" w:type="dxa"/>
          <w:left w:w="15" w:type="dxa"/>
          <w:bottom w:w="15" w:type="dxa"/>
          <w:right w:w="15" w:type="dxa"/>
        </w:tblCellMar>
      </w:tblPr>
      <w:tblGrid>
        <w:gridCol w:w="1758"/>
        <w:gridCol w:w="2832"/>
        <w:gridCol w:w="173"/>
        <w:gridCol w:w="1175"/>
        <w:gridCol w:w="3242"/>
      </w:tblGrid>
      <w:tr>
        <w:tblPrEx>
          <w:tblLayout w:type="fixed"/>
          <w:tblCellMar>
            <w:top w:w="15" w:type="dxa"/>
            <w:left w:w="15" w:type="dxa"/>
            <w:bottom w:w="15" w:type="dxa"/>
            <w:right w:w="15" w:type="dxa"/>
          </w:tblCellMar>
        </w:tblPrEx>
        <w:trPr>
          <w:trHeight w:val="389" w:hRule="atLeast"/>
        </w:trPr>
        <w:tc>
          <w:tcPr>
            <w:tcW w:w="9180" w:type="dxa"/>
            <w:gridSpan w:val="5"/>
            <w:tcBorders>
              <w:top w:val="nil"/>
              <w:left w:val="nil"/>
              <w:bottom w:val="single" w:color="000000" w:sz="4" w:space="0"/>
              <w:right w:val="nil"/>
            </w:tcBorders>
            <w:shd w:val="clear" w:color="auto" w:fill="auto"/>
            <w:vAlign w:val="center"/>
          </w:tcPr>
          <w:p>
            <w:pPr>
              <w:jc w:val="center"/>
              <w:rPr>
                <w:rFonts w:ascii="宋体" w:hAnsi="宋体" w:eastAsia="宋体" w:cs="宋体"/>
                <w:color w:val="000000"/>
                <w:kern w:val="0"/>
                <w:sz w:val="24"/>
                <w:szCs w:val="24"/>
                <w:lang w:bidi="ar"/>
              </w:rPr>
            </w:pPr>
            <w:r>
              <w:rPr>
                <w:rFonts w:hint="eastAsia" w:ascii="宋体" w:hAnsi="宋体" w:eastAsia="宋体" w:cs="宋体"/>
                <w:color w:val="000000"/>
                <w:kern w:val="0"/>
                <w:sz w:val="32"/>
                <w:szCs w:val="32"/>
                <w:lang w:bidi="ar"/>
              </w:rPr>
              <w:t>变频器维修验收单</w:t>
            </w:r>
          </w:p>
        </w:tc>
      </w:tr>
      <w:tr>
        <w:tblPrEx>
          <w:tblLayout w:type="fixed"/>
          <w:tblCellMar>
            <w:top w:w="15" w:type="dxa"/>
            <w:left w:w="15" w:type="dxa"/>
            <w:bottom w:w="15" w:type="dxa"/>
            <w:right w:w="15" w:type="dxa"/>
          </w:tblCellMar>
        </w:tblPrEx>
        <w:trPr>
          <w:trHeight w:val="389" w:hRule="atLeast"/>
        </w:trPr>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项目名称</w:t>
            </w:r>
          </w:p>
        </w:tc>
        <w:tc>
          <w:tcPr>
            <w:tcW w:w="74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仿宋_GB2312" w:cs="宋体"/>
                <w:color w:val="000000"/>
                <w:sz w:val="24"/>
                <w:szCs w:val="24"/>
              </w:rPr>
            </w:pPr>
            <w:r>
              <w:rPr>
                <w:rFonts w:hint="eastAsia" w:ascii="宋体" w:hAnsi="宋体" w:eastAsia="宋体" w:cs="宋体"/>
                <w:color w:val="000000"/>
                <w:kern w:val="0"/>
                <w:sz w:val="24"/>
                <w:szCs w:val="24"/>
                <w:lang w:bidi="ar"/>
              </w:rPr>
              <w:t>杭州萧山国际机场中央空调系统变频器维修项目</w:t>
            </w:r>
          </w:p>
        </w:tc>
      </w:tr>
      <w:tr>
        <w:tblPrEx>
          <w:tblLayout w:type="fixed"/>
          <w:tblCellMar>
            <w:top w:w="15" w:type="dxa"/>
            <w:left w:w="15" w:type="dxa"/>
            <w:bottom w:w="15" w:type="dxa"/>
            <w:right w:w="15" w:type="dxa"/>
          </w:tblCellMar>
        </w:tblPrEx>
        <w:trPr>
          <w:trHeight w:val="389" w:hRule="atLeast"/>
        </w:trPr>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维修单位</w:t>
            </w:r>
          </w:p>
        </w:tc>
        <w:tc>
          <w:tcPr>
            <w:tcW w:w="74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kern w:val="0"/>
                <w:sz w:val="24"/>
                <w:szCs w:val="24"/>
                <w:lang w:bidi="ar"/>
              </w:rPr>
            </w:pPr>
          </w:p>
        </w:tc>
      </w:tr>
      <w:tr>
        <w:tblPrEx>
          <w:tblLayout w:type="fixed"/>
          <w:tblCellMar>
            <w:top w:w="15" w:type="dxa"/>
            <w:left w:w="15" w:type="dxa"/>
            <w:bottom w:w="15" w:type="dxa"/>
            <w:right w:w="15" w:type="dxa"/>
          </w:tblCellMar>
        </w:tblPrEx>
        <w:trPr>
          <w:trHeight w:val="389" w:hRule="atLeast"/>
        </w:trPr>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设备台数</w:t>
            </w:r>
          </w:p>
        </w:tc>
        <w:tc>
          <w:tcPr>
            <w:tcW w:w="3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31台</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位置</w:t>
            </w: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T3航站楼空调机房</w:t>
            </w:r>
          </w:p>
        </w:tc>
      </w:tr>
      <w:tr>
        <w:tblPrEx>
          <w:tblLayout w:type="fixed"/>
          <w:tblCellMar>
            <w:top w:w="15" w:type="dxa"/>
            <w:left w:w="15" w:type="dxa"/>
            <w:bottom w:w="15" w:type="dxa"/>
            <w:right w:w="15" w:type="dxa"/>
          </w:tblCellMar>
        </w:tblPrEx>
        <w:trPr>
          <w:trHeight w:val="389" w:hRule="atLeast"/>
        </w:trPr>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维修部件</w:t>
            </w:r>
          </w:p>
        </w:tc>
        <w:tc>
          <w:tcPr>
            <w:tcW w:w="74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电源板、散热风机</w:t>
            </w:r>
          </w:p>
        </w:tc>
      </w:tr>
      <w:tr>
        <w:tblPrEx>
          <w:tblLayout w:type="fixed"/>
          <w:tblCellMar>
            <w:top w:w="15" w:type="dxa"/>
            <w:left w:w="15" w:type="dxa"/>
            <w:bottom w:w="15" w:type="dxa"/>
            <w:right w:w="15" w:type="dxa"/>
          </w:tblCellMar>
        </w:tblPrEx>
        <w:trPr>
          <w:trHeight w:val="389" w:hRule="atLeast"/>
        </w:trPr>
        <w:tc>
          <w:tcPr>
            <w:tcW w:w="17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服务日期</w:t>
            </w:r>
          </w:p>
        </w:tc>
        <w:tc>
          <w:tcPr>
            <w:tcW w:w="74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至</w:t>
            </w:r>
          </w:p>
        </w:tc>
      </w:tr>
      <w:tr>
        <w:tblPrEx>
          <w:tblLayout w:type="fixed"/>
          <w:tblCellMar>
            <w:top w:w="15" w:type="dxa"/>
            <w:left w:w="15" w:type="dxa"/>
            <w:bottom w:w="15" w:type="dxa"/>
            <w:right w:w="15" w:type="dxa"/>
          </w:tblCellMar>
        </w:tblPrEx>
        <w:trPr>
          <w:trHeight w:val="389" w:hRule="atLeast"/>
        </w:trPr>
        <w:tc>
          <w:tcPr>
            <w:tcW w:w="9180"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验收内容</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1.整流模块测试</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2.逆变模块测试</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3.绝缘测试</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4.输出电压情况</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5.电源电压情况</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6.输出电流情况</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7.进线电流情况</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45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8.其他情况</w:t>
            </w:r>
          </w:p>
        </w:tc>
        <w:tc>
          <w:tcPr>
            <w:tcW w:w="45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□正常   □异常</w:t>
            </w:r>
          </w:p>
        </w:tc>
      </w:tr>
      <w:tr>
        <w:tblPrEx>
          <w:tblLayout w:type="fixed"/>
          <w:tblCellMar>
            <w:top w:w="15" w:type="dxa"/>
            <w:left w:w="15" w:type="dxa"/>
            <w:bottom w:w="15" w:type="dxa"/>
            <w:right w:w="15" w:type="dxa"/>
          </w:tblCellMar>
        </w:tblPrEx>
        <w:trPr>
          <w:trHeight w:val="389" w:hRule="atLeast"/>
        </w:trPr>
        <w:tc>
          <w:tcPr>
            <w:tcW w:w="9180"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信息备注</w:t>
            </w:r>
          </w:p>
        </w:tc>
      </w:tr>
      <w:tr>
        <w:tblPrEx>
          <w:tblLayout w:type="fixed"/>
          <w:tblCellMar>
            <w:top w:w="15" w:type="dxa"/>
            <w:left w:w="15" w:type="dxa"/>
            <w:bottom w:w="15" w:type="dxa"/>
            <w:right w:w="15" w:type="dxa"/>
          </w:tblCellMar>
        </w:tblPrEx>
        <w:trPr>
          <w:trHeight w:val="1471" w:hRule="atLeast"/>
        </w:trPr>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kern w:val="0"/>
                <w:sz w:val="24"/>
                <w:szCs w:val="24"/>
                <w:lang w:bidi="ar"/>
              </w:rPr>
            </w:pPr>
          </w:p>
          <w:p>
            <w:pPr>
              <w:widowControl/>
              <w:textAlignment w:val="center"/>
              <w:rPr>
                <w:rFonts w:ascii="宋体" w:hAnsi="宋体" w:eastAsia="宋体" w:cs="宋体"/>
                <w:color w:val="000000"/>
                <w:kern w:val="0"/>
                <w:sz w:val="24"/>
                <w:szCs w:val="24"/>
                <w:lang w:bidi="ar"/>
              </w:rPr>
            </w:pPr>
          </w:p>
          <w:p>
            <w:pPr>
              <w:widowControl/>
              <w:textAlignment w:val="center"/>
              <w:rPr>
                <w:rFonts w:ascii="宋体" w:hAnsi="宋体" w:eastAsia="宋体" w:cs="宋体"/>
                <w:color w:val="000000"/>
                <w:kern w:val="0"/>
                <w:sz w:val="24"/>
                <w:szCs w:val="24"/>
                <w:lang w:bidi="ar"/>
              </w:rPr>
            </w:pPr>
          </w:p>
          <w:p>
            <w:pPr>
              <w:widowControl/>
              <w:textAlignment w:val="center"/>
              <w:rPr>
                <w:rFonts w:ascii="宋体" w:hAnsi="宋体" w:eastAsia="宋体" w:cs="宋体"/>
                <w:color w:val="000000"/>
                <w:kern w:val="0"/>
                <w:sz w:val="24"/>
                <w:szCs w:val="24"/>
                <w:lang w:bidi="ar"/>
              </w:rPr>
            </w:pPr>
          </w:p>
          <w:p>
            <w:pPr>
              <w:widowControl/>
              <w:textAlignment w:val="center"/>
              <w:rPr>
                <w:rFonts w:ascii="宋体" w:hAnsi="宋体" w:eastAsia="宋体" w:cs="宋体"/>
                <w:color w:val="000000"/>
                <w:kern w:val="0"/>
                <w:sz w:val="24"/>
                <w:szCs w:val="24"/>
                <w:lang w:bidi="ar"/>
              </w:rPr>
            </w:pPr>
          </w:p>
        </w:tc>
      </w:tr>
      <w:tr>
        <w:tblPrEx>
          <w:tblLayout w:type="fixed"/>
          <w:tblCellMar>
            <w:top w:w="15" w:type="dxa"/>
            <w:left w:w="15" w:type="dxa"/>
            <w:bottom w:w="15" w:type="dxa"/>
            <w:right w:w="15" w:type="dxa"/>
          </w:tblCellMar>
        </w:tblPrEx>
        <w:trPr>
          <w:trHeight w:val="401" w:hRule="atLeast"/>
        </w:trPr>
        <w:tc>
          <w:tcPr>
            <w:tcW w:w="9180"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验收结果</w:t>
            </w:r>
          </w:p>
        </w:tc>
      </w:tr>
      <w:tr>
        <w:tblPrEx>
          <w:tblLayout w:type="fixed"/>
          <w:tblCellMar>
            <w:top w:w="15" w:type="dxa"/>
            <w:left w:w="15" w:type="dxa"/>
            <w:bottom w:w="15" w:type="dxa"/>
            <w:right w:w="15" w:type="dxa"/>
          </w:tblCellMar>
        </w:tblPrEx>
        <w:trPr>
          <w:trHeight w:val="1722" w:hRule="atLeast"/>
        </w:trPr>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4"/>
                <w:szCs w:val="24"/>
                <w:lang w:bidi="ar"/>
              </w:rPr>
            </w:pPr>
          </w:p>
          <w:p>
            <w:pPr>
              <w:widowControl/>
              <w:jc w:val="center"/>
              <w:textAlignment w:val="center"/>
              <w:rPr>
                <w:rFonts w:ascii="宋体" w:hAnsi="宋体" w:eastAsia="宋体" w:cs="宋体"/>
                <w:color w:val="000000"/>
                <w:kern w:val="0"/>
                <w:sz w:val="24"/>
                <w:szCs w:val="24"/>
                <w:lang w:bidi="ar"/>
              </w:rPr>
            </w:pPr>
          </w:p>
          <w:p>
            <w:pPr>
              <w:widowControl/>
              <w:textAlignment w:val="center"/>
              <w:rPr>
                <w:rFonts w:ascii="宋体" w:hAnsi="宋体" w:eastAsia="宋体" w:cs="宋体"/>
                <w:color w:val="000000"/>
                <w:kern w:val="0"/>
                <w:sz w:val="24"/>
                <w:szCs w:val="24"/>
                <w:lang w:bidi="ar"/>
              </w:rPr>
            </w:pPr>
          </w:p>
          <w:p>
            <w:pPr>
              <w:widowControl/>
              <w:jc w:val="center"/>
              <w:textAlignment w:val="center"/>
              <w:rPr>
                <w:rFonts w:ascii="宋体" w:hAnsi="宋体" w:eastAsia="宋体" w:cs="宋体"/>
                <w:color w:val="000000"/>
                <w:kern w:val="0"/>
                <w:sz w:val="24"/>
                <w:szCs w:val="24"/>
                <w:lang w:bidi="ar"/>
              </w:rPr>
            </w:pPr>
          </w:p>
        </w:tc>
      </w:tr>
      <w:tr>
        <w:tblPrEx>
          <w:tblLayout w:type="fixed"/>
          <w:tblCellMar>
            <w:top w:w="15" w:type="dxa"/>
            <w:left w:w="15" w:type="dxa"/>
            <w:bottom w:w="15" w:type="dxa"/>
            <w:right w:w="15" w:type="dxa"/>
          </w:tblCellMar>
        </w:tblPrEx>
        <w:trPr>
          <w:trHeight w:val="1215" w:hRule="atLeast"/>
        </w:trPr>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甲方签字：                                  乙方签字：</w:t>
            </w:r>
          </w:p>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 xml:space="preserve">                    </w:t>
            </w:r>
          </w:p>
          <w:p>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 xml:space="preserve">                      验收日期:</w:t>
            </w:r>
          </w:p>
        </w:tc>
      </w:tr>
    </w:tbl>
    <w:p>
      <w:pPr>
        <w:widowControl/>
        <w:jc w:val="left"/>
        <w:rPr>
          <w:rFonts w:ascii="仿宋_GB2312" w:hAnsi="仿宋_GB2312" w:eastAsia="仿宋_GB2312" w:cs="仿宋_GB2312"/>
          <w:color w:val="000000"/>
          <w:sz w:val="28"/>
          <w:szCs w:val="28"/>
        </w:rPr>
      </w:pPr>
    </w:p>
    <w:p>
      <w:pPr>
        <w:pStyle w:val="131"/>
        <w:spacing w:line="560" w:lineRule="exact"/>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附件3 ： 杭州萧山国际机场有限公司廉洁自律承诺书</w:t>
      </w:r>
    </w:p>
    <w:p>
      <w:pPr>
        <w:pStyle w:val="131"/>
        <w:spacing w:line="560" w:lineRule="exact"/>
        <w:ind w:firstLine="562"/>
        <w:rPr>
          <w:rFonts w:ascii="仿宋_GB2312" w:hAnsi="仿宋_GB2312" w:eastAsia="仿宋_GB2312" w:cs="仿宋_GB2312"/>
          <w:b/>
          <w:color w:val="auto"/>
          <w:sz w:val="28"/>
          <w:szCs w:val="28"/>
        </w:rPr>
      </w:pPr>
    </w:p>
    <w:p>
      <w:pPr>
        <w:pStyle w:val="131"/>
        <w:spacing w:line="560" w:lineRule="exact"/>
        <w:ind w:firstLine="562"/>
        <w:rPr>
          <w:rFonts w:ascii="仿宋_GB2312" w:hAnsi="仿宋_GB2312" w:eastAsia="仿宋_GB2312" w:cs="仿宋_GB2312"/>
          <w:b/>
          <w:color w:val="auto"/>
          <w:sz w:val="28"/>
          <w:szCs w:val="28"/>
        </w:rPr>
      </w:pPr>
    </w:p>
    <w:p>
      <w:pPr>
        <w:pStyle w:val="131"/>
        <w:spacing w:line="560" w:lineRule="exact"/>
        <w:ind w:firstLine="562"/>
        <w:jc w:val="center"/>
        <w:rPr>
          <w:rFonts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杭州萧山国际机场有限公司廉洁自律承诺书</w:t>
      </w:r>
    </w:p>
    <w:p>
      <w:pPr>
        <w:pStyle w:val="82"/>
        <w:adjustRightInd w:val="0"/>
        <w:snapToGrid w:val="0"/>
        <w:spacing w:line="560" w:lineRule="exact"/>
        <w:ind w:firstLine="562"/>
        <w:jc w:val="left"/>
        <w:rPr>
          <w:rFonts w:ascii="仿宋_GB2312" w:hAnsi="仿宋_GB2312" w:eastAsia="仿宋_GB2312" w:cs="仿宋_GB2312"/>
          <w:b/>
          <w:sz w:val="28"/>
          <w:szCs w:val="28"/>
        </w:rPr>
      </w:pPr>
    </w:p>
    <w:p>
      <w:pPr>
        <w:pStyle w:val="82"/>
        <w:adjustRightInd w:val="0"/>
        <w:snapToGrid w:val="0"/>
        <w:spacing w:line="560" w:lineRule="exact"/>
        <w:ind w:firstLine="0" w:firstLineChars="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杭州萧山国际机场有限公司：</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我单位响应贵公司项目招标要求，参加项目投标。在投标过程中及中标后，我们将严格遵守国家法律法规和贵司招标文件要求，并郑重作出如下承诺和保证：</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二、不以任何名义为贵公司有关人员或项目第三方人员报销应由贵公司或个人支付的费用；</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三、不向贵公司有关人员或项目第三方人员提供宴请、旅游、和健身娱乐等活动；</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四、不为贵公司有关人员或项目第三方人员出国（境）、旅游等提供方便；</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五、不为贵公司有关人员或项目第三方人员个人装修住房、婚丧嫁娶、配偶子女工作安排等提供好处或便利条件；</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六、严格遵守国家招标投标法、合同法等法律规定，诚实守信，合法经营，坚决杜绝各种违法违纪行为。</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八、为约束廉洁自律行为从法律上提供保障措施，我方同意向贵公司缴纳的履约保证金中的10%作为廉洁自律担保金。</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如违反上述廉洁自律承诺，贵公司有权：</w:t>
      </w:r>
    </w:p>
    <w:p>
      <w:pPr>
        <w:pStyle w:val="82"/>
        <w:numPr>
          <w:ilvl w:val="0"/>
          <w:numId w:val="13"/>
        </w:numPr>
        <w:adjustRightInd w:val="0"/>
        <w:snapToGrid w:val="0"/>
        <w:spacing w:line="560" w:lineRule="exact"/>
        <w:ind w:firstLineChars="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立即取消我单位投标、中标或在建项目的实施资格；</w:t>
      </w:r>
    </w:p>
    <w:p>
      <w:pPr>
        <w:pStyle w:val="82"/>
        <w:numPr>
          <w:ilvl w:val="0"/>
          <w:numId w:val="13"/>
        </w:numPr>
        <w:adjustRightInd w:val="0"/>
        <w:snapToGrid w:val="0"/>
        <w:spacing w:line="560" w:lineRule="exact"/>
        <w:ind w:firstLineChars="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廉洁自律担保金不予退还我单位；</w:t>
      </w:r>
    </w:p>
    <w:p>
      <w:pPr>
        <w:pStyle w:val="82"/>
        <w:numPr>
          <w:ilvl w:val="0"/>
          <w:numId w:val="13"/>
        </w:numPr>
        <w:adjustRightInd w:val="0"/>
        <w:snapToGrid w:val="0"/>
        <w:spacing w:line="560" w:lineRule="exact"/>
        <w:ind w:firstLineChars="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拒绝我单位在一定时期内进入贵公司进行项目建设或其它经营活动；</w:t>
      </w:r>
    </w:p>
    <w:p>
      <w:pPr>
        <w:pStyle w:val="82"/>
        <w:numPr>
          <w:ilvl w:val="0"/>
          <w:numId w:val="13"/>
        </w:numPr>
        <w:adjustRightInd w:val="0"/>
        <w:snapToGrid w:val="0"/>
        <w:spacing w:line="560" w:lineRule="exact"/>
        <w:ind w:firstLineChars="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由此引起的相应损失均由我单位承担。</w:t>
      </w:r>
    </w:p>
    <w:p>
      <w:pPr>
        <w:pStyle w:val="82"/>
        <w:adjustRightInd w:val="0"/>
        <w:snapToGrid w:val="0"/>
        <w:spacing w:line="560" w:lineRule="exact"/>
        <w:ind w:firstLine="0" w:firstLineChars="0"/>
        <w:jc w:val="left"/>
        <w:rPr>
          <w:rFonts w:ascii="仿宋_GB2312" w:hAnsi="仿宋_GB2312" w:eastAsia="仿宋_GB2312" w:cs="仿宋_GB2312"/>
          <w:sz w:val="28"/>
          <w:szCs w:val="28"/>
        </w:rPr>
      </w:pPr>
    </w:p>
    <w:p>
      <w:pPr>
        <w:pStyle w:val="82"/>
        <w:adjustRightInd w:val="0"/>
        <w:snapToGrid w:val="0"/>
        <w:spacing w:line="560" w:lineRule="exact"/>
        <w:ind w:firstLine="0" w:firstLineChars="0"/>
        <w:jc w:val="left"/>
        <w:rPr>
          <w:rFonts w:ascii="仿宋_GB2312" w:hAnsi="仿宋_GB2312" w:eastAsia="仿宋_GB2312" w:cs="仿宋_GB2312"/>
          <w:sz w:val="28"/>
          <w:szCs w:val="28"/>
        </w:rPr>
      </w:pPr>
    </w:p>
    <w:p>
      <w:pPr>
        <w:pStyle w:val="82"/>
        <w:adjustRightInd w:val="0"/>
        <w:snapToGrid w:val="0"/>
        <w:spacing w:line="560" w:lineRule="exact"/>
        <w:ind w:firstLine="0" w:firstLineChars="0"/>
        <w:jc w:val="left"/>
        <w:rPr>
          <w:rFonts w:ascii="仿宋_GB2312" w:hAnsi="仿宋_GB2312" w:eastAsia="仿宋_GB2312" w:cs="仿宋_GB2312"/>
          <w:sz w:val="28"/>
          <w:szCs w:val="28"/>
        </w:rPr>
      </w:pPr>
    </w:p>
    <w:p>
      <w:pPr>
        <w:pStyle w:val="82"/>
        <w:adjustRightInd w:val="0"/>
        <w:snapToGrid w:val="0"/>
        <w:spacing w:line="560" w:lineRule="exact"/>
        <w:ind w:firstLine="0" w:firstLineChars="0"/>
        <w:jc w:val="left"/>
        <w:rPr>
          <w:rFonts w:ascii="仿宋_GB2312" w:hAnsi="仿宋_GB2312" w:eastAsia="仿宋_GB2312" w:cs="仿宋_GB2312"/>
          <w:sz w:val="28"/>
          <w:szCs w:val="28"/>
        </w:rPr>
      </w:pP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承诺人单位名称（盖章）：            </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 ：                    </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或                            </w:t>
      </w:r>
    </w:p>
    <w:p>
      <w:pPr>
        <w:pStyle w:val="82"/>
        <w:adjustRightInd w:val="0"/>
        <w:snapToGrid w:val="0"/>
        <w:spacing w:line="560" w:lineRule="exact"/>
        <w:ind w:firstLine="56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委托代理人：                   </w:t>
      </w:r>
    </w:p>
    <w:p>
      <w:pPr>
        <w:pStyle w:val="82"/>
        <w:adjustRightInd w:val="0"/>
        <w:snapToGrid w:val="0"/>
        <w:spacing w:line="560" w:lineRule="exact"/>
        <w:ind w:firstLine="562"/>
        <w:jc w:val="left"/>
        <w:rPr>
          <w:rFonts w:ascii="仿宋_GB2312" w:hAnsi="仿宋_GB2312" w:eastAsia="仿宋_GB2312" w:cs="仿宋_GB2312"/>
          <w:b/>
          <w:sz w:val="28"/>
          <w:szCs w:val="28"/>
        </w:rPr>
      </w:pPr>
    </w:p>
    <w:p>
      <w:pPr>
        <w:pStyle w:val="36"/>
        <w:spacing w:before="0" w:after="0" w:line="560" w:lineRule="exact"/>
        <w:rPr>
          <w:rFonts w:ascii="仿宋_GB2312" w:hAnsi="仿宋_GB2312" w:eastAsia="仿宋_GB2312" w:cs="仿宋_GB2312"/>
          <w:b w:val="0"/>
          <w:sz w:val="28"/>
          <w:szCs w:val="28"/>
        </w:rPr>
      </w:pPr>
      <w:bookmarkStart w:id="114" w:name="_Toc422638522"/>
      <w:bookmarkStart w:id="115" w:name="_Toc321925455"/>
      <w:r>
        <w:rPr>
          <w:rFonts w:hint="eastAsia" w:ascii="仿宋_GB2312" w:hAnsi="仿宋_GB2312" w:eastAsia="仿宋_GB2312" w:cs="仿宋_GB2312"/>
          <w:b w:val="0"/>
          <w:sz w:val="28"/>
          <w:szCs w:val="28"/>
        </w:rPr>
        <w:t xml:space="preserve">                           年     月     日</w:t>
      </w:r>
      <w:bookmarkEnd w:id="114"/>
      <w:bookmarkEnd w:id="115"/>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附件4：保密承诺书</w:t>
      </w:r>
    </w:p>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保密承诺书</w:t>
      </w:r>
    </w:p>
    <w:p>
      <w:pPr>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鉴于我方愿成为杭州萧山国际机场有限公司（以下简称“机场公司”）的供应商或潜在供应商候选人，为机场公司提供【】项目的维保外包服务。在上述业务来往过程中，机场公司可能向我方提供经营、业务、产品及技术等有关的文件、资料、软件等信息，为维护机场公司的利益，我方就保密事宜做出如下承诺：</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1.1商业秘密是指机场公司（包括机场公司关联公司）一切专有、不对外公开的资料和信息。包括但不限于以下方面：</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（1）经营信息（发展规划、运营状况、客户资源、货源情报、投融资计划、开发计划、标书等）；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（2）管理信息（管理方法、管理制度、员工管理、合同管理、纠纷管理等）；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（3）产品及技术信息（设计及图纸、样品及服务、技术方案、质量标准、技术标准、计算机程序等）；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（4）财务信息（财务收支、固定资产、流动资金、成本核算等）；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（5）我方单独或机场公司（包括机场公司关联公司）和我方共同为机场公司开发、设计、生产的产品、资料及相关信息；</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（6）其他机场公司未对外公开的有关营运、计划、航班数据、标准、开发、生产、经营、质量管理控制和租赁的资料和数据等信息以及对供应商的管理文件。</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1.3、对于上述提及的商业秘密，不能仅因为公开发表的文章或资讯中包含其内容，就认为是可对外公开的特殊情况。</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1.4、以下资料不属于本承诺所指的商业秘密：</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（1）我方从机场公司拟获悉之前已持有的我方无需承担保密义务的机场公司有关资料(但通过其它违约或侵权行为而获得的资料除外)；</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（2）已经公开或已成为常识性的资料，且该等公开并非因违反本承诺所致。</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3、当合同履行完毕、合同终止或经机场公司要求，我方应立即返还或根据机场公司书面要求销毁所有含有商业秘密或我方在接触商业秘密后而产生的资料，以及由我方持有的任何复制品。</w:t>
      </w:r>
    </w:p>
    <w:p>
      <w:pPr>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（1）披露、使用或者允许他人以不正当手段获取的商业秘密；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（2）为机场公司以外的第三人窃取、刺探、收买、非法提供商业秘密。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（3）在电子公告系统、聊天系统、电子邮箱、论坛等计算机网络系统上传递、转发、抄送、发布、谈论和传播商业秘密；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（4）在私人交往和通信中，向亲属、朋友以及与工作无关人员泄露商业秘密，或在公共场所谈论商业秘密；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（5）擅自将属于商业秘密的文件、资料和其他物品携带、传递、寄运出机场公司办公场所或国（境）外。</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（6）未经机场公司同意就以任何方式私自保存、截留含有机场公司商业秘密的任何形式资料、文件和物品的复印件、复制品、副本。</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（7）将含有机场公司商业秘密的产品、技术或其他资料、信息向第三人销售、使用或以任何方式提供。</w:t>
      </w:r>
    </w:p>
    <w:p>
      <w:pPr>
        <w:adjustRightInd w:val="0"/>
        <w:snapToGrid w:val="0"/>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8、违约责任</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8.1因我方违反保密义务的行为造成机场公司的一切损失，我方应当全部予以赔偿。</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8.2如我方违反本承诺书下保密义务，应当承担违约责任，除赔偿损失外，还应依据合同向机场公司支付相应的违约金；</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9、本承诺书适用中华人民共和国法律，如因履行本承诺书发生争议，则双方均有权向机场公司所在地法院提起诉讼。</w:t>
      </w:r>
    </w:p>
    <w:p>
      <w:pPr>
        <w:adjustRightInd w:val="0"/>
        <w:snapToGrid w:val="0"/>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供应商(盖章):</w:t>
      </w:r>
    </w:p>
    <w:p>
      <w:pPr>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w:t>
      </w: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电话/传真：</w:t>
      </w:r>
    </w:p>
    <w:p>
      <w:pPr>
        <w:spacing w:line="560" w:lineRule="exact"/>
        <w:jc w:val="center"/>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地址：</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napToGrid w:val="0"/>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pPr>
        <w:pStyle w:val="18"/>
        <w:spacing w:line="560" w:lineRule="exact"/>
        <w:ind w:firstLine="420"/>
        <w:jc w:val="left"/>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rPr>
          <w:rFonts w:ascii="Calibri" w:hAnsi="Calibri" w:cs="Calibri"/>
          <w:bCs/>
          <w:szCs w:val="32"/>
        </w:rPr>
      </w:pPr>
      <w:r>
        <w:rPr>
          <w:rFonts w:hint="eastAsia" w:ascii="仿宋_GB2312" w:hAnsi="仿宋_GB2312" w:eastAsia="仿宋_GB2312" w:cs="仿宋_GB2312"/>
          <w:sz w:val="28"/>
          <w:szCs w:val="28"/>
        </w:rPr>
        <w:t>附件5：项目实施安全文明协议书</w:t>
      </w:r>
    </w:p>
    <w:p>
      <w:pPr>
        <w:pStyle w:val="18"/>
        <w:spacing w:line="360" w:lineRule="exact"/>
        <w:ind w:firstLine="420"/>
        <w:rPr>
          <w:rFonts w:ascii="Calibri" w:hAnsi="Calibri" w:cs="Calibri"/>
          <w:bCs/>
          <w:szCs w:val="32"/>
        </w:rPr>
      </w:pPr>
    </w:p>
    <w:p>
      <w:pPr>
        <w:pStyle w:val="131"/>
        <w:ind w:firstLine="0" w:firstLineChars="0"/>
        <w:jc w:val="center"/>
        <w:rPr>
          <w:rFonts w:ascii="仿宋_GB2312" w:hAnsi="宋体" w:eastAsia="仿宋_GB2312" w:cs="宋体"/>
          <w:b/>
          <w:color w:val="auto"/>
          <w:sz w:val="24"/>
          <w:szCs w:val="24"/>
        </w:rPr>
      </w:pPr>
      <w:r>
        <w:rPr>
          <w:rFonts w:hint="eastAsia" w:ascii="仿宋_GB2312" w:hAnsi="宋体" w:eastAsia="仿宋_GB2312" w:cs="宋体"/>
          <w:b/>
          <w:color w:val="auto"/>
          <w:sz w:val="24"/>
          <w:szCs w:val="24"/>
        </w:rPr>
        <w:t>杭州萧山国际机场项目工程建设</w:t>
      </w:r>
    </w:p>
    <w:p>
      <w:pPr>
        <w:pStyle w:val="131"/>
        <w:ind w:firstLine="0" w:firstLineChars="0"/>
        <w:jc w:val="center"/>
        <w:rPr>
          <w:rFonts w:ascii="仿宋_GB2312" w:hAnsi="宋体" w:eastAsia="仿宋_GB2312" w:cs="宋体"/>
          <w:b/>
          <w:color w:val="auto"/>
          <w:sz w:val="24"/>
          <w:szCs w:val="24"/>
        </w:rPr>
      </w:pPr>
      <w:r>
        <w:rPr>
          <w:rFonts w:hint="eastAsia" w:ascii="仿宋_GB2312" w:hAnsi="宋体" w:eastAsia="仿宋_GB2312" w:cs="宋体"/>
          <w:b/>
          <w:color w:val="auto"/>
          <w:sz w:val="24"/>
          <w:szCs w:val="24"/>
        </w:rPr>
        <w:t>安全文明施工协议书</w:t>
      </w:r>
    </w:p>
    <w:p>
      <w:pPr>
        <w:pStyle w:val="131"/>
        <w:ind w:firstLine="0" w:firstLineChars="0"/>
        <w:jc w:val="center"/>
        <w:rPr>
          <w:rFonts w:ascii="仿宋_GB2312" w:hAnsi="宋体" w:eastAsia="仿宋_GB2312" w:cs="宋体"/>
          <w:b/>
          <w:color w:val="auto"/>
          <w:sz w:val="24"/>
          <w:szCs w:val="24"/>
        </w:rPr>
      </w:pPr>
    </w:p>
    <w:p>
      <w:pPr>
        <w:pStyle w:val="82"/>
        <w:adjustRightInd w:val="0"/>
        <w:snapToGrid w:val="0"/>
        <w:ind w:firstLine="0" w:firstLineChars="0"/>
        <w:rPr>
          <w:rFonts w:ascii="仿宋_GB2312" w:hAnsi="宋体" w:eastAsia="仿宋_GB2312" w:cs="宋体"/>
          <w:szCs w:val="24"/>
        </w:rPr>
      </w:pPr>
      <w:r>
        <w:rPr>
          <w:rFonts w:hint="eastAsia" w:ascii="仿宋_GB2312" w:hAnsi="宋体" w:eastAsia="仿宋_GB2312" w:cs="宋体"/>
          <w:szCs w:val="24"/>
        </w:rPr>
        <w:t>发包人：杭州萧山国际机场有限公司</w:t>
      </w:r>
    </w:p>
    <w:p>
      <w:pPr>
        <w:rPr>
          <w:rFonts w:eastAsia="仿宋_GB2312"/>
        </w:rPr>
      </w:pPr>
      <w:r>
        <w:rPr>
          <w:rFonts w:hint="eastAsia" w:ascii="仿宋_GB2312" w:hAnsi="宋体" w:eastAsia="仿宋_GB2312" w:cs="宋体"/>
          <w:sz w:val="24"/>
          <w:szCs w:val="24"/>
        </w:rPr>
        <w:t>承包人：</w:t>
      </w:r>
    </w:p>
    <w:p>
      <w:pPr>
        <w:pStyle w:val="82"/>
        <w:adjustRightInd w:val="0"/>
        <w:snapToGrid w:val="0"/>
        <w:ind w:firstLine="0" w:firstLineChars="0"/>
        <w:rPr>
          <w:rFonts w:ascii="仿宋_GB2312" w:hAnsi="宋体" w:eastAsia="仿宋_GB2312" w:cs="宋体"/>
          <w:szCs w:val="24"/>
        </w:rPr>
      </w:pPr>
      <w:r>
        <w:rPr>
          <w:rFonts w:hint="eastAsia" w:ascii="仿宋_GB2312" w:hAnsi="宋体" w:eastAsia="仿宋_GB2312" w:cs="宋体"/>
          <w:szCs w:val="24"/>
        </w:rPr>
        <w:t>为了保护公民人身和国家财产安全，保障机场安全、有序运行和工程施工安全，保持良好的施工、生活秩序和饮食、环境卫生，维护双方的合法利益，明确双方责任，确保杭州萧山国际机场工程建设的顺利进行。根据国家现行的有关法律、法规和安全生产规范、规程及标准，经双方协商，签订本《安全文明施工协议书》。</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一、发包人对承包人实行安全目标管理，安全目标的具体内容是：</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1、无责任死亡事故和群伤事件。</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2、无重大经济责任事故。</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3、无空防安全事故。</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4、无影响机场运行的不安全事件。</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5、无七类重大刑事案件（杀人、绑架、强奸、放火、爆炸、劫持、故意伤害致死）及其它严重、恶性案件。</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6、无因未足额、及时发放工资发生劳资纠纷。</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7、无集体食物中毒事件。</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8、无计划外生育。</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9、无因上述原因引发无序维权事件。</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上述情况的认定按国家和行业的有关规定和标准执行。</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二、发包人的权利和义务</w:t>
      </w:r>
    </w:p>
    <w:p>
      <w:pPr>
        <w:pStyle w:val="82"/>
        <w:adjustRightInd w:val="0"/>
        <w:snapToGrid w:val="0"/>
        <w:ind w:firstLineChars="0"/>
        <w:rPr>
          <w:rFonts w:ascii="仿宋_GB2312" w:hAnsi="宋体" w:eastAsia="仿宋_GB2312" w:cs="宋体"/>
          <w:szCs w:val="24"/>
        </w:rPr>
      </w:pPr>
      <w:r>
        <w:rPr>
          <w:rFonts w:hint="eastAsia" w:ascii="仿宋_GB2312" w:hAnsi="宋体" w:eastAsia="仿宋_GB2312" w:cs="宋体"/>
          <w:szCs w:val="24"/>
        </w:rPr>
        <w:t>1、发包人有权对承包人执行国家和行业法律、法规、规章和技术标准以及履行工程合同和本协议书情况进行监督、检查和考核，有权监督承包人消除不安全隐患，承包人懈怠或拒绝本协议条款组织安全文明施工的，经发包人书面通知未按时限和要求整改的，发包人有权对违反协议行为进行经济处罚或责令承包人停工整改直至终止合同。</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2、发包人联系和协调机场公安机关，督促施工单位按有关规定申报暂住登记和申领《居住证》，并协助承包人联系机场公安局商定有关工地安全保卫事宜。</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3、发包人利用施工例会等定期分析和掌握工程的治安情况，通报当前治安形势，交流工作经验，协助处理相关问题。</w:t>
      </w:r>
    </w:p>
    <w:p>
      <w:pPr>
        <w:pStyle w:val="82"/>
        <w:adjustRightInd w:val="0"/>
        <w:snapToGrid w:val="0"/>
        <w:ind w:firstLineChars="0"/>
        <w:rPr>
          <w:rFonts w:ascii="仿宋_GB2312" w:hAnsi="宋体" w:eastAsia="仿宋_GB2312" w:cs="宋体"/>
          <w:szCs w:val="24"/>
        </w:rPr>
      </w:pPr>
      <w:r>
        <w:rPr>
          <w:rFonts w:hint="eastAsia" w:ascii="仿宋_GB2312" w:hAnsi="宋体" w:eastAsia="仿宋_GB2312" w:cs="宋体"/>
          <w:szCs w:val="24"/>
        </w:rPr>
        <w:t>4、承包人未按要求配备安全设施、设备、器材，未在限定期限内整改的，发包人有权直接购置并配足，另增加20%的管理费，费用由承包人承担。</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5、依据民航行业和标化工地要求，工地及临舍实施封闭管理，进出工地的人员和车辆实行通行证管理制度，发包人协助承包人及时办理相关人员和车辆的施工通行证件。发包人组织承包人项目部管理人员、班组长参加专门的安全教育培训和考试（主要是机场运行、空防、不停航施工等方面安全知识），承包人应按行业规范对施工人员进行安全教育培训，承包人不履行安全教育培训的，发包人可强制组织有偿培训及其它强制措施。</w:t>
      </w:r>
    </w:p>
    <w:p>
      <w:pPr>
        <w:pStyle w:val="82"/>
        <w:adjustRightInd w:val="0"/>
        <w:snapToGrid w:val="0"/>
        <w:ind w:firstLineChars="0"/>
        <w:rPr>
          <w:rFonts w:ascii="仿宋_GB2312" w:hAnsi="宋体" w:eastAsia="仿宋_GB2312" w:cs="宋体"/>
          <w:szCs w:val="24"/>
        </w:rPr>
      </w:pPr>
      <w:r>
        <w:rPr>
          <w:rFonts w:hint="eastAsia" w:ascii="仿宋_GB2312" w:hAnsi="宋体" w:eastAsia="仿宋_GB2312" w:cs="宋体"/>
          <w:szCs w:val="24"/>
        </w:rPr>
        <w:t>6、发包人建立由监理、施工、设计单位为成员的安全管理网络，组织、协调安全管理工作，审核承包人及相关管理人员、特种作业人员的资质，督查承包人开展安全风险识别和评估，视情审查相应的安全技术措施。</w:t>
      </w:r>
    </w:p>
    <w:p>
      <w:pPr>
        <w:pStyle w:val="82"/>
        <w:adjustRightInd w:val="0"/>
        <w:snapToGrid w:val="0"/>
        <w:ind w:firstLineChars="0"/>
        <w:rPr>
          <w:rFonts w:ascii="仿宋_GB2312" w:hAnsi="宋体" w:eastAsia="仿宋_GB2312" w:cs="宋体"/>
          <w:szCs w:val="24"/>
        </w:rPr>
      </w:pPr>
      <w:r>
        <w:rPr>
          <w:rFonts w:hint="eastAsia" w:ascii="仿宋_GB2312" w:hAnsi="宋体" w:eastAsia="仿宋_GB2312" w:cs="宋体"/>
          <w:szCs w:val="24"/>
        </w:rPr>
        <w:t>7、发包人对承包人的临时设施（包括临时宿舍）进行统一规划和监管，完成后临时设施场地应按发包人要求恢复原状。</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8、发包人应当向承包人提供施工现场及毗邻区域内供水、排水、供电、供热、通信、广播电视等地下管线资料，气象和水文观测资料，相邻建筑物和构筑物、地下工程的有关资料，并保证资料的真实、准确、完整。承包人因建设工程需要，向发包人查询前款规定的资料时，发包人应当及时提供。</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9、发包人不得对承包人提出不符合建设工程安全生产法律、法规和强制性标准的要求，不得要求承包人购买、租赁、使用不符合安全施工要求的安全防护用具、机械设备、施工机具及配件、消防设施和器材等，不得随意压缩合同约定的工期。</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10、发包人应按合同约定如期支付承包人工程款。</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三、承包人的安全、文明权利和义务</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遵守《中华人民共和国安全生产法》、《中华人民共和国建筑法》、《建设工程安全管理条例》、《浙江省建筑业管理条例》、《建筑施工安全检查标准》、《浙江省建筑安全文明施工标准化工地管理办法》和《杭州市建设工地职工宿舍安全使用与管理》以及其他安全文明的法律、法规，遵守机场有关安全管理的规章制度。</w:t>
      </w:r>
    </w:p>
    <w:p>
      <w:pPr>
        <w:pStyle w:val="82"/>
        <w:adjustRightInd w:val="0"/>
        <w:snapToGrid w:val="0"/>
        <w:ind w:firstLine="360" w:firstLineChars="150"/>
        <w:rPr>
          <w:rFonts w:ascii="仿宋_GB2312" w:hAnsi="宋体" w:eastAsia="仿宋_GB2312" w:cs="宋体"/>
          <w:szCs w:val="24"/>
        </w:rPr>
      </w:pPr>
      <w:r>
        <w:rPr>
          <w:rFonts w:hint="eastAsia" w:ascii="仿宋_GB2312" w:hAnsi="宋体" w:eastAsia="仿宋_GB2312" w:cs="宋体"/>
          <w:szCs w:val="24"/>
        </w:rPr>
        <w:t>（一）安全文明施工管理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1、落实施工安全责任，所涉工程依法实行总分包制的，总包单位应对施工安全负总责，以安全责任书的方式确定各分包单位的安全责任，承包人应层层签订安全责任书。</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2、承包人应开展风险管理，结合风险评估结果有针对性地制定和落实施工安全技术措施。</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承包人安全管理规章制度、操作规程、安全技术措施和专项施工方案以及项目经理、专职安全员、特种行业作业人员及其资格资质须向发包人备案，并持证上岗。对下列危险性较大的部分分项工程应当制定专项施工方案，按国家法律法规进行专家验证，且须经承包人技术负责人、总监理工程师审核签字后方可实施，并由专职安全生产管理人员进行现场监督：</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3.1 基坑与降水工程；</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3.2 土方开挖工程；</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3.3 模板工程；</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3.4 起重吊装工程；</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3.5 脚手架工程；</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3.6 焊接、切割、爆破、拆除作业工程；</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3.7国务院建设行政主管部门或其它有关部门规定的其它危险性较大的工程。</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4、承包人不得在机场和机场净空保护区范围内施放烟花、爆竹、气球等升空物体；建筑生活垃圾定点集中堆放，及时清运，不得随意焚烧垃圾等物品制造烟雾；不得饲养动物；不得随意丢弃飘浮物。</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4、承包人必须按照发包人的规划要求搭设临时设施，并经发包人验收合格方准使用。但发包人的验收并不免除承包人对其搭设的临时设施的安全承担全部责任。</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6、施工现场实行封闭式管理，沿工地四周连续设置围档，大门应设专职保安实施不间断的监管，并设监控设施。围档材料要求坚固、稳定、统一、整洁、美观，宜采用硬质材料。围挡设置高度不低于2米，施工区域与机场控制区间设置的硬质围档，高度应不低于2.5米，并加装防攀爬设施。</w:t>
      </w:r>
    </w:p>
    <w:p>
      <w:pPr>
        <w:pStyle w:val="82"/>
        <w:adjustRightInd w:val="0"/>
        <w:snapToGrid w:val="0"/>
        <w:spacing w:line="400" w:lineRule="exact"/>
        <w:ind w:firstLine="480"/>
        <w:rPr>
          <w:rFonts w:ascii="仿宋_GB2312" w:hAnsi="宋体" w:eastAsia="仿宋_GB2312" w:cs="宋体"/>
          <w:szCs w:val="24"/>
        </w:rPr>
      </w:pPr>
      <w:r>
        <w:rPr>
          <w:rFonts w:hint="eastAsia" w:ascii="仿宋_GB2312" w:hAnsi="宋体" w:eastAsia="仿宋_GB2312" w:cs="宋体"/>
          <w:szCs w:val="24"/>
        </w:rPr>
        <w:t>7、承包人应做好装修施工阶段成品保护工作，按照“谁主管、谁负责；谁使用、谁负责；谁管理、谁负责”的原则，制定成品保护管理办法，层层签订成品保护责任书，真正落实成品保护现场管理的各项措施。</w:t>
      </w:r>
    </w:p>
    <w:p>
      <w:pPr>
        <w:pStyle w:val="82"/>
        <w:adjustRightInd w:val="0"/>
        <w:snapToGrid w:val="0"/>
        <w:ind w:firstLine="360" w:firstLineChars="150"/>
        <w:rPr>
          <w:rFonts w:ascii="仿宋_GB2312" w:hAnsi="宋体" w:eastAsia="仿宋_GB2312" w:cs="宋体"/>
          <w:szCs w:val="24"/>
        </w:rPr>
      </w:pPr>
      <w:r>
        <w:rPr>
          <w:rFonts w:hint="eastAsia" w:ascii="仿宋_GB2312" w:hAnsi="宋体" w:eastAsia="仿宋_GB2312" w:cs="宋体"/>
          <w:szCs w:val="24"/>
        </w:rPr>
        <w:t>8、为保障民工合法权益，承包人还应承担以下义务：</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8.1承包人应当在民工上岗作业之前，与下属劳务单位（或施工班组）共同对每位民工进行安全施工、规范用电、消防安全、文明行车、遵纪守法等方面的知识培训，特殊岗位必须进行资格审查，建立相关的管理制度及工作应急预案，对民工的工作、生活进行严格管理，并提供必要的工作保障和生活服务。</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8.2承包人应当监管下属劳务单位在招录民工时必须与民工班组签订详细书面合同（无下属劳务单位的，承包人直接与下属施工班组签订），就具体的工种、工价、工作量、出勤、签工、质量控制、工期、验收、结算方式、何时支付工资、付款方式等要素进行约定，并且与每位民工签订书面劳动合同。</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8.3承包人与下属劳务单位（或施工班组）双方就单价、工程量、造价、质量控制、结算方式、工期、验收、何时付款、付款方式等事项进行约定，临时增加的工程量必须以承包人出具的施工联系单作为依据，双方及时签字确认。</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8.4承包人要按合同约定如期支付下属劳务单位（或施工班组）工程进度款，优先支付民工工资款，承包人与下属劳务单位（或施工班组）双方就民工工资款专设监管账户，未经承包人同意下属劳务单位（或施工班组）无法出账，做到专款专用。承包人对下属劳务单位（或施工班组）发放民工工资应当派员进行指导、监督，确保及时足额发放。</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8.5承包人支付下属劳务单位（或施工班组）进度款之前，有义务查阅下属劳务单位（或施工班组）前期民工工资足额发放的书面材料。</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8.6承包人应制定相关约束性制度，落实措施，预防、杜绝下属劳务单位（或施工班组）无序维权事件发生。</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8.7若民工或下属劳务单位（或施工班组）维权，承包人应负相应举证义务。</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8.8一旦发生民工无序维权，承包人主要领导应当及时到场，督促下属劳务单位（或施工班组）负责人劝离民工，并积极配合发包人相关部门协调处置。</w:t>
      </w:r>
    </w:p>
    <w:p>
      <w:pPr>
        <w:pStyle w:val="151"/>
        <w:snapToGrid w:val="0"/>
        <w:spacing w:line="360" w:lineRule="exact"/>
        <w:ind w:firstLine="360" w:firstLineChars="150"/>
        <w:rPr>
          <w:rFonts w:ascii="仿宋_GB2312" w:hAnsi="宋体" w:eastAsia="仿宋_GB2312" w:cs="宋体"/>
          <w:sz w:val="24"/>
          <w:szCs w:val="24"/>
        </w:rPr>
      </w:pPr>
      <w:r>
        <w:rPr>
          <w:rFonts w:hint="eastAsia" w:ascii="仿宋_GB2312" w:hAnsi="宋体" w:eastAsia="仿宋_GB2312" w:cs="宋体"/>
          <w:sz w:val="24"/>
          <w:szCs w:val="24"/>
        </w:rPr>
        <w:t>发包人对承包人的上述工作有随时监督检查的权利，承包人应积极配合发包人的检查。</w:t>
      </w:r>
    </w:p>
    <w:p>
      <w:pPr>
        <w:pStyle w:val="82"/>
        <w:adjustRightInd w:val="0"/>
        <w:snapToGrid w:val="0"/>
        <w:ind w:firstLine="360" w:firstLineChars="150"/>
        <w:rPr>
          <w:rFonts w:ascii="仿宋_GB2312" w:hAnsi="宋体" w:eastAsia="仿宋_GB2312" w:cs="宋体"/>
          <w:szCs w:val="24"/>
        </w:rPr>
      </w:pPr>
      <w:r>
        <w:rPr>
          <w:rFonts w:hint="eastAsia" w:ascii="仿宋_GB2312" w:hAnsi="宋体" w:eastAsia="仿宋_GB2312" w:cs="宋体"/>
          <w:szCs w:val="24"/>
        </w:rPr>
        <w:t>（二）空防安全管理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1、必须严格遵守民用航空安全、空防管理的法律、法规和机场安全管理的各项规章制度。属于机场不停航施工项目或需进入机场控制区施工的项目，其人员和车辆实行机场控制区通行证管理制度。</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2、通行证的办理遵从《杭州萧山国际机场控制区通行证管理办法》规定。在申请办理人员通行证时应当提供真实有效的身份证明、证照及其它相关资料，并进行背景调查，防止有违法、犯罪记录的人员进入施工队伍；在申请办理车辆通行证时应当提供车辆、设备的有效证件和检验记录，并对其真实性负责。上述通行证由承包人提出申请，报发包人备案，办证费用由承包人自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3、进入机场控制区施工的人员和车辆需由发包人派员负责引领并主动接受机场管理人员的安全检查，服从机场相关职能部门的监管，无通行证者一律不得进入。</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应当加强通行证的管理，建立管理台帐。通行证仅限持证本人、本车使用，严禁转借、涂改和冒用；持证人员发生调离、辞退、开除等情况的，应及时收回通行证交由发包人报机场公安机关注销；如发生人员和车辆通行证遗失的，应在第一时间向发包人报告；持证车辆重新调配或报废的，应及时将通行证交由发包人申报注销。上述环节因承包人管理不力发生问题的，承包人应承担由此引发的一切后果和责任。</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5、距运行中的控制区围界5米内严禁堆放材料、设施和停放车辆、机具。临近控制区一侧施工围栏必须做到符合高度要求，牢固可靠。施工期间，属于机场不停航施工或需进入机场控制区施工的，安全员必须坚守岗位并加强巡查和管理，同时加强对施工人员的空防安全教育，杜绝施工人员攀爬、翻越、跨越隔离围栏及其他安全防护设施和向控制区内传递物品等影响机场运行、空防安全的事件。</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（三）不停航施工安全管理（仅指进入控制区从事不停航施工项目）</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不停航施工是指在机场不关闭并按照航班计划接受和放行航空器的情况下，在飞行区、部分航站区内实施工程作业。不停航施工的项目单位，必须严格遵守《民用机场运行安全管理规定》（191号令），严格按照发包人制定的有关《不停航施工组织管理方案》进行施工，主要包括但不限于以下内容：</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1.1、在机场有飞行任务期间，禁止在跑道端之外300米以内、跑道中心线两侧60米以内的区域进行任何施工作业。如承包人需在跑道端300米以外、跑道中心线两侧60米以外区域施工的，机具、车辆的高度不得穿透障碍物限制面。除特别批准外，在滑行道、机坪道面边线以外施工的，应当与道（坪）边线保持7.5米加上本机场使用最大机型翼展宽度0.5倍的距离。</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1.2、实行不停航施工的区域，开挖的明沟和施工材料堆放处，必须根据发包人要求用桔黄色小旗标识以示警告；在低能见度的白天和夜间，应当按照发包人要求加设红色恒定灯光；材料和临时堆放的施工垃圾应当采取防止被风或飞机尾流吹散的措施。</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1.3、施工机具须停放在指定安全区域内。机场开放运行期间，必须严格控制施工机械的活动范围，杜绝出现机具、车辆侵入飞行活动区或超越机场净空限制面等情况。</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（四）社会治安管理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遵守国家治安管理法律法规和发包人制定的各项社会治安综合治理管理规定，建立社会治安综合治理网络并纳入发包人社会治安综合治理网络体系，配备专职（兼职）综治联络员，负责治安、交通、消防、帮教、计生等综合治理工作，建立和健全群防群治力量及各项治安保卫制度，治安联络员名单和有关制度要报发包人和机场公安机关治安管理部门备案。</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2、进出口大门应设立门卫，人员和车辆凭发包人制发的施工通行证进出，并接受发包人安保人员或机场公安管理人员查验。</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3、做好内部的治安防范工作，对重要部位和物资、设备，要落实人防、物防和技防的措施，积极配合公安机关组织的治安联防活动。</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4、加强对施工人员的遵纪守法教育，预防“黄、毒、赌”、斗殴、偷窃等违法违纪行为的发生，主动接受发包人和机场公安机关的指导、检查、监督、考核。</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5、认真排查、调处各类矛盾，及时消除不稳定因素，杜绝各类社会矛盾引发的群体性事件的发生。</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6、制定包括重大安全生产事故、重大道路交通事故、重大消防安全事故、重大刑事案件以及群体性事件等突发性事件在内的应急处置预案，一旦发生，及时报告发包人和上级主管部门并做好处置工作。</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7、员工宿舍必须定人定位，不得男女混住，不准留宿身份不明的人员，留客住宿必须经项目部负责人同意，并登记备查，保证生产、生活区的安全。</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8、加强对施工人员的管理，外来人员拟居住30天以下的，应及时到机场公安机关申报暂住登记；拟居住30天以上的年满16周岁人员，应在10天内到机场公安机关申领《居住证》。</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9、负责工程建设期间施工队伍中的计划生育工作，做好孕情监测，确保无计划外生育的情况发生。</w:t>
      </w:r>
    </w:p>
    <w:p>
      <w:pPr>
        <w:pStyle w:val="82"/>
        <w:adjustRightInd w:val="0"/>
        <w:snapToGrid w:val="0"/>
        <w:ind w:firstLine="360" w:firstLineChars="150"/>
        <w:rPr>
          <w:rFonts w:ascii="仿宋_GB2312" w:hAnsi="宋体" w:eastAsia="仿宋_GB2312" w:cs="宋体"/>
          <w:szCs w:val="24"/>
        </w:rPr>
      </w:pPr>
      <w:r>
        <w:rPr>
          <w:rFonts w:hint="eastAsia" w:ascii="仿宋_GB2312" w:hAnsi="宋体" w:eastAsia="仿宋_GB2312" w:cs="宋体"/>
          <w:szCs w:val="24"/>
        </w:rPr>
        <w:t>（五）消防安全管理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1、遵守国家消防法律法规，建立和健全消防管理规章制度，明确消防安全责任人，健全消防安全网络（配备专职或兼职消防员），建立消防应急队伍，并报发包人和机场公安局消防部门备案。</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2、制定用火、用电、使用易燃易爆及危险化学物品等各项消防安全操作规程，设置消防通道、消防水源、配备必须的消防设备和灭火器材，并在重点场所重点部位设置消防警示标志。</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3、施工中使用明火，使用电、气进行焊接和切割作业，须经机场公安消防管理部门审查批准，并在施工现场设置专门的防火监护人、接火盆、配足有效的灭火器材、清理附近的可燃物等。</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4、对施工人员进行消防安全教育，使其熟悉本岗位防火措施、遇险报警、初期扑救及自救逃生的知识和技能。</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5、自行搭建临时用房应符合防火设计规范，建立、健全员工宿舍消防安全管理规章制度，加强员工宿舍消防安全、用电安全管理，严禁不按规定用火和私拉乱接电线、严禁使用大功率电器。</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（六）交通安全管理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1、加强对下属员工、驾驶人员、承运单位的道路交通安全法律法规宣传教育，车辆进出机场和施工场地均应服从交警及其他交通管理人员的指挥和管理。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2、与承运单位或驾驶员签订《交通安全责任书》，并实行交通安全检查考核制度，配备交通安全联络员，对运输车辆驾驶员和施工人员进行交通安全教育并做好教育台帐，减少或控制交通违法行为的发生。</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3、确保各类运输车辆技术状况良好，不得使用假牌、假证、无号牌、无行驶证、无保险和带故障、检验不合格的运输车辆。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4、所有运输车辆均应办理施工通行证并按指定路线和限定速度行驶，不得违反车辆装载规定，严禁沿路抛洒装载物。进入控制区施工车辆应安装并开启黄色警示灯。</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5、在施工现场内及进、出口处设置必要的交通标志，预防交通事故的发生。</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6、占用、挖掘道路，跨越道路架设、铺设管线以及大型机械进出机场须提前与发包人协商，征得发包人和机场公安局交警队同意，并采取防护措施和设置明显警示标志方可实施。</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四、违约责任</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1、本《安全文明施工协议书》是工程施工合同的重要组成部分，协议双方必须严格遵守和履行，如有违反，发包人可以追究承包人责任；承包人违约情况严重，或是社会影响恶劣，又或是造成发包人或第三方重大损失，发包人可解除施工合同且不须向承包人承担任何补偿、赔偿的责任。</w:t>
      </w:r>
    </w:p>
    <w:p>
      <w:pPr>
        <w:pStyle w:val="82"/>
        <w:spacing w:line="400" w:lineRule="exact"/>
        <w:ind w:firstLine="480"/>
        <w:rPr>
          <w:rFonts w:ascii="仿宋_GB2312" w:hAnsi="宋体" w:eastAsia="仿宋_GB2312" w:cs="宋体"/>
          <w:szCs w:val="24"/>
        </w:rPr>
      </w:pPr>
      <w:r>
        <w:rPr>
          <w:rFonts w:hint="eastAsia" w:ascii="仿宋_GB2312" w:hAnsi="宋体" w:eastAsia="仿宋_GB2312" w:cs="宋体"/>
          <w:szCs w:val="24"/>
        </w:rPr>
        <w:t>2、根据合同规定，承包人的履约保证金中20%为履行本协议的保证金。承包人在生产施工中一旦发生责任事故造成发包人或第三方损害，无正当理由未予赔偿的，发包人有权直接从履约保证金中扣除或支付赔偿费用，如发包人的损失超过该部分保证金的，发包人有权扣除全部履约保证金，并向承包人追偿实际损失。承包人未实现本协议安全管理目标的，视违反的程度以及实际损失情况扣除本协议部分或全部履约保证金；违反上述安全文明施工管理、空防安全管理、不停航施工安全管理、社会治安管理、消防安全管理或交通安全管理条款的，发包人将严格按照相关规定进行扣分和处罚。</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3、承包人未尽本协议第27条应尽义务，致使民工或下属劳务单位（或施工班组）无序维权事件发生的，发包人可按争议金额暂扣承包人部分工程款，作为该事件的应急使用款。最终根据该争议仲裁、判决或协商结果，从承包人工程款中直接扣除。</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承包人未尽本协议第27条应尽义务，致使民工采取堵路、封门、冲关、静坐、上访、私贴标语、殴打他人、损毁财物、扰乱秩序、绝食、自焚、自杀等方式维权的，承包人应当承担全部经济损失及赔偿责任，给发包人造成损失的，除赔偿发包人的全部损失外，承包人应对发包人承担违约金：每发生事件一次支付违约金人民币一万元，在事件中每受伤一人支付违约金人民币五至十万元，每死亡一人支付违约金人民币一百万元，该笔款项由发包人从工程款中直接扣除。承包人构成本项违约的事实，以公安部门的接处警记录或实际损害结果的发生为准。</w:t>
      </w: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4、本协议所述的扣罚所涉款项属惩罚性违约金性质，承包人确认该等扣罚标准合理，承包人同意受发包人依据本协议书所制定的具体扣罚标准的约束，承包人确认其已明白无误的了解该等具体的扣罚标准，承包人承担了该等违约金并不免除其应按合同约定予以全面履行的义务和责任。</w:t>
      </w:r>
    </w:p>
    <w:p>
      <w:pPr>
        <w:ind w:firstLine="480" w:firstLineChars="200"/>
      </w:pPr>
      <w:r>
        <w:rPr>
          <w:rFonts w:hint="eastAsia" w:ascii="仿宋_GB2312" w:hAnsi="宋体" w:eastAsia="仿宋_GB2312" w:cs="宋体"/>
          <w:sz w:val="24"/>
          <w:szCs w:val="24"/>
        </w:rPr>
        <w:t>五、本协议书附于《</w:t>
      </w:r>
      <w:r>
        <w:rPr>
          <w:rFonts w:hint="eastAsia" w:ascii="仿宋_GB2312" w:hAnsi="宋体" w:eastAsia="仿宋_GB2312" w:cs="宋体"/>
          <w:sz w:val="24"/>
          <w:szCs w:val="24"/>
          <w:u w:val="single"/>
        </w:rPr>
        <w:t>中央空调系统变频器维修项目</w:t>
      </w:r>
      <w:r>
        <w:rPr>
          <w:rFonts w:hint="eastAsia" w:ascii="仿宋_GB2312" w:hAnsi="宋体" w:eastAsia="仿宋_GB2312" w:cs="宋体"/>
          <w:sz w:val="24"/>
          <w:szCs w:val="24"/>
        </w:rPr>
        <w:t>》正副本后，本协议书自发包人、承包人共同签字或盖章后生效。</w:t>
      </w:r>
    </w:p>
    <w:p>
      <w:pPr>
        <w:pStyle w:val="82"/>
        <w:adjustRightInd w:val="0"/>
        <w:snapToGrid w:val="0"/>
        <w:ind w:firstLine="0" w:firstLineChars="0"/>
        <w:rPr>
          <w:rFonts w:ascii="仿宋_GB2312" w:hAnsi="宋体" w:eastAsia="仿宋_GB2312" w:cs="宋体"/>
          <w:szCs w:val="24"/>
        </w:rPr>
      </w:pPr>
    </w:p>
    <w:p>
      <w:pPr>
        <w:pStyle w:val="82"/>
        <w:adjustRightInd w:val="0"/>
        <w:snapToGrid w:val="0"/>
        <w:ind w:firstLine="0" w:firstLineChars="0"/>
        <w:rPr>
          <w:rFonts w:ascii="仿宋_GB2312" w:hAnsi="宋体" w:eastAsia="仿宋_GB2312" w:cs="宋体"/>
          <w:szCs w:val="24"/>
        </w:rPr>
      </w:pPr>
    </w:p>
    <w:p>
      <w:pPr>
        <w:pStyle w:val="82"/>
        <w:adjustRightInd w:val="0"/>
        <w:snapToGrid w:val="0"/>
        <w:ind w:firstLine="0" w:firstLineChars="0"/>
        <w:rPr>
          <w:rFonts w:ascii="仿宋_GB2312" w:hAnsi="宋体" w:eastAsia="仿宋_GB2312" w:cs="宋体"/>
          <w:szCs w:val="24"/>
        </w:rPr>
      </w:pPr>
    </w:p>
    <w:p>
      <w:pPr>
        <w:pStyle w:val="82"/>
        <w:adjustRightInd w:val="0"/>
        <w:snapToGrid w:val="0"/>
        <w:ind w:firstLine="480"/>
        <w:rPr>
          <w:rFonts w:ascii="仿宋_GB2312" w:hAnsi="宋体" w:eastAsia="仿宋_GB2312" w:cs="宋体"/>
          <w:szCs w:val="24"/>
        </w:rPr>
      </w:pPr>
      <w:r>
        <w:rPr>
          <w:rFonts w:hint="eastAsia" w:ascii="仿宋_GB2312" w:hAnsi="宋体" w:eastAsia="仿宋_GB2312" w:cs="宋体"/>
          <w:szCs w:val="24"/>
        </w:rPr>
        <w:t>发包人：                                     承包人：</w:t>
      </w: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pPr>
    </w:p>
    <w:p>
      <w:pPr>
        <w:pStyle w:val="18"/>
        <w:spacing w:line="360" w:lineRule="exact"/>
        <w:ind w:firstLine="420"/>
        <w:rPr>
          <w:rFonts w:ascii="Calibri" w:hAnsi="Calibri" w:cs="Calibri"/>
          <w:bCs/>
          <w:szCs w:val="32"/>
        </w:rPr>
        <w:sectPr>
          <w:headerReference r:id="rId7" w:type="first"/>
          <w:pgSz w:w="11906" w:h="16838"/>
          <w:pgMar w:top="1134" w:right="1247" w:bottom="1134" w:left="1247" w:header="851" w:footer="1134" w:gutter="0"/>
          <w:pgNumType w:fmt="numberInDash"/>
          <w:cols w:space="720" w:num="1"/>
          <w:docGrid w:linePitch="312" w:charSpace="0"/>
        </w:sectPr>
      </w:pPr>
    </w:p>
    <w:p>
      <w:pPr>
        <w:pStyle w:val="2"/>
        <w:spacing w:before="0" w:after="0" w:line="360" w:lineRule="auto"/>
        <w:jc w:val="center"/>
        <w:rPr>
          <w:rFonts w:ascii="Calibri" w:hAnsi="Calibri" w:eastAsia="黑体" w:cs="Calibri"/>
          <w:kern w:val="0"/>
          <w:sz w:val="32"/>
        </w:rPr>
      </w:pPr>
      <w:bookmarkStart w:id="116" w:name="_Toc448002987"/>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116"/>
    </w:p>
    <w:p>
      <w:pPr>
        <w:snapToGrid w:val="0"/>
        <w:ind w:firstLine="420" w:firstLineChars="200"/>
        <w:rPr>
          <w:rFonts w:ascii="宋体" w:hAnsi="宋体"/>
          <w:kern w:val="0"/>
        </w:rPr>
      </w:pPr>
      <w:r>
        <w:rPr>
          <w:rFonts w:ascii="宋体" w:hAnsi="宋体"/>
        </w:rPr>
        <w:t>根据《中华人民共和国招标投标法》、《中华人民共和国招标投标法实施条例》、《浙江省招标投标条例》、《评标委员会和评标办法暂行规定》（国家发展计划委员会第12号）、《浙江省综合性评标专家库管理办法实施细则》、《浙江省人民政府关于进一步严格规范工程建设项目招标投标活动的意见》(浙政发〔2014〕39号)等有关规定，制定本办法。</w:t>
      </w:r>
    </w:p>
    <w:p>
      <w:pPr>
        <w:snapToGrid w:val="0"/>
        <w:ind w:firstLine="413" w:firstLineChars="196"/>
        <w:rPr>
          <w:rFonts w:ascii="宋体" w:hAnsi="宋体"/>
          <w:b/>
          <w:kern w:val="0"/>
        </w:rPr>
      </w:pPr>
      <w:r>
        <w:rPr>
          <w:rFonts w:ascii="宋体" w:hAnsi="宋体"/>
          <w:b/>
          <w:kern w:val="0"/>
        </w:rPr>
        <w:t>一、评标原则</w:t>
      </w:r>
    </w:p>
    <w:p>
      <w:pPr>
        <w:snapToGrid w:val="0"/>
        <w:ind w:firstLine="473" w:firstLineChars="225"/>
        <w:rPr>
          <w:rFonts w:ascii="宋体" w:hAnsi="宋体"/>
          <w:kern w:val="0"/>
        </w:rPr>
      </w:pPr>
      <w:r>
        <w:rPr>
          <w:rFonts w:hint="eastAsia" w:ascii="宋体" w:hAnsi="宋体"/>
          <w:kern w:val="0"/>
        </w:rPr>
        <w:t>本次评标采用</w:t>
      </w:r>
      <w:r>
        <w:rPr>
          <w:rFonts w:hint="eastAsia" w:ascii="宋体" w:hAnsi="宋体"/>
          <w:b/>
          <w:kern w:val="0"/>
        </w:rPr>
        <w:t>经评审的最低投标价法</w:t>
      </w:r>
      <w:r>
        <w:rPr>
          <w:rFonts w:hint="eastAsia" w:ascii="宋体" w:hAnsi="宋体"/>
          <w:kern w:val="0"/>
        </w:rPr>
        <w:t>，</w:t>
      </w:r>
      <w:r>
        <w:rPr>
          <w:rFonts w:ascii="宋体" w:hAnsi="宋体"/>
          <w:kern w:val="0"/>
        </w:rPr>
        <w:t>评标应遵循公平、公正、科学、择优的原则。</w:t>
      </w:r>
    </w:p>
    <w:p>
      <w:pPr>
        <w:snapToGrid w:val="0"/>
        <w:ind w:firstLine="413" w:firstLineChars="196"/>
        <w:rPr>
          <w:rFonts w:ascii="宋体" w:hAnsi="宋体"/>
          <w:b/>
          <w:kern w:val="0"/>
        </w:rPr>
      </w:pPr>
      <w:r>
        <w:rPr>
          <w:rFonts w:ascii="宋体" w:hAnsi="宋体"/>
          <w:b/>
          <w:kern w:val="0"/>
        </w:rPr>
        <w:t>二、评标组织</w:t>
      </w:r>
    </w:p>
    <w:p>
      <w:pPr>
        <w:adjustRightInd w:val="0"/>
        <w:snapToGrid w:val="0"/>
        <w:ind w:firstLine="420" w:firstLineChars="200"/>
        <w:rPr>
          <w:rFonts w:ascii="宋体" w:hAnsi="宋体"/>
        </w:rPr>
      </w:pPr>
      <w:r>
        <w:rPr>
          <w:rFonts w:hint="eastAsia" w:ascii="宋体" w:hAnsi="宋体"/>
        </w:rPr>
        <w:t>评标工作由招标人依法组建的评标委员会负责。评标委员会成员为3人及以上单数，评标委员会由招标人自行组建。</w:t>
      </w:r>
    </w:p>
    <w:p>
      <w:pPr>
        <w:adjustRightInd w:val="0"/>
        <w:snapToGrid w:val="0"/>
        <w:ind w:firstLine="420" w:firstLineChars="200"/>
        <w:rPr>
          <w:rFonts w:ascii="宋体" w:hAnsi="宋体"/>
        </w:rPr>
      </w:pPr>
      <w:r>
        <w:rPr>
          <w:rFonts w:ascii="宋体" w:hAnsi="宋体"/>
        </w:rPr>
        <w:t>评标委员会应推举产生评标委员会负责人，评标委员会负责人负责组织评标、掌握评标进程、主持询标、编写评标报告等工作，评标委员会负责人与其他成员具有同等的权利。评标委员会成员对所提出的评审意见承担个人责任。</w:t>
      </w:r>
    </w:p>
    <w:p>
      <w:pPr>
        <w:adjustRightInd w:val="0"/>
        <w:snapToGrid w:val="0"/>
        <w:ind w:firstLine="420" w:firstLineChars="200"/>
        <w:rPr>
          <w:rFonts w:ascii="宋体" w:hAnsi="宋体"/>
        </w:rPr>
      </w:pPr>
      <w:r>
        <w:rPr>
          <w:rFonts w:ascii="宋体" w:hAnsi="宋体"/>
        </w:rPr>
        <w:t>评标委员会应当按照招标文件确定的评标标准和方法，客观、公正对投标文件进行评审和比较，招标文件没有规定的评标标准和方法不得作为评标的依据。</w:t>
      </w:r>
    </w:p>
    <w:p>
      <w:pPr>
        <w:adjustRightInd w:val="0"/>
        <w:snapToGrid w:val="0"/>
        <w:ind w:firstLine="420" w:firstLineChars="200"/>
        <w:rPr>
          <w:rFonts w:ascii="宋体" w:hAnsi="宋体"/>
        </w:rPr>
      </w:pPr>
      <w:r>
        <w:rPr>
          <w:rFonts w:ascii="宋体" w:hAnsi="宋体"/>
        </w:rPr>
        <w:t>评标委员会对投标文件作出的评审结论，应当符合有关法律、法规、规章和招标文件的规定。</w:t>
      </w:r>
    </w:p>
    <w:p>
      <w:pPr>
        <w:snapToGrid w:val="0"/>
        <w:ind w:firstLine="489" w:firstLineChars="232"/>
        <w:rPr>
          <w:rFonts w:ascii="宋体" w:hAnsi="宋体"/>
          <w:b/>
          <w:kern w:val="0"/>
        </w:rPr>
      </w:pPr>
      <w:r>
        <w:rPr>
          <w:rFonts w:ascii="宋体" w:hAnsi="宋体"/>
          <w:b/>
          <w:kern w:val="0"/>
        </w:rPr>
        <w:t>三、评标程序和内容</w:t>
      </w:r>
    </w:p>
    <w:p>
      <w:pPr>
        <w:adjustRightInd w:val="0"/>
        <w:snapToGrid w:val="0"/>
        <w:ind w:firstLine="420" w:firstLineChars="200"/>
        <w:rPr>
          <w:rFonts w:ascii="宋体" w:hAnsi="宋体"/>
        </w:rPr>
      </w:pPr>
      <w:r>
        <w:rPr>
          <w:rFonts w:ascii="宋体" w:hAnsi="宋体"/>
        </w:rPr>
        <w:t>（一）熟悉招标文件和评标办法；</w:t>
      </w:r>
    </w:p>
    <w:p>
      <w:pPr>
        <w:adjustRightInd w:val="0"/>
        <w:snapToGrid w:val="0"/>
        <w:ind w:firstLine="420" w:firstLineChars="200"/>
        <w:rPr>
          <w:rFonts w:ascii="宋体" w:hAnsi="宋体"/>
        </w:rPr>
      </w:pPr>
      <w:r>
        <w:rPr>
          <w:rFonts w:ascii="宋体" w:hAnsi="宋体"/>
        </w:rPr>
        <w:t>（二）投标文件的符合性评审；</w:t>
      </w:r>
    </w:p>
    <w:p>
      <w:pPr>
        <w:adjustRightInd w:val="0"/>
        <w:snapToGrid w:val="0"/>
        <w:ind w:firstLine="420" w:firstLineChars="200"/>
        <w:rPr>
          <w:rFonts w:ascii="宋体" w:hAnsi="宋体"/>
        </w:rPr>
      </w:pPr>
      <w:r>
        <w:rPr>
          <w:rFonts w:ascii="宋体" w:hAnsi="宋体"/>
        </w:rPr>
        <w:t>（三）投标文件的资信、业绩评审；</w:t>
      </w:r>
    </w:p>
    <w:p>
      <w:pPr>
        <w:adjustRightInd w:val="0"/>
        <w:snapToGrid w:val="0"/>
        <w:ind w:firstLine="420" w:firstLineChars="200"/>
        <w:rPr>
          <w:rFonts w:ascii="宋体" w:hAnsi="宋体"/>
        </w:rPr>
      </w:pPr>
      <w:r>
        <w:rPr>
          <w:rFonts w:ascii="宋体" w:hAnsi="宋体"/>
        </w:rPr>
        <w:t>（四）投标文件的</w:t>
      </w:r>
      <w:r>
        <w:rPr>
          <w:rFonts w:hint="eastAsia" w:ascii="宋体" w:hAnsi="宋体"/>
        </w:rPr>
        <w:t>技术标</w:t>
      </w:r>
      <w:r>
        <w:rPr>
          <w:rFonts w:ascii="宋体" w:hAnsi="宋体"/>
        </w:rPr>
        <w:t>评审；</w:t>
      </w:r>
    </w:p>
    <w:p>
      <w:pPr>
        <w:adjustRightInd w:val="0"/>
        <w:snapToGrid w:val="0"/>
        <w:ind w:firstLine="420" w:firstLineChars="200"/>
        <w:rPr>
          <w:rFonts w:ascii="宋体" w:hAnsi="宋体"/>
        </w:rPr>
      </w:pPr>
      <w:r>
        <w:rPr>
          <w:rFonts w:ascii="宋体" w:hAnsi="宋体"/>
        </w:rPr>
        <w:t>（五）投标文件的</w:t>
      </w:r>
      <w:r>
        <w:rPr>
          <w:rFonts w:hint="eastAsia" w:ascii="宋体" w:hAnsi="宋体"/>
        </w:rPr>
        <w:t>商务标</w:t>
      </w:r>
      <w:r>
        <w:rPr>
          <w:rFonts w:ascii="宋体" w:hAnsi="宋体"/>
        </w:rPr>
        <w:t>评审；</w:t>
      </w:r>
    </w:p>
    <w:p>
      <w:pPr>
        <w:adjustRightInd w:val="0"/>
        <w:snapToGrid w:val="0"/>
        <w:ind w:firstLine="420" w:firstLineChars="200"/>
        <w:rPr>
          <w:rFonts w:ascii="宋体" w:hAnsi="宋体"/>
        </w:rPr>
      </w:pPr>
      <w:r>
        <w:rPr>
          <w:rFonts w:ascii="宋体" w:hAnsi="宋体"/>
        </w:rPr>
        <w:t>（六）必要时对投标文件中的问题进行询标，包括拟作出否决投标决定前对相关投标人进行的询问核实；</w:t>
      </w:r>
    </w:p>
    <w:p>
      <w:pPr>
        <w:adjustRightInd w:val="0"/>
        <w:snapToGrid w:val="0"/>
        <w:ind w:firstLine="420" w:firstLineChars="200"/>
        <w:rPr>
          <w:rFonts w:ascii="宋体" w:hAnsi="宋体"/>
        </w:rPr>
      </w:pPr>
      <w:r>
        <w:rPr>
          <w:rFonts w:ascii="宋体" w:hAnsi="宋体"/>
        </w:rPr>
        <w:t>（七）根据评标办法和标准对投标文件进行综合评分、排序；</w:t>
      </w:r>
    </w:p>
    <w:p>
      <w:pPr>
        <w:adjustRightInd w:val="0"/>
        <w:snapToGrid w:val="0"/>
        <w:ind w:firstLine="420" w:firstLineChars="200"/>
        <w:rPr>
          <w:rFonts w:ascii="宋体" w:hAnsi="宋体"/>
        </w:rPr>
      </w:pPr>
      <w:r>
        <w:rPr>
          <w:rFonts w:ascii="宋体" w:hAnsi="宋体"/>
        </w:rPr>
        <w:t>（八）完成评标报告，推荐中标候选人。</w:t>
      </w:r>
    </w:p>
    <w:p>
      <w:pPr>
        <w:adjustRightInd w:val="0"/>
        <w:snapToGrid w:val="0"/>
        <w:ind w:firstLine="422" w:firstLineChars="200"/>
        <w:rPr>
          <w:rFonts w:ascii="宋体" w:hAnsi="宋体"/>
          <w:b/>
        </w:rPr>
      </w:pPr>
      <w:r>
        <w:rPr>
          <w:rFonts w:ascii="宋体" w:hAnsi="宋体"/>
          <w:b/>
        </w:rPr>
        <w:t>四、评审细则</w:t>
      </w:r>
    </w:p>
    <w:p>
      <w:pPr>
        <w:adjustRightInd w:val="0"/>
        <w:snapToGrid w:val="0"/>
        <w:ind w:firstLine="422" w:firstLineChars="200"/>
        <w:rPr>
          <w:rFonts w:ascii="宋体" w:hAnsi="宋体"/>
          <w:b/>
        </w:rPr>
      </w:pPr>
      <w:r>
        <w:rPr>
          <w:rFonts w:ascii="宋体" w:hAnsi="宋体"/>
          <w:b/>
        </w:rPr>
        <w:t>（一）符合性评审</w:t>
      </w:r>
    </w:p>
    <w:p>
      <w:pPr>
        <w:adjustRightInd w:val="0"/>
        <w:snapToGrid w:val="0"/>
        <w:ind w:firstLine="420" w:firstLineChars="200"/>
        <w:rPr>
          <w:rFonts w:ascii="宋体" w:hAnsi="宋体"/>
        </w:rPr>
      </w:pPr>
      <w:r>
        <w:rPr>
          <w:rFonts w:hint="eastAsia" w:ascii="宋体" w:hAnsi="宋体"/>
        </w:rPr>
        <w:t>评标委员会应依照招标文件的要求和规定首先对投标人的投标资格和投标文件进行符合性评审，</w:t>
      </w:r>
      <w:r>
        <w:rPr>
          <w:rFonts w:hint="eastAsia" w:ascii="宋体" w:hAnsi="宋体"/>
          <w:b/>
        </w:rPr>
        <w:t>审查过程中评标委员会可以要求投标人提交下列审查项所需的有关证明和证件的原件，以便核验。</w:t>
      </w:r>
      <w:r>
        <w:rPr>
          <w:rFonts w:hint="eastAsia" w:ascii="宋体" w:hAnsi="宋体"/>
        </w:rPr>
        <w:t>投标文件如存在以下情况之一的，经评标委员会三分之二以上的成员认定，符合性审查不予通过，</w:t>
      </w:r>
      <w:r>
        <w:rPr>
          <w:rFonts w:hint="eastAsia" w:ascii="宋体" w:hAnsi="宋体"/>
          <w:b/>
        </w:rPr>
        <w:t>作否决投标处理，</w:t>
      </w:r>
      <w:r>
        <w:rPr>
          <w:rFonts w:hint="eastAsia" w:ascii="宋体" w:hAnsi="宋体"/>
        </w:rPr>
        <w:t>不再进行详细评审：</w:t>
      </w:r>
    </w:p>
    <w:p>
      <w:pPr>
        <w:adjustRightInd w:val="0"/>
        <w:snapToGrid w:val="0"/>
        <w:ind w:firstLine="420" w:firstLineChars="200"/>
        <w:rPr>
          <w:rFonts w:ascii="宋体" w:hAnsi="宋体"/>
        </w:rPr>
      </w:pPr>
      <w:r>
        <w:rPr>
          <w:rFonts w:hint="eastAsia" w:ascii="宋体" w:hAnsi="宋体"/>
        </w:rPr>
        <w:t>（1）投标人的投标资格不满足国家有关规定或招标文件载明的投标资格条件的；</w:t>
      </w:r>
    </w:p>
    <w:p>
      <w:pPr>
        <w:adjustRightInd w:val="0"/>
        <w:snapToGrid w:val="0"/>
        <w:ind w:firstLine="420" w:firstLineChars="200"/>
        <w:rPr>
          <w:rFonts w:ascii="宋体" w:hAnsi="宋体"/>
        </w:rPr>
      </w:pPr>
      <w:r>
        <w:rPr>
          <w:rFonts w:hint="eastAsia" w:ascii="宋体" w:hAnsi="宋体"/>
        </w:rPr>
        <w:t>（2）投标文件未按招标文件的要求签署和盖章的（仅限于单位印章和法定代表人或其委托代理人签字或盖章）；</w:t>
      </w:r>
    </w:p>
    <w:p>
      <w:pPr>
        <w:adjustRightInd w:val="0"/>
        <w:snapToGrid w:val="0"/>
        <w:ind w:firstLine="420" w:firstLineChars="200"/>
        <w:rPr>
          <w:rFonts w:ascii="宋体" w:hAnsi="宋体"/>
        </w:rPr>
      </w:pPr>
      <w:r>
        <w:rPr>
          <w:rFonts w:hint="eastAsia" w:ascii="宋体" w:hAnsi="宋体"/>
        </w:rPr>
        <w:t>（3）投标文件未按规定的格式填写，内容不全或关键字迹模糊、无法辨认的；</w:t>
      </w:r>
    </w:p>
    <w:p>
      <w:pPr>
        <w:adjustRightInd w:val="0"/>
        <w:snapToGrid w:val="0"/>
        <w:ind w:firstLine="420" w:firstLineChars="200"/>
        <w:rPr>
          <w:rFonts w:ascii="宋体" w:hAnsi="宋体"/>
        </w:rPr>
      </w:pPr>
      <w:r>
        <w:rPr>
          <w:rFonts w:hint="eastAsia" w:ascii="宋体" w:hAnsi="宋体"/>
        </w:rPr>
        <w:t>（4）投标人递交两份或多份内容不同的投标文件，或在一份投标文件中对同一招标项目报有两个或多个报价，且未声明哪一个有效；</w:t>
      </w:r>
    </w:p>
    <w:p>
      <w:pPr>
        <w:adjustRightInd w:val="0"/>
        <w:snapToGrid w:val="0"/>
        <w:ind w:firstLine="420" w:firstLineChars="200"/>
        <w:rPr>
          <w:rFonts w:ascii="宋体" w:hAnsi="宋体"/>
        </w:rPr>
      </w:pPr>
      <w:r>
        <w:rPr>
          <w:rFonts w:hint="eastAsia" w:ascii="宋体" w:hAnsi="宋体"/>
        </w:rPr>
        <w:t>（5）供货期不满足招标文件要求的；</w:t>
      </w:r>
    </w:p>
    <w:p>
      <w:pPr>
        <w:adjustRightInd w:val="0"/>
        <w:snapToGrid w:val="0"/>
        <w:ind w:firstLine="420" w:firstLineChars="200"/>
        <w:rPr>
          <w:rFonts w:ascii="宋体" w:hAnsi="宋体"/>
        </w:rPr>
      </w:pPr>
      <w:r>
        <w:rPr>
          <w:rFonts w:hint="eastAsia" w:ascii="宋体" w:hAnsi="宋体"/>
        </w:rPr>
        <w:t>（6）不响应招标文件规定的实质性要求（包括具体条文前用“★”标示的）</w:t>
      </w:r>
    </w:p>
    <w:p>
      <w:pPr>
        <w:adjustRightInd w:val="0"/>
        <w:snapToGrid w:val="0"/>
        <w:ind w:firstLine="420" w:firstLineChars="200"/>
        <w:rPr>
          <w:rFonts w:ascii="宋体" w:hAnsi="宋体"/>
        </w:rPr>
      </w:pPr>
      <w:r>
        <w:rPr>
          <w:rFonts w:hint="eastAsia" w:ascii="宋体" w:hAnsi="宋体"/>
        </w:rPr>
        <w:t>（7）投标人不以自己的名义或未按招标文件的要求提供投标保证金或提供的保证金有缺陷而不能接受的；</w:t>
      </w:r>
    </w:p>
    <w:p>
      <w:pPr>
        <w:adjustRightInd w:val="0"/>
        <w:snapToGrid w:val="0"/>
        <w:ind w:firstLine="420" w:firstLineChars="200"/>
        <w:rPr>
          <w:rFonts w:ascii="宋体" w:hAnsi="宋体"/>
        </w:rPr>
      </w:pPr>
      <w:r>
        <w:rPr>
          <w:rFonts w:hint="eastAsia" w:ascii="宋体" w:hAnsi="宋体"/>
        </w:rPr>
        <w:t>（8）投标人以他人名义投标、或与他人串通投标、或以行贿手段谋取中标，或弄虚作假的；</w:t>
      </w:r>
    </w:p>
    <w:p>
      <w:pPr>
        <w:adjustRightInd w:val="0"/>
        <w:snapToGrid w:val="0"/>
        <w:ind w:firstLine="420" w:firstLineChars="200"/>
        <w:rPr>
          <w:rFonts w:ascii="宋体" w:hAnsi="宋体"/>
        </w:rPr>
      </w:pPr>
      <w:r>
        <w:rPr>
          <w:rFonts w:hint="eastAsia" w:ascii="宋体" w:hAnsi="宋体"/>
        </w:rPr>
        <w:t>（9）存在法律、法规、规章规定的其它无效投标情况的。</w:t>
      </w:r>
    </w:p>
    <w:p>
      <w:pPr>
        <w:adjustRightInd w:val="0"/>
        <w:snapToGrid w:val="0"/>
        <w:ind w:firstLine="422" w:firstLineChars="200"/>
        <w:rPr>
          <w:rFonts w:ascii="宋体" w:hAnsi="宋体"/>
          <w:b/>
        </w:rPr>
      </w:pPr>
      <w:r>
        <w:rPr>
          <w:rFonts w:hint="eastAsia" w:ascii="宋体" w:hAnsi="宋体"/>
          <w:b/>
        </w:rPr>
        <w:t>（二）</w:t>
      </w:r>
      <w:r>
        <w:rPr>
          <w:rFonts w:ascii="宋体" w:hAnsi="宋体"/>
          <w:b/>
        </w:rPr>
        <w:t>询标</w:t>
      </w:r>
    </w:p>
    <w:p>
      <w:pPr>
        <w:adjustRightInd w:val="0"/>
        <w:snapToGrid w:val="0"/>
        <w:ind w:firstLine="420" w:firstLineChars="200"/>
        <w:rPr>
          <w:rFonts w:ascii="宋体" w:hAnsi="宋体"/>
        </w:rPr>
      </w:pPr>
      <w:r>
        <w:rPr>
          <w:rFonts w:ascii="宋体" w:hAnsi="宋体"/>
        </w:rPr>
        <w:t>（1）投标文件中有含义不明确的内容、明显文字或计算错误，评标委员会认为需要投标人作出必要澄清、说明的，应当组织询标。</w:t>
      </w:r>
    </w:p>
    <w:p>
      <w:pPr>
        <w:adjustRightInd w:val="0"/>
        <w:snapToGrid w:val="0"/>
        <w:ind w:firstLine="420" w:firstLineChars="200"/>
        <w:rPr>
          <w:rFonts w:ascii="宋体" w:hAnsi="宋体"/>
        </w:rPr>
      </w:pPr>
      <w:r>
        <w:rPr>
          <w:rFonts w:ascii="宋体" w:hAnsi="宋体"/>
        </w:rPr>
        <w:t>（</w:t>
      </w:r>
      <w:r>
        <w:rPr>
          <w:rFonts w:hint="eastAsia" w:ascii="宋体" w:hAnsi="宋体"/>
        </w:rPr>
        <w:t>2</w:t>
      </w:r>
      <w:r>
        <w:rPr>
          <w:rFonts w:ascii="宋体" w:hAnsi="宋体"/>
        </w:rPr>
        <w:t>）</w:t>
      </w:r>
      <w:r>
        <w:rPr>
          <w:rFonts w:hint="eastAsia" w:ascii="宋体" w:hAnsi="宋体"/>
        </w:rPr>
        <w:t>询标问题及投标人的澄清、说明不得超出投标文件的范围或者改变投标文件的实质性内容</w:t>
      </w:r>
      <w:r>
        <w:rPr>
          <w:rFonts w:ascii="宋体" w:hAnsi="宋体"/>
        </w:rPr>
        <w:t>。</w:t>
      </w:r>
    </w:p>
    <w:p>
      <w:pPr>
        <w:adjustRightInd w:val="0"/>
        <w:snapToGrid w:val="0"/>
        <w:ind w:firstLine="420" w:firstLineChars="200"/>
        <w:rPr>
          <w:rFonts w:ascii="宋体" w:hAnsi="宋体"/>
        </w:rPr>
      </w:pPr>
      <w:r>
        <w:rPr>
          <w:rFonts w:ascii="宋体" w:hAnsi="宋体"/>
        </w:rPr>
        <w:t>（</w:t>
      </w:r>
      <w:r>
        <w:rPr>
          <w:rFonts w:hint="eastAsia" w:ascii="宋体" w:hAnsi="宋体"/>
        </w:rPr>
        <w:t>3</w:t>
      </w:r>
      <w:r>
        <w:rPr>
          <w:rFonts w:ascii="宋体" w:hAnsi="宋体"/>
        </w:rPr>
        <w:t>）评标委员会不得暗示或者诱导投标人作出澄清、说明，不得接受投标人主动提出的澄清、说明。</w:t>
      </w:r>
    </w:p>
    <w:p>
      <w:pPr>
        <w:adjustRightInd w:val="0"/>
        <w:snapToGrid w:val="0"/>
        <w:ind w:firstLine="420" w:firstLineChars="200"/>
        <w:rPr>
          <w:rFonts w:ascii="宋体" w:hAnsi="宋体"/>
        </w:rPr>
      </w:pPr>
      <w:r>
        <w:rPr>
          <w:rFonts w:ascii="宋体" w:hAnsi="宋体"/>
        </w:rPr>
        <w:t>（</w:t>
      </w:r>
      <w:r>
        <w:rPr>
          <w:rFonts w:hint="eastAsia" w:ascii="宋体" w:hAnsi="宋体"/>
        </w:rPr>
        <w:t>4</w:t>
      </w:r>
      <w:r>
        <w:rPr>
          <w:rFonts w:ascii="宋体" w:hAnsi="宋体"/>
        </w:rPr>
        <w:t>）投标人不得通过补充、修改或撤消投标文件中的内容使其成为实质性响应的投标，投标人在投标截止时间以后不得提交任何资料作为评标依据。</w:t>
      </w:r>
    </w:p>
    <w:p>
      <w:pPr>
        <w:adjustRightInd w:val="0"/>
        <w:snapToGrid w:val="0"/>
        <w:ind w:firstLine="420" w:firstLineChars="200"/>
        <w:rPr>
          <w:rFonts w:ascii="宋体" w:hAnsi="宋体"/>
        </w:rPr>
      </w:pPr>
      <w:r>
        <w:rPr>
          <w:rFonts w:hint="eastAsia" w:ascii="宋体" w:hAnsi="宋体"/>
        </w:rPr>
        <w:t>（5）评标委员会对投标人提交的澄清、说明或补正有疑问的，可以要求投标人进一步澄清、说明或补正，直至满足评标委员会的要求。</w:t>
      </w:r>
    </w:p>
    <w:p>
      <w:pPr>
        <w:adjustRightInd w:val="0"/>
        <w:snapToGrid w:val="0"/>
        <w:ind w:firstLine="422" w:firstLineChars="200"/>
        <w:rPr>
          <w:rFonts w:ascii="宋体" w:hAnsi="宋体"/>
          <w:b/>
        </w:rPr>
      </w:pPr>
      <w:r>
        <w:rPr>
          <w:rFonts w:hint="eastAsia" w:ascii="宋体" w:hAnsi="宋体"/>
          <w:b/>
        </w:rPr>
        <w:t>（三） 报价算术性修正</w:t>
      </w:r>
    </w:p>
    <w:p>
      <w:pPr>
        <w:adjustRightInd w:val="0"/>
        <w:snapToGrid w:val="0"/>
        <w:ind w:firstLine="420" w:firstLineChars="200"/>
        <w:rPr>
          <w:rFonts w:ascii="宋体" w:hAnsi="宋体"/>
        </w:rPr>
      </w:pPr>
      <w:r>
        <w:rPr>
          <w:rFonts w:hint="eastAsia" w:ascii="宋体" w:hAnsi="宋体"/>
        </w:rPr>
        <w:t>评标委员会按以下原则对通过符合性审查的投标文件报价进行算术性修正：</w:t>
      </w:r>
    </w:p>
    <w:p>
      <w:pPr>
        <w:adjustRightInd w:val="0"/>
        <w:snapToGrid w:val="0"/>
        <w:ind w:firstLine="420" w:firstLineChars="200"/>
        <w:rPr>
          <w:rFonts w:ascii="宋体" w:hAnsi="宋体"/>
        </w:rPr>
      </w:pPr>
      <w:r>
        <w:rPr>
          <w:rFonts w:hint="eastAsia" w:ascii="宋体" w:hAnsi="宋体"/>
        </w:rPr>
        <w:t>(1）投标文件中的大写金额与小写金额不一致的，以大写金额为准；</w:t>
      </w:r>
    </w:p>
    <w:p>
      <w:pPr>
        <w:adjustRightInd w:val="0"/>
        <w:snapToGrid w:val="0"/>
        <w:ind w:firstLine="420" w:firstLineChars="200"/>
        <w:rPr>
          <w:rFonts w:ascii="宋体" w:hAnsi="宋体"/>
        </w:rPr>
      </w:pPr>
      <w:r>
        <w:rPr>
          <w:rFonts w:hint="eastAsia" w:ascii="宋体" w:hAnsi="宋体"/>
        </w:rPr>
        <w:t>(2）总价金额与依据单价（或各分项合计）计算出的结果不一致的，以单价金额（或各分项合计）为准修正总价，但单价金额小数点有明显错误的除外。</w:t>
      </w:r>
    </w:p>
    <w:p>
      <w:pPr>
        <w:adjustRightInd w:val="0"/>
        <w:snapToGrid w:val="0"/>
        <w:ind w:firstLine="420" w:firstLineChars="200"/>
        <w:rPr>
          <w:rFonts w:ascii="宋体" w:hAnsi="宋体"/>
        </w:rPr>
      </w:pPr>
      <w:r>
        <w:rPr>
          <w:rFonts w:hint="eastAsia" w:ascii="宋体" w:hAnsi="宋体"/>
        </w:rPr>
        <w:t>★修正的价格经投标人书面确认后具有约束力。投标人不接受修正价格的，其投标作废标处理。</w:t>
      </w:r>
    </w:p>
    <w:p>
      <w:pPr>
        <w:adjustRightInd w:val="0"/>
        <w:snapToGrid w:val="0"/>
        <w:ind w:firstLine="420" w:firstLineChars="200"/>
        <w:rPr>
          <w:rFonts w:ascii="宋体" w:hAnsi="宋体"/>
        </w:rPr>
      </w:pPr>
      <w:r>
        <w:rPr>
          <w:rFonts w:hint="eastAsia" w:ascii="宋体" w:hAnsi="宋体"/>
        </w:rPr>
        <w:t>当通过符合性评审的单位少于三家时（不包括三家），应由评标委员会确认是否具有竞争性，如果有竞争性，则评标继续进行。</w:t>
      </w:r>
    </w:p>
    <w:p>
      <w:pPr>
        <w:adjustRightInd w:val="0"/>
        <w:snapToGrid w:val="0"/>
        <w:ind w:firstLine="422" w:firstLineChars="200"/>
        <w:rPr>
          <w:rFonts w:ascii="宋体" w:hAnsi="宋体"/>
        </w:rPr>
      </w:pPr>
      <w:r>
        <w:rPr>
          <w:rFonts w:ascii="宋体" w:hAnsi="宋体"/>
          <w:b/>
        </w:rPr>
        <w:t>（</w:t>
      </w:r>
      <w:r>
        <w:rPr>
          <w:rFonts w:hint="eastAsia" w:ascii="宋体" w:hAnsi="宋体"/>
          <w:b/>
        </w:rPr>
        <w:t>四</w:t>
      </w:r>
      <w:r>
        <w:rPr>
          <w:rFonts w:ascii="宋体" w:hAnsi="宋体"/>
          <w:b/>
        </w:rPr>
        <w:t>）对投标人进行排序，推荐中标候选人</w:t>
      </w:r>
    </w:p>
    <w:p>
      <w:pPr>
        <w:adjustRightInd w:val="0"/>
        <w:snapToGrid w:val="0"/>
        <w:ind w:firstLine="420" w:firstLineChars="200"/>
        <w:rPr>
          <w:rFonts w:ascii="宋体" w:hAnsi="宋体"/>
        </w:rPr>
      </w:pPr>
      <w:r>
        <w:rPr>
          <w:rFonts w:hint="eastAsia" w:ascii="宋体" w:hAnsi="宋体"/>
        </w:rPr>
        <w:t>1、评标委员会按照经评审的价格由低到高的顺序推荐中标候选人，本项目推荐2名中标候选人。</w:t>
      </w:r>
    </w:p>
    <w:p>
      <w:pPr>
        <w:adjustRightInd w:val="0"/>
        <w:snapToGrid w:val="0"/>
        <w:ind w:firstLine="420" w:firstLineChars="200"/>
        <w:rPr>
          <w:rFonts w:ascii="宋体" w:hAnsi="宋体"/>
        </w:rPr>
      </w:pPr>
      <w:r>
        <w:rPr>
          <w:rFonts w:hint="eastAsia" w:ascii="宋体" w:hAnsi="宋体"/>
        </w:rPr>
        <w:t>2、当有效投标文件只有一名时，则由评标委员会确定是否推荐为中标候选人。</w:t>
      </w:r>
    </w:p>
    <w:p>
      <w:pPr>
        <w:adjustRightInd w:val="0"/>
        <w:snapToGrid w:val="0"/>
        <w:ind w:firstLine="420" w:firstLineChars="200"/>
        <w:rPr>
          <w:rFonts w:ascii="宋体" w:hAnsi="宋体"/>
        </w:rPr>
      </w:pPr>
      <w:r>
        <w:rPr>
          <w:rFonts w:ascii="宋体" w:hAnsi="宋体"/>
        </w:rPr>
        <w:t>3、评标委员会根据投标人须知前附表7.1规定，确定中标人或推荐中标候选人。</w:t>
      </w:r>
    </w:p>
    <w:p>
      <w:pPr>
        <w:adjustRightInd w:val="0"/>
        <w:snapToGrid w:val="0"/>
        <w:ind w:firstLine="422" w:firstLineChars="200"/>
        <w:rPr>
          <w:rFonts w:ascii="宋体" w:hAnsi="宋体"/>
          <w:b/>
        </w:rPr>
      </w:pPr>
      <w:r>
        <w:rPr>
          <w:rFonts w:ascii="宋体" w:hAnsi="宋体"/>
          <w:b/>
        </w:rPr>
        <w:t>五、完成评标报告</w:t>
      </w:r>
    </w:p>
    <w:p>
      <w:pPr>
        <w:adjustRightInd w:val="0"/>
        <w:snapToGrid w:val="0"/>
        <w:ind w:firstLine="422" w:firstLineChars="200"/>
        <w:rPr>
          <w:rFonts w:ascii="宋体" w:hAnsi="宋体"/>
        </w:rPr>
      </w:pPr>
      <w:r>
        <w:rPr>
          <w:rFonts w:ascii="宋体" w:hAnsi="宋体"/>
          <w:b/>
        </w:rPr>
        <w:t>（一）评标委员会应当向招标人提交书面评标报告。</w:t>
      </w:r>
      <w:r>
        <w:rPr>
          <w:rFonts w:ascii="宋体" w:hAnsi="宋体"/>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rPr>
          <w:rFonts w:ascii="宋体" w:hAnsi="宋体"/>
          <w:b/>
        </w:rPr>
      </w:pPr>
      <w:r>
        <w:rPr>
          <w:rFonts w:hint="eastAsia" w:ascii="宋体" w:hAnsi="宋体"/>
          <w:b/>
        </w:rPr>
        <w:t xml:space="preserve">   </w:t>
      </w:r>
      <w:r>
        <w:rPr>
          <w:rFonts w:ascii="宋体" w:hAnsi="宋体"/>
          <w:b/>
        </w:rPr>
        <w:t>（二）评标报告应包括以下内容：</w:t>
      </w:r>
    </w:p>
    <w:p>
      <w:pPr>
        <w:adjustRightInd w:val="0"/>
        <w:snapToGrid w:val="0"/>
        <w:ind w:firstLine="420" w:firstLineChars="200"/>
        <w:rPr>
          <w:rFonts w:ascii="宋体" w:hAnsi="宋体"/>
        </w:rPr>
      </w:pPr>
      <w:r>
        <w:rPr>
          <w:rFonts w:ascii="宋体" w:hAnsi="宋体"/>
        </w:rPr>
        <w:t>1、开标记录；</w:t>
      </w:r>
    </w:p>
    <w:p>
      <w:pPr>
        <w:adjustRightInd w:val="0"/>
        <w:snapToGrid w:val="0"/>
        <w:ind w:firstLine="420" w:firstLineChars="200"/>
        <w:rPr>
          <w:rFonts w:ascii="宋体" w:hAnsi="宋体"/>
        </w:rPr>
      </w:pPr>
      <w:r>
        <w:rPr>
          <w:rFonts w:ascii="宋体" w:hAnsi="宋体"/>
        </w:rPr>
        <w:t>2、评标内容、过程和结果；</w:t>
      </w:r>
    </w:p>
    <w:p>
      <w:pPr>
        <w:adjustRightInd w:val="0"/>
        <w:snapToGrid w:val="0"/>
        <w:ind w:firstLine="420" w:firstLineChars="200"/>
        <w:rPr>
          <w:rFonts w:ascii="宋体" w:hAnsi="宋体"/>
        </w:rPr>
      </w:pPr>
      <w:r>
        <w:rPr>
          <w:rFonts w:ascii="宋体" w:hAnsi="宋体"/>
        </w:rPr>
        <w:t>3、询标澄清纪要；</w:t>
      </w:r>
    </w:p>
    <w:p>
      <w:pPr>
        <w:adjustRightInd w:val="0"/>
        <w:snapToGrid w:val="0"/>
        <w:ind w:firstLine="420" w:firstLineChars="200"/>
        <w:rPr>
          <w:rFonts w:ascii="宋体" w:hAnsi="宋体"/>
        </w:rPr>
      </w:pPr>
      <w:r>
        <w:rPr>
          <w:rFonts w:ascii="宋体" w:hAnsi="宋体"/>
        </w:rPr>
        <w:t>4、否决投标情况说明及依据；</w:t>
      </w:r>
    </w:p>
    <w:p>
      <w:pPr>
        <w:adjustRightInd w:val="0"/>
        <w:snapToGrid w:val="0"/>
        <w:ind w:firstLine="420" w:firstLineChars="200"/>
        <w:rPr>
          <w:rFonts w:ascii="宋体" w:hAnsi="宋体"/>
        </w:rPr>
      </w:pPr>
      <w:r>
        <w:rPr>
          <w:rFonts w:ascii="宋体" w:hAnsi="宋体"/>
        </w:rPr>
        <w:t>5、推荐中标候选人；</w:t>
      </w:r>
    </w:p>
    <w:p>
      <w:pPr>
        <w:adjustRightInd w:val="0"/>
        <w:snapToGrid w:val="0"/>
        <w:ind w:firstLine="420" w:firstLineChars="200"/>
        <w:rPr>
          <w:rFonts w:ascii="宋体" w:hAnsi="宋体"/>
        </w:rPr>
      </w:pPr>
      <w:r>
        <w:rPr>
          <w:rFonts w:ascii="宋体" w:hAnsi="宋体"/>
        </w:rPr>
        <w:t>6、中标候选人投标资格条件业绩和评分业绩</w:t>
      </w:r>
      <w:r>
        <w:rPr>
          <w:rFonts w:hint="eastAsia" w:ascii="宋体" w:hAnsi="宋体"/>
          <w:i/>
          <w:kern w:val="0"/>
        </w:rPr>
        <w:t>（招标文件对投标资格或评分有业绩要求的）</w:t>
      </w:r>
      <w:r>
        <w:rPr>
          <w:rFonts w:ascii="宋体" w:hAnsi="宋体"/>
        </w:rPr>
        <w:t>；</w:t>
      </w:r>
    </w:p>
    <w:p>
      <w:pPr>
        <w:adjustRightInd w:val="0"/>
        <w:snapToGrid w:val="0"/>
        <w:ind w:firstLine="420" w:firstLineChars="200"/>
        <w:rPr>
          <w:rFonts w:ascii="宋体" w:hAnsi="宋体"/>
        </w:rPr>
      </w:pPr>
      <w:r>
        <w:rPr>
          <w:rFonts w:ascii="宋体" w:hAnsi="宋体"/>
        </w:rPr>
        <w:t>7、其他建议。</w:t>
      </w:r>
    </w:p>
    <w:p>
      <w:pPr>
        <w:adjustRightInd w:val="0"/>
        <w:snapToGrid w:val="0"/>
        <w:ind w:firstLine="422" w:firstLineChars="200"/>
        <w:rPr>
          <w:rFonts w:ascii="宋体" w:hAnsi="宋体"/>
          <w:b/>
        </w:rPr>
      </w:pPr>
      <w:r>
        <w:rPr>
          <w:rFonts w:hint="eastAsia" w:ascii="宋体" w:hAnsi="宋体"/>
          <w:b/>
        </w:rPr>
        <w:t>六</w:t>
      </w:r>
      <w:r>
        <w:rPr>
          <w:rFonts w:ascii="宋体" w:hAnsi="宋体"/>
          <w:b/>
        </w:rPr>
        <w:t>、</w:t>
      </w:r>
      <w:r>
        <w:rPr>
          <w:rFonts w:hint="eastAsia" w:ascii="宋体" w:hAnsi="宋体"/>
          <w:b/>
        </w:rPr>
        <w:t>定</w:t>
      </w:r>
      <w:r>
        <w:rPr>
          <w:rFonts w:ascii="宋体" w:hAnsi="宋体"/>
          <w:b/>
        </w:rPr>
        <w:t>标</w:t>
      </w:r>
    </w:p>
    <w:p>
      <w:pPr>
        <w:adjustRightInd w:val="0"/>
        <w:snapToGrid w:val="0"/>
        <w:ind w:firstLine="420" w:firstLineChars="200"/>
        <w:rPr>
          <w:rFonts w:ascii="宋体" w:hAnsi="宋体"/>
        </w:rPr>
      </w:pPr>
      <w:r>
        <w:rPr>
          <w:rFonts w:hint="eastAsia" w:ascii="宋体" w:hAnsi="宋体"/>
        </w:rPr>
        <w:t>1、</w:t>
      </w:r>
      <w:r>
        <w:rPr>
          <w:rFonts w:ascii="宋体" w:hAnsi="宋体"/>
        </w:rPr>
        <w:t>招标人将确定评标委员会推荐的</w:t>
      </w:r>
      <w:r>
        <w:rPr>
          <w:rFonts w:hint="eastAsia" w:ascii="宋体" w:hAnsi="宋体"/>
        </w:rPr>
        <w:t>第一</w:t>
      </w:r>
      <w:r>
        <w:rPr>
          <w:rFonts w:ascii="宋体" w:hAnsi="宋体"/>
        </w:rPr>
        <w:t>中标候选人为中标人。</w:t>
      </w:r>
      <w:r>
        <w:rPr>
          <w:rFonts w:hint="eastAsia" w:ascii="宋体" w:hAnsi="宋体"/>
        </w:rPr>
        <w:t>第一</w:t>
      </w:r>
      <w:r>
        <w:rPr>
          <w:rFonts w:ascii="宋体" w:hAnsi="宋体"/>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ascii="宋体" w:hAnsi="宋体"/>
        </w:rPr>
        <w:t>或</w:t>
      </w:r>
      <w:r>
        <w:rPr>
          <w:rFonts w:ascii="宋体" w:hAnsi="宋体"/>
        </w:rPr>
        <w:t>重新招标。</w:t>
      </w:r>
    </w:p>
    <w:p>
      <w:pPr>
        <w:adjustRightInd w:val="0"/>
        <w:snapToGrid w:val="0"/>
        <w:ind w:firstLine="420" w:firstLineChars="200"/>
        <w:rPr>
          <w:rFonts w:ascii="宋体" w:hAnsi="宋体"/>
        </w:rPr>
      </w:pPr>
      <w:r>
        <w:rPr>
          <w:rFonts w:hint="eastAsia" w:ascii="宋体" w:hAnsi="宋体"/>
        </w:rPr>
        <w:t>2、</w:t>
      </w:r>
      <w:r>
        <w:rPr>
          <w:rFonts w:ascii="宋体" w:hAnsi="宋体"/>
        </w:rPr>
        <w:t>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ind w:firstLine="420" w:firstLineChars="200"/>
        <w:rPr>
          <w:rFonts w:ascii="宋体" w:hAnsi="宋体"/>
        </w:rPr>
      </w:pPr>
      <w:r>
        <w:rPr>
          <w:rFonts w:hint="eastAsia" w:ascii="宋体" w:hAnsi="宋体"/>
        </w:rPr>
        <w:t>3、</w:t>
      </w:r>
      <w:r>
        <w:rPr>
          <w:rFonts w:ascii="宋体" w:hAnsi="宋体"/>
        </w:rPr>
        <w:t>如发生投诉争议等情况时，经查实中标候选人存在违法、违规行为，不符合中标条件，且该行为在评标时是无法发现和确认的，招标人可以在其他中标候选人中按照推荐的排序确定中标人</w:t>
      </w:r>
      <w:r>
        <w:rPr>
          <w:rFonts w:hint="eastAsia" w:ascii="宋体" w:hAnsi="宋体"/>
        </w:rPr>
        <w:t>或</w:t>
      </w:r>
      <w:r>
        <w:rPr>
          <w:rFonts w:ascii="宋体" w:hAnsi="宋体"/>
        </w:rPr>
        <w:t>重新招标。</w:t>
      </w:r>
    </w:p>
    <w:p>
      <w:pPr>
        <w:ind w:firstLine="422" w:firstLineChars="200"/>
        <w:rPr>
          <w:rFonts w:ascii="宋体" w:hAnsi="宋体"/>
          <w:b/>
        </w:rPr>
      </w:pPr>
      <w:r>
        <w:rPr>
          <w:rFonts w:hint="eastAsia" w:ascii="宋体" w:hAnsi="宋体"/>
          <w:b/>
        </w:rPr>
        <w:t>4、招标人对评标、定标结果不负责解释。</w:t>
      </w:r>
    </w:p>
    <w:p>
      <w:pPr>
        <w:spacing w:line="360" w:lineRule="exact"/>
        <w:rPr>
          <w:rFonts w:ascii="宋体" w:hAnsi="宋体"/>
          <w:szCs w:val="21"/>
        </w:rPr>
      </w:pPr>
    </w:p>
    <w:p>
      <w:pPr>
        <w:pStyle w:val="2"/>
        <w:spacing w:before="0" w:after="0" w:line="360" w:lineRule="auto"/>
        <w:jc w:val="center"/>
        <w:rPr>
          <w:rFonts w:ascii="Calibri" w:hAnsi="Calibri" w:eastAsia="黑体" w:cs="Calibri"/>
          <w:kern w:val="0"/>
          <w:sz w:val="32"/>
        </w:rPr>
      </w:pPr>
      <w:r>
        <w:br w:type="page"/>
      </w:r>
      <w:bookmarkStart w:id="117" w:name="_Toc448002988"/>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投标文件格式</w:t>
      </w:r>
      <w:bookmarkEnd w:id="117"/>
    </w:p>
    <w:p>
      <w:pPr>
        <w:spacing w:line="440" w:lineRule="exact"/>
        <w:rPr>
          <w:rFonts w:cs="Calibri"/>
          <w:sz w:val="24"/>
        </w:rPr>
      </w:pPr>
    </w:p>
    <w:p>
      <w:pPr>
        <w:spacing w:line="440" w:lineRule="exact"/>
        <w:jc w:val="center"/>
        <w:rPr>
          <w:rFonts w:cs="Calibri"/>
          <w:b/>
          <w:sz w:val="28"/>
          <w:szCs w:val="28"/>
        </w:rPr>
      </w:pPr>
      <w:r>
        <w:rPr>
          <w:rFonts w:cs="Calibri"/>
          <w:b/>
          <w:sz w:val="28"/>
          <w:szCs w:val="28"/>
        </w:rPr>
        <w:t>目   录</w:t>
      </w:r>
    </w:p>
    <w:p>
      <w:pPr>
        <w:spacing w:line="440" w:lineRule="exact"/>
        <w:ind w:firstLine="440" w:firstLineChars="200"/>
        <w:rPr>
          <w:rFonts w:ascii="宋体" w:hAnsi="宋体" w:cs="Calibri"/>
          <w:sz w:val="22"/>
        </w:rPr>
      </w:pPr>
      <w:r>
        <w:rPr>
          <w:rFonts w:ascii="宋体" w:hAnsi="宋体" w:cs="Calibri"/>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二、</w:t>
      </w:r>
      <w:r>
        <w:rPr>
          <w:rFonts w:ascii="宋体" w:hAnsi="宋体" w:cs="Calibri"/>
          <w:sz w:val="22"/>
        </w:rPr>
        <w:t>投标报价表；</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三、</w:t>
      </w:r>
      <w:r>
        <w:rPr>
          <w:rFonts w:ascii="宋体" w:hAnsi="宋体" w:cs="Calibri"/>
          <w:sz w:val="22"/>
        </w:rPr>
        <w:t>法定代表人资格证明书；</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四、</w:t>
      </w:r>
      <w:r>
        <w:rPr>
          <w:rFonts w:ascii="宋体" w:hAnsi="宋体" w:cs="Calibri"/>
          <w:sz w:val="22"/>
        </w:rPr>
        <w:t>授权委托书；</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五、</w:t>
      </w:r>
      <w:r>
        <w:rPr>
          <w:rFonts w:ascii="宋体" w:hAnsi="宋体" w:cs="Calibri"/>
          <w:sz w:val="22"/>
        </w:rPr>
        <w:t>投标人资格证明文件：</w:t>
      </w:r>
    </w:p>
    <w:p>
      <w:pPr>
        <w:adjustRightInd w:val="0"/>
        <w:snapToGrid w:val="0"/>
        <w:spacing w:line="400" w:lineRule="exact"/>
        <w:ind w:firstLine="440" w:firstLineChars="200"/>
        <w:rPr>
          <w:rFonts w:ascii="宋体" w:hAnsi="宋体" w:cs="Calibri"/>
          <w:sz w:val="22"/>
        </w:rPr>
      </w:pPr>
      <w:r>
        <w:rPr>
          <w:rFonts w:ascii="宋体" w:hAnsi="宋体" w:cs="Calibri"/>
          <w:sz w:val="22"/>
        </w:rPr>
        <w:t>（1）投标人一般情况</w:t>
      </w:r>
      <w:r>
        <w:rPr>
          <w:rFonts w:hint="eastAsia" w:ascii="宋体" w:hAnsi="宋体" w:cs="Calibri"/>
          <w:sz w:val="22"/>
        </w:rPr>
        <w:t>及</w:t>
      </w:r>
      <w:r>
        <w:rPr>
          <w:rFonts w:ascii="宋体" w:hAnsi="宋体" w:cs="Calibri"/>
          <w:sz w:val="22"/>
        </w:rPr>
        <w:t>有关证明投标人法律地位的文件（包括营业执照</w:t>
      </w:r>
      <w:r>
        <w:rPr>
          <w:rFonts w:hint="eastAsia" w:ascii="宋体" w:hAnsi="宋体" w:cs="Calibri"/>
          <w:sz w:val="22"/>
        </w:rPr>
        <w:t>、税务登记证、</w:t>
      </w:r>
      <w:r>
        <w:rPr>
          <w:rFonts w:ascii="宋体" w:hAnsi="宋体" w:cs="Calibri"/>
          <w:sz w:val="22"/>
        </w:rPr>
        <w:t>一般纳税人证明材料</w:t>
      </w:r>
      <w:r>
        <w:rPr>
          <w:rFonts w:hint="eastAsia" w:ascii="宋体" w:hAnsi="宋体" w:cs="Calibri"/>
          <w:sz w:val="22"/>
        </w:rPr>
        <w:t>、</w:t>
      </w:r>
      <w:r>
        <w:rPr>
          <w:rFonts w:ascii="宋体" w:hAnsi="宋体" w:cs="Calibri"/>
          <w:sz w:val="22"/>
        </w:rPr>
        <w:t>资质</w:t>
      </w:r>
      <w:r>
        <w:rPr>
          <w:rFonts w:hint="eastAsia" w:ascii="宋体" w:hAnsi="宋体" w:cs="Calibri"/>
          <w:sz w:val="22"/>
        </w:rPr>
        <w:t>证书</w:t>
      </w:r>
      <w:r>
        <w:rPr>
          <w:rFonts w:ascii="宋体" w:hAnsi="宋体" w:cs="Calibri"/>
          <w:sz w:val="22"/>
        </w:rPr>
        <w:t>等），说明投标人的注册地点和主要经营范围；</w:t>
      </w:r>
    </w:p>
    <w:p>
      <w:pPr>
        <w:adjustRightInd w:val="0"/>
        <w:snapToGrid w:val="0"/>
        <w:spacing w:line="400" w:lineRule="exact"/>
        <w:ind w:firstLine="440" w:firstLineChars="200"/>
        <w:rPr>
          <w:rFonts w:ascii="宋体" w:hAnsi="宋体" w:cs="Calibri"/>
          <w:sz w:val="22"/>
        </w:rPr>
      </w:pPr>
      <w:r>
        <w:rPr>
          <w:rFonts w:ascii="宋体" w:hAnsi="宋体" w:cs="Calibri"/>
          <w:sz w:val="22"/>
        </w:rPr>
        <w:t>（2）有关证明投标人的企业信誉及获得各种奖励等资料；</w:t>
      </w:r>
    </w:p>
    <w:p>
      <w:pPr>
        <w:adjustRightInd w:val="0"/>
        <w:snapToGrid w:val="0"/>
        <w:spacing w:line="400" w:lineRule="exact"/>
        <w:ind w:firstLine="440" w:firstLineChars="200"/>
        <w:rPr>
          <w:rFonts w:ascii="宋体" w:hAnsi="宋体" w:cs="Calibri"/>
          <w:sz w:val="22"/>
        </w:rPr>
      </w:pPr>
      <w:r>
        <w:rPr>
          <w:rFonts w:ascii="宋体" w:hAnsi="宋体" w:cs="Calibri"/>
          <w:sz w:val="22"/>
        </w:rPr>
        <w:t>（3）投标人经济实力：包括企业注册资金、财务报告与报表中反映的财务状况</w:t>
      </w:r>
      <w:r>
        <w:rPr>
          <w:rFonts w:hint="eastAsia" w:ascii="宋体" w:hAnsi="宋体" w:cs="Calibri"/>
          <w:sz w:val="22"/>
        </w:rPr>
        <w:t>；</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（4）</w:t>
      </w:r>
      <w:r>
        <w:rPr>
          <w:rFonts w:ascii="宋体" w:hAnsi="宋体" w:cs="Calibri"/>
          <w:sz w:val="22"/>
        </w:rPr>
        <w:t>近三年完成类似项目业绩情况</w:t>
      </w:r>
      <w:r>
        <w:rPr>
          <w:rFonts w:hint="eastAsia" w:ascii="宋体" w:hAnsi="宋体" w:cs="Calibri"/>
          <w:sz w:val="22"/>
        </w:rPr>
        <w:t>；</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（5）招标文件投标人资格要求中提供的相关材料。</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六、</w:t>
      </w:r>
      <w:r>
        <w:rPr>
          <w:rFonts w:ascii="宋体" w:hAnsi="宋体" w:cs="Calibri"/>
          <w:sz w:val="22"/>
        </w:rPr>
        <w:t>服务大纲</w:t>
      </w:r>
    </w:p>
    <w:p>
      <w:pPr>
        <w:adjustRightInd w:val="0"/>
        <w:snapToGrid w:val="0"/>
        <w:spacing w:line="360" w:lineRule="exact"/>
        <w:ind w:firstLine="440" w:firstLineChars="200"/>
        <w:rPr>
          <w:rFonts w:ascii="宋体" w:hAnsi="宋体" w:cs="Calibri"/>
          <w:sz w:val="22"/>
        </w:rPr>
      </w:pPr>
      <w:r>
        <w:rPr>
          <w:rFonts w:ascii="宋体" w:hAnsi="宋体" w:cs="Calibri"/>
          <w:sz w:val="22"/>
        </w:rPr>
        <w:t>（1）本项目概况；</w:t>
      </w:r>
    </w:p>
    <w:p>
      <w:pPr>
        <w:adjustRightInd w:val="0"/>
        <w:snapToGrid w:val="0"/>
        <w:spacing w:line="360" w:lineRule="exact"/>
        <w:ind w:firstLine="440" w:firstLineChars="200"/>
        <w:rPr>
          <w:rFonts w:ascii="宋体" w:hAnsi="宋体" w:cs="Calibri"/>
          <w:sz w:val="22"/>
        </w:rPr>
      </w:pPr>
      <w:r>
        <w:rPr>
          <w:rFonts w:ascii="宋体" w:hAnsi="宋体" w:cs="Calibri"/>
          <w:sz w:val="22"/>
        </w:rPr>
        <w:t>（2）工作内容和依据；</w:t>
      </w:r>
    </w:p>
    <w:p>
      <w:pPr>
        <w:adjustRightInd w:val="0"/>
        <w:snapToGrid w:val="0"/>
        <w:spacing w:line="360" w:lineRule="exact"/>
        <w:ind w:firstLine="440" w:firstLineChars="200"/>
        <w:rPr>
          <w:rFonts w:ascii="宋体" w:hAnsi="宋体" w:cs="Calibri"/>
          <w:sz w:val="22"/>
        </w:rPr>
      </w:pPr>
      <w:r>
        <w:rPr>
          <w:rFonts w:ascii="宋体" w:hAnsi="宋体" w:cs="Calibri"/>
          <w:sz w:val="22"/>
        </w:rPr>
        <w:t>（3）</w:t>
      </w:r>
      <w:r>
        <w:rPr>
          <w:rFonts w:hint="eastAsia" w:ascii="宋体" w:hAnsi="宋体" w:cs="Calibri"/>
          <w:sz w:val="22"/>
        </w:rPr>
        <w:t>现场机构、人力、物资设备配置</w:t>
      </w:r>
      <w:r>
        <w:rPr>
          <w:rFonts w:ascii="宋体" w:hAnsi="宋体" w:cs="Calibri"/>
          <w:sz w:val="22"/>
        </w:rPr>
        <w:t>；</w:t>
      </w:r>
    </w:p>
    <w:p>
      <w:pPr>
        <w:adjustRightInd w:val="0"/>
        <w:snapToGrid w:val="0"/>
        <w:spacing w:line="360" w:lineRule="exact"/>
        <w:ind w:firstLine="440" w:firstLineChars="200"/>
        <w:rPr>
          <w:rFonts w:ascii="宋体" w:hAnsi="宋体" w:cs="Calibri"/>
          <w:sz w:val="22"/>
        </w:rPr>
      </w:pPr>
      <w:r>
        <w:rPr>
          <w:rFonts w:ascii="宋体" w:hAnsi="宋体" w:cs="Calibri"/>
          <w:sz w:val="22"/>
        </w:rPr>
        <w:t>（4）服务人员的作业安排和进场计划；</w:t>
      </w:r>
    </w:p>
    <w:p>
      <w:pPr>
        <w:adjustRightInd w:val="0"/>
        <w:snapToGrid w:val="0"/>
        <w:spacing w:line="360" w:lineRule="exact"/>
        <w:ind w:firstLine="440" w:firstLineChars="200"/>
        <w:rPr>
          <w:rFonts w:ascii="宋体" w:hAnsi="宋体" w:cs="Calibri"/>
          <w:sz w:val="22"/>
        </w:rPr>
      </w:pPr>
      <w:r>
        <w:rPr>
          <w:rFonts w:ascii="宋体" w:hAnsi="宋体" w:cs="Calibri"/>
          <w:sz w:val="22"/>
        </w:rPr>
        <w:t>（5）</w:t>
      </w:r>
      <w:r>
        <w:rPr>
          <w:rFonts w:hint="eastAsia" w:ascii="宋体" w:hAnsi="宋体" w:cs="Calibri"/>
          <w:sz w:val="22"/>
        </w:rPr>
        <w:t>运行、安全、服务等相关管理方案</w:t>
      </w:r>
      <w:r>
        <w:rPr>
          <w:rFonts w:ascii="宋体" w:hAnsi="宋体" w:cs="Calibri"/>
          <w:sz w:val="22"/>
        </w:rPr>
        <w:t>；</w:t>
      </w:r>
    </w:p>
    <w:p>
      <w:pPr>
        <w:adjustRightInd w:val="0"/>
        <w:snapToGrid w:val="0"/>
        <w:spacing w:line="360" w:lineRule="exact"/>
        <w:ind w:firstLine="440" w:firstLineChars="200"/>
        <w:rPr>
          <w:rFonts w:ascii="宋体" w:hAnsi="宋体" w:cs="Calibri"/>
          <w:sz w:val="22"/>
        </w:rPr>
      </w:pPr>
      <w:r>
        <w:rPr>
          <w:rFonts w:ascii="宋体" w:hAnsi="宋体" w:cs="Calibri"/>
          <w:sz w:val="22"/>
        </w:rPr>
        <w:t>（6）对本项目的实施意见及重点</w:t>
      </w:r>
      <w:r>
        <w:rPr>
          <w:rFonts w:hint="eastAsia" w:ascii="宋体" w:hAnsi="宋体" w:cs="Calibri"/>
          <w:sz w:val="22"/>
        </w:rPr>
        <w:t>、</w:t>
      </w:r>
      <w:r>
        <w:rPr>
          <w:rFonts w:ascii="宋体" w:hAnsi="宋体" w:cs="Calibri"/>
          <w:sz w:val="22"/>
        </w:rPr>
        <w:t>难点控制；</w:t>
      </w:r>
    </w:p>
    <w:p>
      <w:pPr>
        <w:adjustRightInd w:val="0"/>
        <w:snapToGrid w:val="0"/>
        <w:spacing w:line="360" w:lineRule="exact"/>
        <w:ind w:firstLine="440" w:firstLineChars="200"/>
        <w:rPr>
          <w:rFonts w:ascii="宋体" w:hAnsi="宋体" w:cs="Calibri"/>
          <w:sz w:val="22"/>
        </w:rPr>
      </w:pPr>
      <w:r>
        <w:rPr>
          <w:rFonts w:hint="eastAsia" w:ascii="宋体" w:hAnsi="宋体" w:cs="Calibri"/>
          <w:sz w:val="22"/>
        </w:rPr>
        <w:t>（7）对特殊情况的承诺以及灾害性、突发事件的应急预案；</w:t>
      </w:r>
    </w:p>
    <w:p>
      <w:pPr>
        <w:adjustRightInd w:val="0"/>
        <w:snapToGrid w:val="0"/>
        <w:spacing w:line="360" w:lineRule="exact"/>
        <w:ind w:firstLine="440" w:firstLineChars="200"/>
        <w:rPr>
          <w:rFonts w:ascii="宋体" w:hAnsi="宋体" w:cs="Calibri"/>
          <w:sz w:val="22"/>
        </w:rPr>
      </w:pPr>
      <w:r>
        <w:rPr>
          <w:rFonts w:ascii="宋体" w:hAnsi="宋体" w:cs="Calibri"/>
          <w:sz w:val="22"/>
        </w:rPr>
        <w:t>（</w:t>
      </w:r>
      <w:r>
        <w:rPr>
          <w:rFonts w:hint="eastAsia" w:ascii="宋体" w:hAnsi="宋体" w:cs="Calibri"/>
          <w:sz w:val="22"/>
        </w:rPr>
        <w:t>8</w:t>
      </w:r>
      <w:r>
        <w:rPr>
          <w:rFonts w:ascii="宋体" w:hAnsi="宋体" w:cs="Calibri"/>
          <w:sz w:val="22"/>
        </w:rPr>
        <w:t>）投入到本项目的项目负责人、其他人员的情况汇总表及业绩、经历、能力介绍、资格证明材料及人员到位率的承诺；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ascii="宋体" w:hAnsi="宋体" w:cs="Calibri"/>
          <w:sz w:val="22"/>
        </w:rPr>
      </w:pPr>
      <w:r>
        <w:rPr>
          <w:rFonts w:ascii="宋体" w:hAnsi="宋体" w:cs="Calibri"/>
          <w:sz w:val="22"/>
        </w:rPr>
        <w:t>（</w:t>
      </w:r>
      <w:r>
        <w:rPr>
          <w:rFonts w:hint="eastAsia" w:ascii="宋体" w:hAnsi="宋体" w:cs="Calibri"/>
          <w:sz w:val="22"/>
        </w:rPr>
        <w:t>9</w:t>
      </w:r>
      <w:r>
        <w:rPr>
          <w:rFonts w:ascii="宋体" w:hAnsi="宋体" w:cs="Calibri"/>
          <w:sz w:val="22"/>
        </w:rPr>
        <w:t>）投入本项目服务的仪器、仪表、设备及交通工具汇总表</w:t>
      </w:r>
      <w:r>
        <w:rPr>
          <w:rFonts w:hint="eastAsia" w:ascii="宋体" w:hAnsi="宋体" w:cs="Calibri"/>
          <w:sz w:val="22"/>
        </w:rPr>
        <w:t>。</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七、</w:t>
      </w:r>
      <w:r>
        <w:rPr>
          <w:rFonts w:hint="eastAsia" w:ascii="宋体" w:hAnsi="宋体" w:cs="Arial"/>
          <w:sz w:val="22"/>
        </w:rPr>
        <w:t>投标人认为</w:t>
      </w:r>
      <w:r>
        <w:rPr>
          <w:rFonts w:ascii="宋体" w:hAnsi="宋体" w:cs="Arial"/>
          <w:sz w:val="22"/>
        </w:rPr>
        <w:t>应该提供的其他材料</w:t>
      </w:r>
      <w:r>
        <w:rPr>
          <w:rFonts w:hint="eastAsia" w:ascii="宋体" w:hAnsi="宋体" w:cs="Arial"/>
          <w:sz w:val="22"/>
        </w:rPr>
        <w:t>。</w:t>
      </w:r>
    </w:p>
    <w:p>
      <w:pPr>
        <w:rPr>
          <w:rFonts w:ascii="宋体" w:hAnsi="宋体" w:cs="Calibri"/>
          <w:sz w:val="22"/>
        </w:rPr>
      </w:pPr>
    </w:p>
    <w:p>
      <w:pPr>
        <w:spacing w:line="440" w:lineRule="exact"/>
        <w:rPr>
          <w:rFonts w:ascii="宋体" w:hAnsi="宋体" w:cs="Calibri"/>
          <w:sz w:val="22"/>
        </w:rPr>
      </w:pPr>
    </w:p>
    <w:p>
      <w:pPr>
        <w:spacing w:line="440" w:lineRule="exact"/>
        <w:ind w:right="420"/>
        <w:rPr>
          <w:rFonts w:ascii="宋体" w:hAnsi="宋体" w:cs="Calibri"/>
          <w:sz w:val="22"/>
        </w:rPr>
      </w:pPr>
      <w:r>
        <w:rPr>
          <w:rFonts w:hint="eastAsia" w:ascii="宋体" w:hAnsi="宋体" w:cs="Calibri"/>
          <w:sz w:val="22"/>
        </w:rPr>
        <w:t>注：未提供格式的由投标人自行拟定格式。</w:t>
      </w:r>
    </w:p>
    <w:p>
      <w:pPr>
        <w:spacing w:line="440" w:lineRule="exact"/>
        <w:ind w:right="420"/>
        <w:rPr>
          <w:rFonts w:ascii="宋体" w:hAnsi="宋体" w:cs="Calibri"/>
        </w:rPr>
      </w:pPr>
    </w:p>
    <w:p>
      <w:pPr>
        <w:spacing w:line="440" w:lineRule="exact"/>
        <w:ind w:right="420"/>
        <w:rPr>
          <w:rFonts w:cs="Calibri"/>
        </w:rPr>
      </w:pPr>
    </w:p>
    <w:p>
      <w:pPr>
        <w:spacing w:line="440" w:lineRule="exact"/>
        <w:ind w:right="420"/>
        <w:jc w:val="right"/>
        <w:rPr>
          <w:rFonts w:cs="Calibri"/>
        </w:rPr>
      </w:pPr>
      <w:r>
        <w:rPr>
          <w:rFonts w:cs="Calibri"/>
        </w:rPr>
        <w:br w:type="page"/>
      </w:r>
      <w:r>
        <w:rPr>
          <w:rFonts w:cs="Calibri"/>
        </w:rPr>
        <w:t>正本（或副本）</w:t>
      </w:r>
    </w:p>
    <w:p>
      <w:pPr>
        <w:spacing w:line="440" w:lineRule="exact"/>
        <w:rPr>
          <w:rFonts w:cs="Calibri"/>
          <w:sz w:val="24"/>
          <w:u w:val="single"/>
        </w:rPr>
      </w:pPr>
      <w:bookmarkStart w:id="118" w:name="_Toc171421958"/>
      <w:r>
        <w:rPr>
          <w:rFonts w:cs="Calibri"/>
        </w:rPr>
        <w:t>封面</w:t>
      </w:r>
      <w:bookmarkEnd w:id="118"/>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r>
        <w:rPr>
          <w:rFonts w:hint="eastAsia" w:eastAsia="黑体" w:cs="Calibri"/>
          <w:b/>
          <w:sz w:val="44"/>
          <w:szCs w:val="44"/>
          <w:u w:val="single"/>
        </w:rPr>
        <w:t xml:space="preserve">         </w:t>
      </w:r>
      <w:r>
        <w:rPr>
          <w:rFonts w:eastAsia="黑体" w:cs="Calibri"/>
          <w:b/>
          <w:sz w:val="44"/>
          <w:szCs w:val="44"/>
        </w:rPr>
        <w:t>项目</w:t>
      </w:r>
    </w:p>
    <w:p>
      <w:pPr>
        <w:spacing w:line="440" w:lineRule="exact"/>
        <w:rPr>
          <w:rFonts w:cs="Calibri"/>
          <w:sz w:val="36"/>
          <w:szCs w:val="36"/>
        </w:rPr>
      </w:pPr>
    </w:p>
    <w:p>
      <w:pPr>
        <w:spacing w:line="440" w:lineRule="exact"/>
        <w:ind w:firstLine="480" w:firstLineChars="200"/>
        <w:jc w:val="center"/>
        <w:rPr>
          <w:rFonts w:cs="Calibri"/>
          <w:sz w:val="24"/>
        </w:rPr>
      </w:pPr>
    </w:p>
    <w:p>
      <w:pPr>
        <w:spacing w:line="440" w:lineRule="exact"/>
        <w:rPr>
          <w:rFonts w:cs="Calibri"/>
          <w:sz w:val="44"/>
          <w:szCs w:val="44"/>
        </w:rPr>
      </w:pPr>
    </w:p>
    <w:p>
      <w:pPr>
        <w:spacing w:before="480" w:beforeLines="200" w:after="480" w:afterLines="200" w:line="440" w:lineRule="exact"/>
        <w:jc w:val="center"/>
        <w:rPr>
          <w:rFonts w:cs="Calibri"/>
          <w:b/>
          <w:bCs/>
          <w:sz w:val="84"/>
          <w:szCs w:val="84"/>
        </w:rPr>
      </w:pPr>
      <w:r>
        <w:rPr>
          <w:rFonts w:cs="Calibri"/>
          <w:b/>
          <w:bCs/>
          <w:sz w:val="84"/>
          <w:szCs w:val="84"/>
        </w:rPr>
        <w:t>投标文件</w:t>
      </w:r>
    </w:p>
    <w:p>
      <w:pPr>
        <w:spacing w:line="440" w:lineRule="exact"/>
        <w:ind w:firstLine="480" w:firstLineChars="200"/>
        <w:jc w:val="center"/>
        <w:rPr>
          <w:rFonts w:cs="Calibri"/>
          <w:sz w:val="24"/>
        </w:rPr>
      </w:pPr>
    </w:p>
    <w:p>
      <w:pPr>
        <w:spacing w:line="440" w:lineRule="exact"/>
        <w:ind w:firstLine="480" w:firstLineChars="200"/>
        <w:rPr>
          <w:rFonts w:cs="Calibri"/>
          <w:sz w:val="24"/>
        </w:rPr>
      </w:pPr>
      <w:r>
        <w:rPr>
          <w:rFonts w:cs="Calibri"/>
          <w:sz w:val="24"/>
        </w:rPr>
        <w:t xml:space="preserve">                  </w:t>
      </w: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440" w:lineRule="exact"/>
        <w:ind w:firstLine="480" w:firstLineChars="200"/>
        <w:jc w:val="center"/>
        <w:rPr>
          <w:rFonts w:cs="Calibri"/>
          <w:sz w:val="24"/>
        </w:rPr>
      </w:pPr>
    </w:p>
    <w:p>
      <w:pPr>
        <w:spacing w:line="360" w:lineRule="auto"/>
        <w:ind w:firstLine="1400" w:firstLineChars="500"/>
        <w:rPr>
          <w:rFonts w:cs="Calibri"/>
          <w:sz w:val="28"/>
          <w:szCs w:val="28"/>
          <w:u w:val="single"/>
        </w:rPr>
      </w:pPr>
      <w:r>
        <w:rPr>
          <w:rFonts w:cs="Calibri"/>
          <w:sz w:val="28"/>
          <w:szCs w:val="28"/>
        </w:rPr>
        <w:t>投标人：</w:t>
      </w:r>
      <w:r>
        <w:rPr>
          <w:rFonts w:cs="Calibri"/>
          <w:sz w:val="28"/>
          <w:szCs w:val="28"/>
          <w:u w:val="single"/>
        </w:rPr>
        <w:t xml:space="preserve">                （盖单位章）           </w:t>
      </w:r>
    </w:p>
    <w:p>
      <w:pPr>
        <w:spacing w:line="360" w:lineRule="auto"/>
        <w:ind w:firstLine="1400" w:firstLineChars="500"/>
        <w:rPr>
          <w:rFonts w:cs="Calibri"/>
          <w:sz w:val="28"/>
          <w:szCs w:val="28"/>
        </w:rPr>
      </w:pPr>
      <w:r>
        <w:rPr>
          <w:rFonts w:cs="Calibri"/>
          <w:sz w:val="28"/>
          <w:szCs w:val="28"/>
        </w:rPr>
        <w:t>法定代表人或其委托代理人：</w:t>
      </w:r>
      <w:r>
        <w:rPr>
          <w:rFonts w:cs="Calibri"/>
          <w:sz w:val="28"/>
          <w:szCs w:val="28"/>
          <w:u w:val="single"/>
        </w:rPr>
        <w:t xml:space="preserve">   （签字或盖章）   </w:t>
      </w:r>
    </w:p>
    <w:p>
      <w:pPr>
        <w:spacing w:line="360" w:lineRule="auto"/>
        <w:ind w:firstLine="1400" w:firstLineChars="500"/>
        <w:rPr>
          <w:rFonts w:cs="Calibri"/>
          <w:sz w:val="28"/>
          <w:szCs w:val="28"/>
        </w:rPr>
      </w:pPr>
      <w:r>
        <w:rPr>
          <w:rFonts w:cs="Calibri"/>
          <w:sz w:val="28"/>
          <w:szCs w:val="28"/>
        </w:rPr>
        <w:t>日  期：</w:t>
      </w:r>
      <w:r>
        <w:rPr>
          <w:rFonts w:cs="Calibri"/>
          <w:sz w:val="28"/>
          <w:szCs w:val="28"/>
          <w:u w:val="single"/>
        </w:rPr>
        <w:t xml:space="preserve">        </w:t>
      </w:r>
      <w:r>
        <w:rPr>
          <w:rFonts w:cs="Calibri"/>
          <w:sz w:val="28"/>
          <w:szCs w:val="28"/>
        </w:rPr>
        <w:t>年</w:t>
      </w:r>
      <w:r>
        <w:rPr>
          <w:rFonts w:cs="Calibri"/>
          <w:sz w:val="28"/>
          <w:szCs w:val="28"/>
          <w:u w:val="single"/>
        </w:rPr>
        <w:t xml:space="preserve">         </w:t>
      </w:r>
      <w:r>
        <w:rPr>
          <w:rFonts w:cs="Calibri"/>
          <w:sz w:val="28"/>
          <w:szCs w:val="28"/>
        </w:rPr>
        <w:t>月</w:t>
      </w:r>
      <w:r>
        <w:rPr>
          <w:rFonts w:cs="Calibri"/>
          <w:sz w:val="28"/>
          <w:szCs w:val="28"/>
          <w:u w:val="single"/>
        </w:rPr>
        <w:t xml:space="preserve">        </w:t>
      </w:r>
      <w:r>
        <w:rPr>
          <w:rFonts w:cs="Calibri"/>
          <w:sz w:val="28"/>
          <w:szCs w:val="28"/>
        </w:rPr>
        <w:t>日</w:t>
      </w:r>
    </w:p>
    <w:p>
      <w:pPr>
        <w:spacing w:line="360" w:lineRule="auto"/>
        <w:ind w:firstLine="1400" w:firstLineChars="500"/>
        <w:rPr>
          <w:rFonts w:cs="Calibri"/>
          <w:sz w:val="28"/>
          <w:szCs w:val="28"/>
        </w:rPr>
      </w:pPr>
    </w:p>
    <w:p>
      <w:pPr>
        <w:spacing w:line="360" w:lineRule="auto"/>
        <w:jc w:val="center"/>
        <w:rPr>
          <w:rFonts w:eastAsia="黑体" w:cs="Calibri"/>
          <w:bCs/>
          <w:sz w:val="32"/>
          <w:szCs w:val="32"/>
        </w:rPr>
      </w:pPr>
      <w:r>
        <w:rPr>
          <w:rFonts w:cs="Calibri"/>
          <w:sz w:val="24"/>
        </w:rPr>
        <w:br w:type="page"/>
      </w:r>
      <w:r>
        <w:rPr>
          <w:rFonts w:eastAsia="黑体" w:cs="Calibri"/>
          <w:bCs/>
          <w:sz w:val="32"/>
          <w:szCs w:val="32"/>
        </w:rPr>
        <w:t>一、投 标 函</w:t>
      </w:r>
    </w:p>
    <w:p>
      <w:pPr>
        <w:spacing w:line="440" w:lineRule="exact"/>
        <w:jc w:val="center"/>
        <w:rPr>
          <w:rFonts w:cs="Calibri"/>
          <w:b/>
          <w:bCs/>
          <w:sz w:val="28"/>
          <w:szCs w:val="28"/>
        </w:rPr>
      </w:pPr>
    </w:p>
    <w:p>
      <w:pPr>
        <w:snapToGrid w:val="0"/>
        <w:spacing w:line="360" w:lineRule="auto"/>
        <w:rPr>
          <w:rFonts w:ascii="宋体" w:hAnsi="宋体" w:cs="Calibri"/>
          <w:b/>
          <w:bCs/>
          <w:sz w:val="24"/>
          <w:szCs w:val="24"/>
        </w:rPr>
      </w:pPr>
      <w:r>
        <w:rPr>
          <w:rFonts w:ascii="宋体" w:hAnsi="宋体"/>
          <w:sz w:val="24"/>
          <w:szCs w:val="24"/>
        </w:rPr>
        <w:t>致：</w:t>
      </w:r>
      <w:r>
        <w:rPr>
          <w:rFonts w:hint="eastAsia" w:ascii="宋体" w:hAnsi="宋体"/>
          <w:sz w:val="24"/>
          <w:szCs w:val="24"/>
        </w:rPr>
        <w:t>杭州萧山国际机场</w:t>
      </w:r>
      <w:r>
        <w:rPr>
          <w:rFonts w:ascii="宋体" w:hAnsi="宋体"/>
          <w:sz w:val="24"/>
          <w:szCs w:val="24"/>
        </w:rPr>
        <w:t>有限公司</w:t>
      </w:r>
    </w:p>
    <w:p>
      <w:pPr>
        <w:snapToGrid w:val="0"/>
        <w:spacing w:line="360" w:lineRule="auto"/>
        <w:ind w:firstLine="600" w:firstLineChars="250"/>
        <w:rPr>
          <w:rFonts w:ascii="宋体" w:hAnsi="宋体" w:cs="Calibri"/>
          <w:sz w:val="24"/>
        </w:rPr>
      </w:pPr>
      <w:r>
        <w:rPr>
          <w:rFonts w:ascii="宋体" w:hAnsi="宋体" w:cs="Calibri"/>
          <w:sz w:val="24"/>
        </w:rPr>
        <w:t>1、根据已收到的</w:t>
      </w:r>
      <w:r>
        <w:rPr>
          <w:rFonts w:ascii="宋体" w:hAnsi="宋体" w:cs="Calibri"/>
          <w:sz w:val="24"/>
          <w:u w:val="single"/>
        </w:rPr>
        <w:t xml:space="preserve">                           </w:t>
      </w:r>
      <w:r>
        <w:rPr>
          <w:rFonts w:ascii="宋体" w:hAnsi="宋体" w:cs="Calibri"/>
          <w:sz w:val="24"/>
        </w:rPr>
        <w:t>招标文件，遵照《中华人民共和国招标投标法》等有关规定，经考察现场和研究上述招标文件后，我方愿以投标总价</w:t>
      </w:r>
      <w:r>
        <w:rPr>
          <w:rFonts w:hint="eastAsia" w:ascii="宋体" w:hAnsi="宋体" w:cs="Calibri"/>
          <w:sz w:val="24"/>
        </w:rPr>
        <w:t>为</w:t>
      </w:r>
      <w:r>
        <w:rPr>
          <w:rFonts w:ascii="宋体" w:hAnsi="宋体" w:cs="Calibri"/>
          <w:sz w:val="24"/>
        </w:rPr>
        <w:t>人民币 (大写)：</w:t>
      </w:r>
      <w:r>
        <w:rPr>
          <w:rFonts w:ascii="宋体" w:hAnsi="宋体" w:cs="Calibri"/>
          <w:sz w:val="24"/>
          <w:u w:val="single"/>
        </w:rPr>
        <w:t xml:space="preserve">               </w:t>
      </w:r>
      <w:r>
        <w:rPr>
          <w:rFonts w:ascii="宋体" w:hAnsi="宋体" w:cs="Calibri"/>
          <w:sz w:val="24"/>
        </w:rPr>
        <w:t>元（RMB</w:t>
      </w:r>
      <w:r>
        <w:rPr>
          <w:rFonts w:ascii="宋体" w:hAnsi="宋体" w:cs="Calibri"/>
          <w:sz w:val="24"/>
          <w:u w:val="single"/>
        </w:rPr>
        <w:t xml:space="preserve">         </w:t>
      </w:r>
      <w:r>
        <w:rPr>
          <w:rFonts w:ascii="宋体" w:hAnsi="宋体" w:cs="Calibri"/>
          <w:sz w:val="24"/>
        </w:rPr>
        <w:t>元）报价并按上述招标文件要求承揽上述项目</w:t>
      </w:r>
      <w:r>
        <w:rPr>
          <w:rFonts w:hint="eastAsia" w:ascii="宋体" w:hAnsi="宋体" w:cs="Calibri"/>
          <w:bCs/>
          <w:sz w:val="24"/>
        </w:rPr>
        <w:t>所有</w:t>
      </w:r>
      <w:r>
        <w:rPr>
          <w:rFonts w:ascii="宋体" w:hAnsi="宋体" w:cs="Calibri"/>
          <w:bCs/>
          <w:sz w:val="24"/>
        </w:rPr>
        <w:t>等工作</w:t>
      </w:r>
      <w:r>
        <w:rPr>
          <w:rFonts w:ascii="宋体" w:hAnsi="宋体" w:cs="Calibri"/>
          <w:sz w:val="24"/>
          <w:szCs w:val="21"/>
        </w:rPr>
        <w:t>。</w:t>
      </w:r>
      <w:r>
        <w:rPr>
          <w:rFonts w:ascii="宋体" w:hAnsi="宋体" w:cs="Calibri"/>
          <w:sz w:val="24"/>
        </w:rPr>
        <w:t xml:space="preserve"> </w:t>
      </w:r>
    </w:p>
    <w:p>
      <w:pPr>
        <w:snapToGrid w:val="0"/>
        <w:spacing w:line="360" w:lineRule="auto"/>
        <w:ind w:firstLine="600" w:firstLineChars="250"/>
        <w:rPr>
          <w:rFonts w:ascii="宋体" w:hAnsi="宋体" w:cs="Calibri"/>
          <w:b/>
          <w:sz w:val="24"/>
        </w:rPr>
      </w:pPr>
      <w:r>
        <w:rPr>
          <w:rFonts w:ascii="宋体" w:hAnsi="宋体" w:cs="Calibri"/>
          <w:sz w:val="24"/>
        </w:rPr>
        <w:t>2、一旦我方中标，我方保证在</w:t>
      </w:r>
      <w:r>
        <w:rPr>
          <w:rFonts w:hint="eastAsia" w:ascii="宋体" w:hAnsi="宋体" w:cs="Calibri"/>
          <w:sz w:val="24"/>
        </w:rPr>
        <w:t>服务期</w:t>
      </w:r>
      <w:r>
        <w:rPr>
          <w:rFonts w:ascii="宋体" w:hAnsi="宋体" w:cs="Calibri"/>
          <w:sz w:val="24"/>
        </w:rPr>
        <w:t>内完成</w:t>
      </w:r>
      <w:r>
        <w:rPr>
          <w:rFonts w:hint="eastAsia" w:ascii="宋体" w:hAnsi="宋体" w:cs="Calibri"/>
          <w:sz w:val="24"/>
        </w:rPr>
        <w:t>全部</w:t>
      </w:r>
      <w:r>
        <w:rPr>
          <w:rFonts w:ascii="宋体" w:hAnsi="宋体" w:cs="Calibri"/>
          <w:bCs/>
          <w:sz w:val="24"/>
        </w:rPr>
        <w:t>工作</w:t>
      </w:r>
      <w:r>
        <w:rPr>
          <w:rFonts w:ascii="宋体" w:hAnsi="宋体" w:cs="Calibri"/>
          <w:sz w:val="24"/>
        </w:rPr>
        <w:t>。</w:t>
      </w:r>
    </w:p>
    <w:p>
      <w:pPr>
        <w:snapToGrid w:val="0"/>
        <w:spacing w:line="360" w:lineRule="auto"/>
        <w:rPr>
          <w:rFonts w:ascii="宋体" w:hAnsi="宋体" w:cs="Calibri"/>
          <w:sz w:val="24"/>
          <w:szCs w:val="20"/>
        </w:rPr>
      </w:pPr>
      <w:r>
        <w:rPr>
          <w:rFonts w:ascii="宋体" w:hAnsi="宋体" w:cs="Calibri"/>
          <w:sz w:val="24"/>
        </w:rPr>
        <w:t>　　 3、我方同意所递交的投标文件在“前附表”规定的投标有效期内有效，在此期间内我方的投标有可能中标，我方将受此约束。</w:t>
      </w:r>
    </w:p>
    <w:p>
      <w:pPr>
        <w:snapToGrid w:val="0"/>
        <w:spacing w:line="360" w:lineRule="auto"/>
        <w:rPr>
          <w:rFonts w:ascii="宋体" w:hAnsi="宋体" w:cs="Calibri"/>
          <w:sz w:val="24"/>
          <w:szCs w:val="20"/>
        </w:rPr>
      </w:pPr>
      <w:r>
        <w:rPr>
          <w:rFonts w:ascii="宋体" w:hAnsi="宋体" w:cs="Calibri"/>
          <w:sz w:val="24"/>
        </w:rPr>
        <w:t xml:space="preserve">     4、除非另外达成协议并生效，你方的中标通知书和本投标文件将构成约束我们双方的合同。</w:t>
      </w:r>
    </w:p>
    <w:p>
      <w:pPr>
        <w:snapToGrid w:val="0"/>
        <w:spacing w:line="360" w:lineRule="auto"/>
        <w:ind w:firstLine="600" w:firstLineChars="250"/>
        <w:rPr>
          <w:rFonts w:ascii="宋体" w:hAnsi="宋体" w:cs="Calibri"/>
          <w:sz w:val="24"/>
        </w:rPr>
      </w:pPr>
      <w:r>
        <w:rPr>
          <w:rFonts w:ascii="宋体" w:hAnsi="宋体" w:cs="Calibri"/>
          <w:sz w:val="24"/>
        </w:rPr>
        <w:t>5、一旦我方中标，我方保证按照招标文件的要求，按时签订</w:t>
      </w:r>
      <w:r>
        <w:rPr>
          <w:rFonts w:hint="eastAsia" w:ascii="宋体" w:hAnsi="宋体" w:cs="Calibri"/>
          <w:sz w:val="24"/>
        </w:rPr>
        <w:t>服务</w:t>
      </w:r>
      <w:r>
        <w:rPr>
          <w:rFonts w:ascii="宋体" w:hAnsi="宋体" w:cs="Calibri"/>
          <w:sz w:val="24"/>
        </w:rPr>
        <w:t>合同</w:t>
      </w:r>
      <w:r>
        <w:rPr>
          <w:rFonts w:hint="eastAsia" w:ascii="宋体" w:hAnsi="宋体" w:cs="Calibri"/>
          <w:sz w:val="24"/>
        </w:rPr>
        <w:t>，并</w:t>
      </w:r>
      <w:r>
        <w:rPr>
          <w:rFonts w:ascii="宋体" w:hAnsi="宋体" w:cs="Calibri"/>
          <w:sz w:val="24"/>
        </w:rPr>
        <w:t>全面履行</w:t>
      </w:r>
      <w:r>
        <w:rPr>
          <w:rFonts w:hint="eastAsia" w:ascii="宋体" w:hAnsi="宋体" w:cs="Calibri"/>
          <w:sz w:val="24"/>
        </w:rPr>
        <w:t>服务</w:t>
      </w:r>
      <w:r>
        <w:rPr>
          <w:rFonts w:ascii="宋体" w:hAnsi="宋体" w:cs="Calibri"/>
          <w:sz w:val="24"/>
        </w:rPr>
        <w:t>合同。</w:t>
      </w:r>
    </w:p>
    <w:p>
      <w:pPr>
        <w:snapToGrid w:val="0"/>
        <w:spacing w:line="360" w:lineRule="auto"/>
        <w:ind w:firstLine="600" w:firstLineChars="250"/>
        <w:rPr>
          <w:rFonts w:ascii="宋体" w:hAnsi="宋体" w:cs="Calibri"/>
          <w:sz w:val="24"/>
        </w:rPr>
      </w:pPr>
      <w:r>
        <w:rPr>
          <w:rFonts w:hint="eastAsia" w:ascii="宋体" w:hAnsi="宋体" w:cs="Calibri"/>
          <w:sz w:val="24"/>
        </w:rPr>
        <w:t>6、我方已详细审查全部招标文件，包括补充公告以及供参考的全部资料和有关附件（若有），我方完全理解并同意放弃对这方面有不明及误解的权力。</w:t>
      </w:r>
    </w:p>
    <w:p>
      <w:pPr>
        <w:snapToGrid w:val="0"/>
        <w:spacing w:line="360" w:lineRule="auto"/>
        <w:ind w:firstLine="600" w:firstLineChars="250"/>
        <w:rPr>
          <w:rFonts w:ascii="宋体" w:hAnsi="宋体" w:cs="Calibri"/>
          <w:sz w:val="24"/>
        </w:rPr>
      </w:pPr>
      <w:r>
        <w:rPr>
          <w:rFonts w:hint="eastAsia" w:ascii="宋体" w:hAnsi="宋体" w:cs="Calibri"/>
          <w:sz w:val="24"/>
        </w:rPr>
        <w:t>7、我方同意按照你方可能要求提供与投标有关的任何其他数据或资料，且完全理解贵方不一定接受最低价的投标或收到的任何投标，以及对评标和定标结果不负责解释。</w:t>
      </w:r>
    </w:p>
    <w:p>
      <w:pPr>
        <w:snapToGrid w:val="0"/>
        <w:spacing w:line="440" w:lineRule="exact"/>
        <w:rPr>
          <w:rFonts w:ascii="宋体" w:hAnsi="宋体" w:cs="Calibri"/>
          <w:szCs w:val="21"/>
        </w:rPr>
      </w:pPr>
    </w:p>
    <w:p>
      <w:pPr>
        <w:snapToGrid w:val="0"/>
        <w:spacing w:line="440" w:lineRule="exact"/>
        <w:rPr>
          <w:rFonts w:ascii="宋体" w:hAnsi="宋体" w:cs="Calibri"/>
          <w:szCs w:val="21"/>
        </w:rPr>
      </w:pPr>
    </w:p>
    <w:p>
      <w:pPr>
        <w:snapToGrid w:val="0"/>
        <w:spacing w:line="440" w:lineRule="exact"/>
        <w:rPr>
          <w:rFonts w:ascii="宋体" w:hAnsi="宋体" w:cs="Calibri"/>
          <w:szCs w:val="21"/>
        </w:rPr>
      </w:pPr>
    </w:p>
    <w:p>
      <w:pPr>
        <w:snapToGrid w:val="0"/>
        <w:spacing w:line="440" w:lineRule="exact"/>
        <w:ind w:firstLine="3600" w:firstLineChars="1500"/>
        <w:rPr>
          <w:rFonts w:ascii="宋体" w:hAnsi="宋体" w:cs="Calibri"/>
          <w:sz w:val="24"/>
        </w:rPr>
      </w:pPr>
      <w:r>
        <w:rPr>
          <w:rFonts w:ascii="宋体" w:hAnsi="宋体" w:cs="Calibri"/>
          <w:sz w:val="24"/>
        </w:rPr>
        <w:t>投标人：（盖单位章）</w:t>
      </w:r>
    </w:p>
    <w:p>
      <w:pPr>
        <w:snapToGrid w:val="0"/>
        <w:spacing w:line="440" w:lineRule="exact"/>
        <w:ind w:firstLine="3600" w:firstLineChars="1500"/>
        <w:rPr>
          <w:rFonts w:ascii="宋体" w:hAnsi="宋体" w:cs="Calibri"/>
          <w:sz w:val="24"/>
        </w:rPr>
      </w:pPr>
      <w:r>
        <w:rPr>
          <w:rFonts w:ascii="宋体" w:hAnsi="宋体" w:cs="Calibri"/>
          <w:sz w:val="24"/>
        </w:rPr>
        <w:t>法定代表人或其委托代理人：（签字或盖章）</w:t>
      </w:r>
    </w:p>
    <w:p>
      <w:pPr>
        <w:snapToGrid w:val="0"/>
        <w:spacing w:line="440" w:lineRule="exact"/>
        <w:ind w:firstLine="3600" w:firstLineChars="1500"/>
        <w:rPr>
          <w:rFonts w:ascii="宋体" w:hAnsi="宋体" w:cs="Calibri"/>
          <w:sz w:val="24"/>
        </w:rPr>
      </w:pPr>
      <w:r>
        <w:rPr>
          <w:rFonts w:ascii="宋体" w:hAnsi="宋体" w:cs="Calibri"/>
          <w:sz w:val="24"/>
        </w:rPr>
        <w:t>地    址：</w:t>
      </w:r>
    </w:p>
    <w:p>
      <w:pPr>
        <w:snapToGrid w:val="0"/>
        <w:spacing w:line="440" w:lineRule="exact"/>
        <w:ind w:firstLine="3600" w:firstLineChars="1500"/>
        <w:rPr>
          <w:rFonts w:ascii="宋体" w:hAnsi="宋体" w:cs="Calibri"/>
          <w:sz w:val="24"/>
        </w:rPr>
      </w:pPr>
      <w:r>
        <w:rPr>
          <w:rFonts w:ascii="宋体" w:hAnsi="宋体" w:cs="Calibri"/>
          <w:sz w:val="24"/>
        </w:rPr>
        <w:t>邮政编码：</w:t>
      </w:r>
    </w:p>
    <w:p>
      <w:pPr>
        <w:snapToGrid w:val="0"/>
        <w:spacing w:line="440" w:lineRule="exact"/>
        <w:ind w:firstLine="3600" w:firstLineChars="1500"/>
        <w:rPr>
          <w:rFonts w:ascii="宋体" w:hAnsi="宋体" w:cs="Calibri"/>
          <w:sz w:val="24"/>
        </w:rPr>
      </w:pPr>
      <w:r>
        <w:rPr>
          <w:rFonts w:ascii="宋体" w:hAnsi="宋体" w:cs="Calibri"/>
          <w:sz w:val="24"/>
        </w:rPr>
        <w:t>电    话：</w:t>
      </w:r>
    </w:p>
    <w:p>
      <w:pPr>
        <w:snapToGrid w:val="0"/>
        <w:spacing w:line="440" w:lineRule="exact"/>
        <w:ind w:firstLine="3600" w:firstLineChars="1500"/>
        <w:rPr>
          <w:rFonts w:ascii="宋体" w:hAnsi="宋体" w:cs="Calibri"/>
          <w:sz w:val="24"/>
        </w:rPr>
      </w:pPr>
      <w:r>
        <w:rPr>
          <w:rFonts w:ascii="宋体" w:hAnsi="宋体" w:cs="Calibri"/>
          <w:sz w:val="24"/>
        </w:rPr>
        <w:t>传    真：</w:t>
      </w:r>
    </w:p>
    <w:p>
      <w:pPr>
        <w:snapToGrid w:val="0"/>
        <w:spacing w:line="440" w:lineRule="exact"/>
        <w:ind w:firstLine="3600" w:firstLineChars="1500"/>
        <w:rPr>
          <w:rFonts w:ascii="宋体" w:hAnsi="宋体" w:cs="Calibri"/>
          <w:sz w:val="24"/>
        </w:rPr>
      </w:pPr>
      <w:r>
        <w:rPr>
          <w:rFonts w:ascii="宋体" w:hAnsi="宋体" w:cs="Calibri"/>
          <w:sz w:val="24"/>
        </w:rPr>
        <w:t>开户银行：</w:t>
      </w:r>
    </w:p>
    <w:p>
      <w:pPr>
        <w:snapToGrid w:val="0"/>
        <w:spacing w:line="440" w:lineRule="exact"/>
        <w:ind w:firstLine="3600" w:firstLineChars="1500"/>
        <w:rPr>
          <w:rFonts w:ascii="宋体" w:hAnsi="宋体" w:cs="Calibri"/>
          <w:sz w:val="24"/>
        </w:rPr>
      </w:pPr>
      <w:r>
        <w:rPr>
          <w:rFonts w:ascii="宋体" w:hAnsi="宋体" w:cs="Calibri"/>
          <w:sz w:val="24"/>
        </w:rPr>
        <w:t>账    号：</w:t>
      </w:r>
    </w:p>
    <w:p>
      <w:pPr>
        <w:snapToGrid w:val="0"/>
        <w:spacing w:line="440" w:lineRule="exact"/>
        <w:ind w:firstLine="3600" w:firstLineChars="1500"/>
        <w:rPr>
          <w:rFonts w:eastAsia="黑体" w:cs="Calibri"/>
          <w:sz w:val="32"/>
          <w:szCs w:val="32"/>
        </w:rPr>
      </w:pPr>
      <w:r>
        <w:rPr>
          <w:rFonts w:ascii="宋体" w:hAnsi="宋体" w:cs="Calibri"/>
          <w:sz w:val="24"/>
        </w:rPr>
        <w:t>日    期：    年     月     日</w:t>
      </w:r>
      <w:r>
        <w:rPr>
          <w:rFonts w:eastAsia="黑体" w:cs="Calibri"/>
          <w:sz w:val="32"/>
          <w:szCs w:val="32"/>
        </w:rPr>
        <w:br w:type="page"/>
      </w:r>
    </w:p>
    <w:p>
      <w:pPr>
        <w:adjustRightInd w:val="0"/>
        <w:snapToGrid w:val="0"/>
        <w:jc w:val="center"/>
        <w:rPr>
          <w:rFonts w:eastAsia="黑体" w:cs="Calibri"/>
          <w:sz w:val="32"/>
          <w:szCs w:val="32"/>
        </w:rPr>
      </w:pPr>
      <w:r>
        <w:rPr>
          <w:rFonts w:hint="eastAsia" w:eastAsia="黑体" w:cs="Calibri"/>
          <w:sz w:val="32"/>
          <w:szCs w:val="32"/>
        </w:rPr>
        <w:t>二</w:t>
      </w:r>
      <w:r>
        <w:rPr>
          <w:rFonts w:eastAsia="黑体" w:cs="Calibri"/>
          <w:sz w:val="32"/>
          <w:szCs w:val="32"/>
        </w:rPr>
        <w:t>、法定代表人身份证明</w:t>
      </w:r>
    </w:p>
    <w:p>
      <w:pPr>
        <w:spacing w:after="120" w:afterLines="50" w:line="440" w:lineRule="exact"/>
        <w:rPr>
          <w:rFonts w:cs="Calibri"/>
          <w:sz w:val="24"/>
        </w:rPr>
      </w:pPr>
    </w:p>
    <w:p>
      <w:pPr>
        <w:spacing w:after="120" w:afterLines="50" w:line="440" w:lineRule="exact"/>
        <w:rPr>
          <w:rFonts w:cs="Calibri"/>
          <w:szCs w:val="21"/>
          <w:u w:val="single"/>
        </w:rPr>
      </w:pPr>
      <w:r>
        <w:rPr>
          <w:rFonts w:cs="Calibri"/>
          <w:szCs w:val="21"/>
        </w:rPr>
        <w:t>投标人名称：</w:t>
      </w:r>
      <w:r>
        <w:rPr>
          <w:rFonts w:cs="Calibri"/>
          <w:szCs w:val="21"/>
          <w:u w:val="single"/>
        </w:rPr>
        <w:t xml:space="preserve">                                  </w:t>
      </w:r>
    </w:p>
    <w:p>
      <w:pPr>
        <w:spacing w:after="120" w:afterLines="50" w:line="440" w:lineRule="exact"/>
        <w:rPr>
          <w:rFonts w:cs="Calibri"/>
          <w:szCs w:val="21"/>
          <w:u w:val="single"/>
        </w:rPr>
      </w:pPr>
      <w:r>
        <w:rPr>
          <w:rFonts w:cs="Calibri"/>
          <w:szCs w:val="21"/>
        </w:rPr>
        <w:t>单位性质：</w:t>
      </w:r>
      <w:r>
        <w:rPr>
          <w:rFonts w:cs="Calibri"/>
          <w:szCs w:val="21"/>
          <w:u w:val="single"/>
        </w:rPr>
        <w:t xml:space="preserve">                                    </w:t>
      </w:r>
    </w:p>
    <w:p>
      <w:pPr>
        <w:spacing w:after="120" w:afterLines="50" w:line="440" w:lineRule="exact"/>
        <w:rPr>
          <w:rFonts w:cs="Calibri"/>
          <w:szCs w:val="21"/>
          <w:u w:val="single"/>
        </w:rPr>
      </w:pPr>
      <w:r>
        <w:rPr>
          <w:rFonts w:cs="Calibri"/>
          <w:szCs w:val="21"/>
        </w:rPr>
        <w:t>地址：</w:t>
      </w:r>
      <w:r>
        <w:rPr>
          <w:rFonts w:cs="Calibri"/>
          <w:szCs w:val="21"/>
          <w:u w:val="single"/>
        </w:rPr>
        <w:t xml:space="preserve">                                        </w:t>
      </w:r>
    </w:p>
    <w:p>
      <w:pPr>
        <w:spacing w:after="120" w:afterLines="50" w:line="440" w:lineRule="exact"/>
        <w:rPr>
          <w:rFonts w:cs="Calibri"/>
          <w:szCs w:val="21"/>
          <w:u w:val="single"/>
        </w:rPr>
      </w:pPr>
      <w:r>
        <w:rPr>
          <w:rFonts w:cs="Calibri"/>
          <w:szCs w:val="21"/>
        </w:rPr>
        <w:t>成立时间：</w:t>
      </w:r>
      <w:r>
        <w:rPr>
          <w:rFonts w:cs="Calibri"/>
          <w:szCs w:val="21"/>
          <w:u w:val="single"/>
        </w:rPr>
        <w:t xml:space="preserve">          </w:t>
      </w:r>
      <w:r>
        <w:rPr>
          <w:rFonts w:cs="Calibri"/>
          <w:szCs w:val="21"/>
        </w:rPr>
        <w:t>年</w:t>
      </w:r>
      <w:r>
        <w:rPr>
          <w:rFonts w:cs="Calibri"/>
          <w:szCs w:val="21"/>
          <w:u w:val="single"/>
        </w:rPr>
        <w:t xml:space="preserve">           </w:t>
      </w:r>
      <w:r>
        <w:rPr>
          <w:rFonts w:cs="Calibri"/>
          <w:szCs w:val="21"/>
        </w:rPr>
        <w:t>月</w:t>
      </w:r>
      <w:r>
        <w:rPr>
          <w:rFonts w:cs="Calibri"/>
          <w:szCs w:val="21"/>
          <w:u w:val="single"/>
        </w:rPr>
        <w:t xml:space="preserve">           </w:t>
      </w:r>
      <w:r>
        <w:rPr>
          <w:rFonts w:cs="Calibri"/>
          <w:szCs w:val="21"/>
        </w:rPr>
        <w:t>日</w:t>
      </w:r>
    </w:p>
    <w:p>
      <w:pPr>
        <w:spacing w:after="120" w:afterLines="50" w:line="440" w:lineRule="exact"/>
        <w:rPr>
          <w:rFonts w:cs="Calibri"/>
          <w:szCs w:val="21"/>
          <w:u w:val="single"/>
        </w:rPr>
      </w:pPr>
      <w:r>
        <w:rPr>
          <w:rFonts w:cs="Calibri"/>
          <w:szCs w:val="21"/>
        </w:rPr>
        <w:t>经营期限：</w:t>
      </w:r>
      <w:r>
        <w:rPr>
          <w:rFonts w:cs="Calibri"/>
          <w:szCs w:val="21"/>
          <w:u w:val="single"/>
        </w:rPr>
        <w:t xml:space="preserve">                                     </w:t>
      </w:r>
    </w:p>
    <w:p>
      <w:pPr>
        <w:spacing w:after="120" w:afterLines="50" w:line="440" w:lineRule="exact"/>
        <w:rPr>
          <w:rFonts w:cs="Calibri"/>
          <w:szCs w:val="21"/>
          <w:u w:val="single"/>
        </w:rPr>
      </w:pPr>
      <w:r>
        <w:rPr>
          <w:rFonts w:cs="Calibri"/>
          <w:szCs w:val="21"/>
        </w:rPr>
        <w:t>姓名：</w:t>
      </w:r>
      <w:r>
        <w:rPr>
          <w:rFonts w:cs="Calibri"/>
          <w:szCs w:val="21"/>
          <w:u w:val="single"/>
        </w:rPr>
        <w:t xml:space="preserve">         </w:t>
      </w:r>
      <w:r>
        <w:rPr>
          <w:rFonts w:cs="Calibri"/>
          <w:szCs w:val="21"/>
        </w:rPr>
        <w:t xml:space="preserve">  性别：</w:t>
      </w:r>
      <w:r>
        <w:rPr>
          <w:rFonts w:cs="Calibri"/>
          <w:szCs w:val="21"/>
          <w:u w:val="single"/>
        </w:rPr>
        <w:t xml:space="preserve">         </w:t>
      </w:r>
      <w:r>
        <w:rPr>
          <w:rFonts w:cs="Calibri"/>
          <w:szCs w:val="21"/>
        </w:rPr>
        <w:t xml:space="preserve">  年龄：</w:t>
      </w:r>
      <w:r>
        <w:rPr>
          <w:rFonts w:cs="Calibri"/>
          <w:szCs w:val="21"/>
          <w:u w:val="single"/>
        </w:rPr>
        <w:t xml:space="preserve">         </w:t>
      </w:r>
      <w:r>
        <w:rPr>
          <w:rFonts w:cs="Calibri"/>
          <w:szCs w:val="21"/>
        </w:rPr>
        <w:t xml:space="preserve">  职务：</w:t>
      </w:r>
      <w:r>
        <w:rPr>
          <w:rFonts w:cs="Calibri"/>
          <w:szCs w:val="21"/>
          <w:u w:val="single"/>
        </w:rPr>
        <w:t xml:space="preserve">         </w:t>
      </w:r>
      <w:r>
        <w:rPr>
          <w:rFonts w:cs="Calibri"/>
          <w:szCs w:val="21"/>
        </w:rPr>
        <w:t xml:space="preserve">  </w:t>
      </w:r>
    </w:p>
    <w:p>
      <w:pPr>
        <w:spacing w:after="120" w:afterLines="50" w:line="440" w:lineRule="exact"/>
        <w:rPr>
          <w:rFonts w:cs="Calibri"/>
          <w:szCs w:val="21"/>
          <w:u w:val="single"/>
        </w:rPr>
      </w:pPr>
      <w:r>
        <w:rPr>
          <w:rFonts w:cs="Calibri"/>
          <w:szCs w:val="21"/>
        </w:rPr>
        <w:t>身份证号码：</w:t>
      </w:r>
      <w:r>
        <w:rPr>
          <w:rFonts w:cs="Calibri"/>
          <w:szCs w:val="21"/>
          <w:u w:val="single"/>
        </w:rPr>
        <w:t xml:space="preserve">                           </w:t>
      </w:r>
    </w:p>
    <w:p>
      <w:pPr>
        <w:spacing w:line="440" w:lineRule="exact"/>
        <w:ind w:firstLine="560"/>
        <w:rPr>
          <w:rFonts w:cs="Calibri"/>
          <w:szCs w:val="21"/>
        </w:rPr>
      </w:pPr>
    </w:p>
    <w:p>
      <w:pPr>
        <w:spacing w:line="440" w:lineRule="exact"/>
        <w:rPr>
          <w:rFonts w:cs="Calibri"/>
          <w:szCs w:val="21"/>
        </w:rPr>
      </w:pPr>
      <w:r>
        <w:rPr>
          <w:rFonts w:cs="Calibri"/>
          <w:szCs w:val="21"/>
        </w:rPr>
        <w:t xml:space="preserve">    系</w:t>
      </w:r>
      <w:r>
        <w:rPr>
          <w:rFonts w:cs="Calibri"/>
          <w:szCs w:val="21"/>
          <w:u w:val="single"/>
        </w:rPr>
        <w:t xml:space="preserve">                          </w:t>
      </w:r>
      <w:r>
        <w:rPr>
          <w:rFonts w:cs="Calibri"/>
          <w:szCs w:val="21"/>
        </w:rPr>
        <w:t>（投标人名称）的法定代表人。</w:t>
      </w:r>
    </w:p>
    <w:p>
      <w:pPr>
        <w:spacing w:line="440" w:lineRule="exact"/>
        <w:ind w:firstLine="560"/>
        <w:rPr>
          <w:rFonts w:cs="Calibri"/>
          <w:szCs w:val="21"/>
        </w:rPr>
      </w:pPr>
    </w:p>
    <w:p>
      <w:pPr>
        <w:spacing w:line="440" w:lineRule="exact"/>
        <w:rPr>
          <w:rFonts w:cs="Calibri"/>
          <w:szCs w:val="21"/>
        </w:rPr>
      </w:pPr>
      <w:r>
        <w:rPr>
          <w:rFonts w:cs="Calibri"/>
          <w:szCs w:val="21"/>
        </w:rPr>
        <w:t>特此证明。</w:t>
      </w:r>
    </w:p>
    <w:p>
      <w:pPr>
        <w:spacing w:line="440" w:lineRule="exact"/>
        <w:rPr>
          <w:rFonts w:cs="Calibri"/>
          <w:szCs w:val="21"/>
        </w:rPr>
      </w:pPr>
      <w:r>
        <w:rPr>
          <w:rFonts w:cs="Calibri"/>
          <w:szCs w:val="21"/>
        </w:rPr>
        <w:t>附：法定代表人身份证复印件</w:t>
      </w:r>
    </w:p>
    <w:p>
      <w:pPr>
        <w:spacing w:line="440" w:lineRule="exact"/>
        <w:rPr>
          <w:rFonts w:cs="Calibri"/>
          <w:szCs w:val="21"/>
        </w:rPr>
      </w:pPr>
      <w:r>
        <w:rPr>
          <w:rFonts w:cs="Calibri"/>
          <w:szCs w:val="21"/>
        </w:rPr>
        <w:t xml:space="preserve">投标人：（盖单位章） </w:t>
      </w:r>
    </w:p>
    <w:p>
      <w:pPr>
        <w:spacing w:line="440" w:lineRule="exact"/>
        <w:ind w:firstLine="6240" w:firstLineChars="2960"/>
        <w:rPr>
          <w:rFonts w:cs="Calibri"/>
          <w:b/>
          <w:szCs w:val="21"/>
        </w:rPr>
      </w:pPr>
      <w:r>
        <w:rPr>
          <w:rFonts w:cs="Calibri"/>
          <w:b/>
          <w:szCs w:val="21"/>
        </w:rPr>
        <w:pict>
          <v:shape id="Text Box 6" o:spid="_x0000_s1026" o:spt="202" type="#_x0000_t202" style="position:absolute;left:0pt;margin-left:0pt;margin-top:31.2pt;height:171.6pt;width:423pt;mso-wrap-distance-bottom:0pt;mso-wrap-distance-left:9pt;mso-wrap-distance-right:9pt;mso-wrap-distance-top:0pt;z-index:251659264;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w:r>
      <w:r>
        <w:rPr>
          <w:rFonts w:cs="Calibri"/>
          <w:szCs w:val="21"/>
        </w:rPr>
        <w:t>日期：   年    月    日</w:t>
      </w:r>
    </w:p>
    <w:p>
      <w:pPr>
        <w:spacing w:line="440" w:lineRule="exact"/>
        <w:jc w:val="center"/>
        <w:rPr>
          <w:rFonts w:eastAsia="黑体" w:cs="Calibri"/>
          <w:sz w:val="28"/>
          <w:szCs w:val="28"/>
        </w:rPr>
      </w:pPr>
      <w:r>
        <w:rPr>
          <w:rFonts w:cs="Calibri"/>
          <w:szCs w:val="21"/>
        </w:rPr>
        <w:br w:type="page"/>
      </w:r>
      <w:r>
        <w:rPr>
          <w:rFonts w:hint="eastAsia" w:eastAsia="黑体" w:cs="Calibri"/>
          <w:sz w:val="32"/>
          <w:szCs w:val="32"/>
        </w:rPr>
        <w:t>三</w:t>
      </w:r>
      <w:r>
        <w:rPr>
          <w:rFonts w:eastAsia="黑体" w:cs="Calibri"/>
          <w:sz w:val="32"/>
          <w:szCs w:val="32"/>
        </w:rPr>
        <w:t>、授权委托书</w:t>
      </w:r>
    </w:p>
    <w:p>
      <w:pPr>
        <w:spacing w:line="440" w:lineRule="exact"/>
        <w:ind w:firstLine="420" w:firstLineChars="200"/>
        <w:rPr>
          <w:rFonts w:cs="Calibri"/>
          <w:szCs w:val="21"/>
        </w:rPr>
      </w:pPr>
    </w:p>
    <w:p>
      <w:pPr>
        <w:spacing w:line="440" w:lineRule="exact"/>
        <w:ind w:firstLine="420" w:firstLineChars="200"/>
        <w:rPr>
          <w:rFonts w:cs="Calibri"/>
          <w:szCs w:val="21"/>
        </w:rPr>
      </w:pPr>
      <w:r>
        <w:rPr>
          <w:rFonts w:cs="Calibri"/>
          <w:szCs w:val="21"/>
        </w:rPr>
        <w:t>本人</w:t>
      </w:r>
      <w:r>
        <w:rPr>
          <w:rFonts w:cs="Calibri"/>
          <w:szCs w:val="21"/>
          <w:u w:val="single"/>
        </w:rPr>
        <w:t xml:space="preserve">        </w:t>
      </w:r>
      <w:r>
        <w:rPr>
          <w:rFonts w:cs="Calibri"/>
          <w:szCs w:val="21"/>
        </w:rPr>
        <w:t>（姓名）系</w:t>
      </w:r>
      <w:r>
        <w:rPr>
          <w:rFonts w:cs="Calibri"/>
          <w:szCs w:val="21"/>
          <w:u w:val="single"/>
        </w:rPr>
        <w:t xml:space="preserve">                </w:t>
      </w:r>
      <w:r>
        <w:rPr>
          <w:rFonts w:cs="Calibri"/>
          <w:szCs w:val="21"/>
        </w:rPr>
        <w:t>（投标人名称）的法定代表人，现委托</w:t>
      </w:r>
      <w:r>
        <w:rPr>
          <w:rFonts w:cs="Calibri"/>
          <w:szCs w:val="21"/>
          <w:u w:val="single"/>
        </w:rPr>
        <w:t xml:space="preserve">      </w:t>
      </w:r>
      <w:r>
        <w:rPr>
          <w:rFonts w:cs="Calibri"/>
          <w:szCs w:val="21"/>
        </w:rPr>
        <w:t>（姓名）为我方代理人。代理人根据授权，以我方名义签署、澄清、说明、补正、递交、撤回、修改</w:t>
      </w:r>
      <w:r>
        <w:rPr>
          <w:rFonts w:cs="Calibri"/>
          <w:szCs w:val="21"/>
          <w:u w:val="single"/>
        </w:rPr>
        <w:t xml:space="preserve">              </w:t>
      </w:r>
      <w:r>
        <w:rPr>
          <w:rFonts w:cs="Calibri"/>
          <w:szCs w:val="21"/>
        </w:rPr>
        <w:t>（项目名称）投标文件、签订合同和处理有关事宜，其法律后果由我方承担。</w:t>
      </w:r>
    </w:p>
    <w:p>
      <w:pPr>
        <w:spacing w:line="440" w:lineRule="exact"/>
        <w:ind w:firstLine="420" w:firstLineChars="200"/>
        <w:rPr>
          <w:rFonts w:cs="Calibri"/>
          <w:szCs w:val="21"/>
        </w:rPr>
      </w:pPr>
      <w:r>
        <w:rPr>
          <w:rFonts w:cs="Calibri"/>
          <w:szCs w:val="21"/>
        </w:rPr>
        <w:t>代理人无转委托权。</w:t>
      </w:r>
    </w:p>
    <w:p>
      <w:pPr>
        <w:spacing w:line="440" w:lineRule="exact"/>
        <w:ind w:firstLine="420" w:firstLineChars="200"/>
        <w:rPr>
          <w:rFonts w:cs="Calibri"/>
          <w:szCs w:val="21"/>
        </w:rPr>
      </w:pPr>
      <w:r>
        <w:rPr>
          <w:rFonts w:cs="Calibri"/>
          <w:szCs w:val="21"/>
        </w:rPr>
        <w:t>附：委托代理人身份证复印件</w:t>
      </w:r>
    </w:p>
    <w:p>
      <w:pPr>
        <w:spacing w:line="440" w:lineRule="exact"/>
        <w:rPr>
          <w:rFonts w:cs="Calibri"/>
          <w:szCs w:val="21"/>
        </w:rPr>
      </w:pPr>
    </w:p>
    <w:p>
      <w:pPr>
        <w:spacing w:line="440" w:lineRule="exact"/>
        <w:rPr>
          <w:rFonts w:cs="Calibri"/>
          <w:szCs w:val="21"/>
        </w:rPr>
      </w:pPr>
      <w:r>
        <w:rPr>
          <w:rFonts w:cs="Calibri"/>
          <w:szCs w:val="21"/>
        </w:rPr>
        <w:t>投标人：（盖单位章）</w:t>
      </w:r>
    </w:p>
    <w:p>
      <w:pPr>
        <w:spacing w:line="440" w:lineRule="exact"/>
        <w:rPr>
          <w:rFonts w:cs="Calibri"/>
          <w:szCs w:val="21"/>
        </w:rPr>
      </w:pPr>
      <w:r>
        <w:rPr>
          <w:rFonts w:cs="Calibri"/>
          <w:szCs w:val="21"/>
        </w:rPr>
        <w:t>法定代表人：（签字或盖章）</w:t>
      </w:r>
    </w:p>
    <w:p>
      <w:pPr>
        <w:spacing w:line="440" w:lineRule="exact"/>
        <w:rPr>
          <w:rFonts w:cs="Calibri"/>
          <w:szCs w:val="21"/>
        </w:rPr>
      </w:pPr>
      <w:r>
        <w:rPr>
          <w:rFonts w:cs="Calibri"/>
          <w:szCs w:val="21"/>
        </w:rPr>
        <w:t>身份证号码：</w:t>
      </w:r>
    </w:p>
    <w:p>
      <w:pPr>
        <w:spacing w:line="440" w:lineRule="exact"/>
        <w:rPr>
          <w:rFonts w:cs="Calibri"/>
          <w:szCs w:val="21"/>
        </w:rPr>
      </w:pPr>
    </w:p>
    <w:p>
      <w:pPr>
        <w:spacing w:line="440" w:lineRule="exact"/>
        <w:rPr>
          <w:rFonts w:cs="Calibri"/>
          <w:szCs w:val="21"/>
        </w:rPr>
      </w:pPr>
      <w:r>
        <w:rPr>
          <w:rFonts w:cs="Calibri"/>
          <w:szCs w:val="21"/>
        </w:rPr>
        <w:t>委托的代理人：（签字或盖章）</w:t>
      </w:r>
    </w:p>
    <w:p>
      <w:pPr>
        <w:spacing w:line="440" w:lineRule="exact"/>
        <w:rPr>
          <w:rFonts w:cs="Calibri"/>
          <w:szCs w:val="21"/>
        </w:rPr>
      </w:pPr>
      <w:r>
        <w:rPr>
          <w:rFonts w:cs="Calibri"/>
          <w:szCs w:val="21"/>
        </w:rPr>
        <w:t>身份证号码：</w:t>
      </w:r>
    </w:p>
    <w:p>
      <w:pPr>
        <w:spacing w:line="440" w:lineRule="exact"/>
        <w:ind w:firstLine="4515" w:firstLineChars="2150"/>
        <w:rPr>
          <w:rFonts w:cs="Calibri"/>
          <w:szCs w:val="21"/>
        </w:rPr>
      </w:pPr>
      <w:r>
        <w:rPr>
          <w:rFonts w:cs="Calibri"/>
          <w:szCs w:val="21"/>
        </w:rPr>
        <w:t>日期：</w:t>
      </w:r>
      <w:r>
        <w:rPr>
          <w:rFonts w:cs="Calibri"/>
          <w:szCs w:val="21"/>
          <w:u w:val="single"/>
        </w:rPr>
        <w:t xml:space="preserve">      </w:t>
      </w:r>
      <w:r>
        <w:rPr>
          <w:rFonts w:cs="Calibri"/>
          <w:szCs w:val="21"/>
        </w:rPr>
        <w:t>年</w:t>
      </w:r>
      <w:r>
        <w:rPr>
          <w:rFonts w:cs="Calibri"/>
          <w:szCs w:val="21"/>
          <w:u w:val="single"/>
        </w:rPr>
        <w:t xml:space="preserve">      </w:t>
      </w:r>
      <w:r>
        <w:rPr>
          <w:rFonts w:cs="Calibri"/>
          <w:szCs w:val="21"/>
        </w:rPr>
        <w:t>月</w:t>
      </w:r>
      <w:r>
        <w:rPr>
          <w:rFonts w:cs="Calibri"/>
          <w:szCs w:val="21"/>
          <w:u w:val="single"/>
        </w:rPr>
        <w:t xml:space="preserve">      </w:t>
      </w:r>
      <w:r>
        <w:rPr>
          <w:rFonts w:cs="Calibri"/>
          <w:szCs w:val="21"/>
        </w:rPr>
        <w:t>日</w:t>
      </w:r>
    </w:p>
    <w:p>
      <w:pPr>
        <w:snapToGrid w:val="0"/>
        <w:spacing w:line="440" w:lineRule="exact"/>
        <w:rPr>
          <w:rFonts w:cs="Calibri"/>
          <w:szCs w:val="21"/>
        </w:rPr>
      </w:pPr>
      <w:r>
        <w:rPr>
          <w:rFonts w:cs="Calibri"/>
          <w:b/>
          <w:szCs w:val="21"/>
        </w:rPr>
        <w:pict>
          <v:shape id="Text Box 7" o:spid="_x0000_s1027" o:spt="202" type="#_x0000_t202" style="position:absolute;left:0pt;margin-left:9.15pt;margin-top:20.8pt;height:171.6pt;width:423pt;mso-wrap-distance-bottom:0pt;mso-wrap-distance-left:9pt;mso-wrap-distance-right:9pt;mso-wrap-distance-top:0pt;z-index:251660288;mso-width-relative:page;mso-height-relative:page;"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w:r>
      <w:r>
        <w:rPr>
          <w:rFonts w:cs="Calibri"/>
          <w:szCs w:val="21"/>
        </w:rPr>
        <w:t xml:space="preserve">                                  </w:t>
      </w:r>
    </w:p>
    <w:p>
      <w:pPr>
        <w:spacing w:line="440" w:lineRule="exact"/>
        <w:rPr>
          <w:rFonts w:cs="Calibri"/>
          <w:b/>
          <w:bCs/>
          <w:szCs w:val="21"/>
        </w:rPr>
      </w:pPr>
      <w:r>
        <w:rPr>
          <w:rFonts w:cs="Calibri"/>
          <w:b/>
          <w:bCs/>
          <w:szCs w:val="21"/>
        </w:rPr>
        <w:t xml:space="preserve">  </w:t>
      </w:r>
    </w:p>
    <w:p>
      <w:pPr>
        <w:spacing w:line="440" w:lineRule="exact"/>
        <w:rPr>
          <w:rFonts w:cs="Calibri"/>
          <w:b/>
          <w:bCs/>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b/>
          <w:bCs/>
          <w:szCs w:val="21"/>
        </w:rPr>
      </w:pPr>
      <w:r>
        <w:rPr>
          <w:rFonts w:cs="Calibri"/>
          <w:szCs w:val="21"/>
        </w:rPr>
        <w:t>注：如投标文件由委托代理人签字或盖章的，投标文件必须附此授权委托书。</w:t>
      </w:r>
      <w:r>
        <w:rPr>
          <w:rFonts w:cs="Calibri"/>
          <w:b/>
          <w:bCs/>
          <w:szCs w:val="21"/>
        </w:rPr>
        <w:t xml:space="preserve">     </w:t>
      </w:r>
    </w:p>
    <w:p>
      <w:pPr>
        <w:spacing w:line="440" w:lineRule="exact"/>
        <w:rPr>
          <w:rFonts w:cs="Calibri"/>
          <w:b/>
          <w:bCs/>
          <w:szCs w:val="21"/>
        </w:rPr>
      </w:pPr>
    </w:p>
    <w:p>
      <w:pPr>
        <w:spacing w:line="440" w:lineRule="exact"/>
        <w:rPr>
          <w:rFonts w:cs="Calibri"/>
          <w:b/>
          <w:bCs/>
          <w:sz w:val="32"/>
        </w:rPr>
      </w:pPr>
    </w:p>
    <w:p>
      <w:pPr>
        <w:widowControl/>
        <w:jc w:val="left"/>
        <w:rPr>
          <w:rFonts w:cs="Calibri"/>
          <w:b/>
          <w:bCs/>
          <w:sz w:val="32"/>
        </w:rPr>
      </w:pPr>
      <w:r>
        <w:rPr>
          <w:rFonts w:cs="Calibri"/>
          <w:b/>
          <w:bCs/>
          <w:sz w:val="32"/>
        </w:rPr>
        <w:br w:type="page"/>
      </w:r>
    </w:p>
    <w:p>
      <w:pPr>
        <w:spacing w:line="440" w:lineRule="exact"/>
        <w:jc w:val="center"/>
        <w:rPr>
          <w:rFonts w:eastAsia="黑体" w:cs="Calibri"/>
          <w:sz w:val="32"/>
          <w:szCs w:val="32"/>
        </w:rPr>
      </w:pPr>
      <w:r>
        <w:rPr>
          <w:rFonts w:hint="eastAsia" w:eastAsia="黑体" w:cs="Calibri"/>
          <w:sz w:val="32"/>
          <w:szCs w:val="32"/>
        </w:rPr>
        <w:t>四</w:t>
      </w:r>
      <w:r>
        <w:rPr>
          <w:rFonts w:eastAsia="黑体" w:cs="Calibri"/>
          <w:sz w:val="32"/>
          <w:szCs w:val="32"/>
        </w:rPr>
        <w:t>、投标报价表</w:t>
      </w:r>
    </w:p>
    <w:p>
      <w:pPr>
        <w:rPr>
          <w:rFonts w:cs="Calibri"/>
          <w:sz w:val="24"/>
        </w:rPr>
      </w:pPr>
    </w:p>
    <w:p>
      <w:pPr>
        <w:numPr>
          <w:ilvl w:val="0"/>
          <w:numId w:val="14"/>
        </w:numPr>
        <w:spacing w:line="360" w:lineRule="auto"/>
        <w:rPr>
          <w:sz w:val="24"/>
        </w:rPr>
      </w:pPr>
      <w:r>
        <w:rPr>
          <w:rFonts w:hint="eastAsia"/>
          <w:b/>
          <w:sz w:val="24"/>
        </w:rPr>
        <w:t>维修设备名称、规格型号、数量及价款</w:t>
      </w:r>
      <w:r>
        <w:rPr>
          <w:rFonts w:hint="eastAsia"/>
          <w:sz w:val="24"/>
        </w:rPr>
        <w:t>：</w:t>
      </w:r>
    </w:p>
    <w:tbl>
      <w:tblPr>
        <w:tblStyle w:val="44"/>
        <w:tblW w:w="8650" w:type="dxa"/>
        <w:jc w:val="center"/>
        <w:tblInd w:w="-6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1701"/>
        <w:gridCol w:w="1559"/>
        <w:gridCol w:w="1701"/>
        <w:gridCol w:w="850"/>
        <w:gridCol w:w="607"/>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612" w:type="dxa"/>
            <w:vAlign w:val="center"/>
          </w:tcPr>
          <w:p>
            <w:pPr>
              <w:spacing w:line="360" w:lineRule="auto"/>
              <w:jc w:val="center"/>
              <w:rPr>
                <w:rFonts w:ascii="宋体" w:hAnsi="宋体"/>
                <w:b/>
                <w:sz w:val="24"/>
              </w:rPr>
            </w:pPr>
            <w:r>
              <w:rPr>
                <w:rFonts w:hint="eastAsia" w:ascii="宋体" w:hAnsi="宋体"/>
                <w:b/>
                <w:sz w:val="24"/>
              </w:rPr>
              <w:t>序号</w:t>
            </w:r>
          </w:p>
        </w:tc>
        <w:tc>
          <w:tcPr>
            <w:tcW w:w="1701" w:type="dxa"/>
            <w:vAlign w:val="center"/>
          </w:tcPr>
          <w:p>
            <w:pPr>
              <w:spacing w:line="360" w:lineRule="auto"/>
              <w:jc w:val="center"/>
              <w:rPr>
                <w:rFonts w:ascii="宋体" w:hAnsi="宋体"/>
                <w:b/>
                <w:sz w:val="24"/>
              </w:rPr>
            </w:pPr>
            <w:r>
              <w:rPr>
                <w:rFonts w:hint="eastAsia" w:ascii="宋体" w:hAnsi="宋体"/>
                <w:b/>
                <w:sz w:val="24"/>
              </w:rPr>
              <w:t>项目</w:t>
            </w:r>
          </w:p>
        </w:tc>
        <w:tc>
          <w:tcPr>
            <w:tcW w:w="1559" w:type="dxa"/>
            <w:vAlign w:val="center"/>
          </w:tcPr>
          <w:p>
            <w:pPr>
              <w:spacing w:line="360" w:lineRule="auto"/>
              <w:jc w:val="center"/>
              <w:rPr>
                <w:rFonts w:ascii="宋体" w:hAnsi="宋体"/>
                <w:b/>
                <w:sz w:val="24"/>
              </w:rPr>
            </w:pPr>
            <w:r>
              <w:rPr>
                <w:rFonts w:hint="eastAsia" w:ascii="宋体" w:hAnsi="宋体"/>
                <w:b/>
                <w:sz w:val="24"/>
              </w:rPr>
              <w:t>品牌/生产商</w:t>
            </w:r>
          </w:p>
        </w:tc>
        <w:tc>
          <w:tcPr>
            <w:tcW w:w="1701" w:type="dxa"/>
            <w:vAlign w:val="center"/>
          </w:tcPr>
          <w:p>
            <w:pPr>
              <w:spacing w:line="360" w:lineRule="auto"/>
              <w:jc w:val="center"/>
              <w:rPr>
                <w:rFonts w:ascii="宋体" w:hAnsi="宋体"/>
                <w:b/>
                <w:sz w:val="24"/>
              </w:rPr>
            </w:pPr>
            <w:r>
              <w:rPr>
                <w:rFonts w:hint="eastAsia" w:ascii="宋体" w:hAnsi="宋体"/>
                <w:b/>
                <w:sz w:val="24"/>
              </w:rPr>
              <w:t>变频器型号</w:t>
            </w:r>
          </w:p>
        </w:tc>
        <w:tc>
          <w:tcPr>
            <w:tcW w:w="850" w:type="dxa"/>
            <w:vAlign w:val="center"/>
          </w:tcPr>
          <w:p>
            <w:pPr>
              <w:spacing w:line="360" w:lineRule="auto"/>
              <w:jc w:val="center"/>
              <w:rPr>
                <w:rFonts w:ascii="宋体" w:hAnsi="宋体"/>
                <w:b/>
                <w:sz w:val="24"/>
              </w:rPr>
            </w:pPr>
            <w:r>
              <w:rPr>
                <w:rFonts w:hint="eastAsia" w:ascii="宋体" w:hAnsi="宋体"/>
                <w:b/>
                <w:sz w:val="24"/>
              </w:rPr>
              <w:t>计量</w:t>
            </w:r>
          </w:p>
          <w:p>
            <w:pPr>
              <w:spacing w:line="360" w:lineRule="auto"/>
              <w:jc w:val="center"/>
              <w:rPr>
                <w:rFonts w:ascii="宋体" w:hAnsi="宋体"/>
                <w:b/>
                <w:sz w:val="24"/>
              </w:rPr>
            </w:pPr>
            <w:r>
              <w:rPr>
                <w:rFonts w:hint="eastAsia" w:ascii="宋体" w:hAnsi="宋体"/>
                <w:b/>
                <w:sz w:val="24"/>
              </w:rPr>
              <w:t>单位</w:t>
            </w:r>
          </w:p>
        </w:tc>
        <w:tc>
          <w:tcPr>
            <w:tcW w:w="607" w:type="dxa"/>
            <w:vAlign w:val="center"/>
          </w:tcPr>
          <w:p>
            <w:pPr>
              <w:spacing w:line="360" w:lineRule="auto"/>
              <w:ind w:left="45"/>
              <w:jc w:val="center"/>
              <w:rPr>
                <w:rFonts w:ascii="宋体" w:hAnsi="宋体"/>
                <w:b/>
                <w:sz w:val="24"/>
              </w:rPr>
            </w:pPr>
            <w:r>
              <w:rPr>
                <w:rFonts w:hint="eastAsia" w:ascii="宋体" w:hAnsi="宋体"/>
                <w:b/>
                <w:sz w:val="24"/>
              </w:rPr>
              <w:t>数量</w:t>
            </w:r>
          </w:p>
        </w:tc>
        <w:tc>
          <w:tcPr>
            <w:tcW w:w="1620" w:type="dxa"/>
            <w:vAlign w:val="center"/>
          </w:tcPr>
          <w:p>
            <w:pPr>
              <w:spacing w:line="360" w:lineRule="auto"/>
              <w:jc w:val="center"/>
              <w:rPr>
                <w:rFonts w:ascii="宋体" w:hAnsi="宋体"/>
                <w:b/>
                <w:sz w:val="24"/>
              </w:rPr>
            </w:pPr>
            <w:r>
              <w:rPr>
                <w:rFonts w:hint="eastAsia" w:ascii="宋体" w:hAnsi="宋体"/>
                <w:b/>
                <w:sz w:val="24"/>
              </w:rPr>
              <w:t>总价（元）</w:t>
            </w:r>
          </w:p>
          <w:p>
            <w:pPr>
              <w:spacing w:line="360" w:lineRule="auto"/>
              <w:ind w:firstLine="39" w:firstLineChars="30"/>
              <w:jc w:val="center"/>
              <w:rPr>
                <w:rFonts w:ascii="宋体" w:hAnsi="宋体"/>
                <w:b/>
                <w:sz w:val="13"/>
                <w:szCs w:val="13"/>
              </w:rPr>
            </w:pPr>
            <w:r>
              <w:rPr>
                <w:rFonts w:hint="eastAsia" w:ascii="宋体" w:hAnsi="宋体"/>
                <w:b/>
                <w:sz w:val="13"/>
                <w:szCs w:val="13"/>
              </w:rPr>
              <w:t>（含运费、保险费等一切费用）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jc w:val="center"/>
        </w:trPr>
        <w:tc>
          <w:tcPr>
            <w:tcW w:w="612" w:type="dxa"/>
            <w:vAlign w:val="center"/>
          </w:tcPr>
          <w:p>
            <w:pPr>
              <w:spacing w:line="360" w:lineRule="auto"/>
              <w:jc w:val="center"/>
              <w:rPr>
                <w:rFonts w:ascii="宋体" w:hAnsi="宋体"/>
                <w:b/>
                <w:sz w:val="24"/>
              </w:rPr>
            </w:pPr>
            <w:r>
              <w:rPr>
                <w:rFonts w:hint="eastAsia" w:ascii="宋体" w:hAnsi="宋体"/>
                <w:b/>
                <w:sz w:val="24"/>
              </w:rPr>
              <w:t>1</w:t>
            </w:r>
          </w:p>
        </w:tc>
        <w:tc>
          <w:tcPr>
            <w:tcW w:w="1701" w:type="dxa"/>
            <w:vAlign w:val="center"/>
          </w:tcPr>
          <w:p>
            <w:pPr>
              <w:jc w:val="center"/>
              <w:rPr>
                <w:rFonts w:ascii="宋体" w:hAnsi="宋体" w:cs="宋体"/>
                <w:sz w:val="24"/>
                <w:szCs w:val="24"/>
              </w:rPr>
            </w:pPr>
            <w:r>
              <w:rPr>
                <w:rFonts w:hint="eastAsia" w:ascii="宋体" w:hAnsi="宋体"/>
                <w:sz w:val="24"/>
              </w:rPr>
              <w:t>电源板更换</w:t>
            </w:r>
          </w:p>
        </w:tc>
        <w:tc>
          <w:tcPr>
            <w:tcW w:w="1559" w:type="dxa"/>
            <w:vAlign w:val="center"/>
          </w:tcPr>
          <w:p>
            <w:pPr>
              <w:spacing w:line="360" w:lineRule="auto"/>
              <w:jc w:val="center"/>
              <w:rPr>
                <w:rFonts w:ascii="宋体" w:hAnsi="宋体"/>
                <w:b/>
                <w:sz w:val="24"/>
              </w:rPr>
            </w:pPr>
          </w:p>
        </w:tc>
        <w:tc>
          <w:tcPr>
            <w:tcW w:w="1701" w:type="dxa"/>
            <w:vAlign w:val="center"/>
          </w:tcPr>
          <w:p>
            <w:pPr>
              <w:jc w:val="center"/>
              <w:rPr>
                <w:rFonts w:ascii="宋体" w:hAnsi="宋体" w:cs="宋体"/>
                <w:sz w:val="24"/>
                <w:szCs w:val="24"/>
              </w:rPr>
            </w:pPr>
            <w:r>
              <w:rPr>
                <w:rFonts w:hint="eastAsia" w:ascii="宋体" w:hAnsi="宋体"/>
                <w:sz w:val="24"/>
              </w:rPr>
              <w:t>ATV 61 HD90N4</w:t>
            </w:r>
          </w:p>
        </w:tc>
        <w:tc>
          <w:tcPr>
            <w:tcW w:w="850" w:type="dxa"/>
            <w:vAlign w:val="center"/>
          </w:tcPr>
          <w:p>
            <w:pPr>
              <w:spacing w:line="360" w:lineRule="auto"/>
              <w:jc w:val="center"/>
              <w:rPr>
                <w:rFonts w:ascii="宋体" w:hAnsi="宋体"/>
                <w:b/>
                <w:sz w:val="24"/>
              </w:rPr>
            </w:pPr>
            <w:r>
              <w:rPr>
                <w:rFonts w:hint="eastAsia" w:ascii="宋体" w:hAnsi="宋体"/>
                <w:b/>
                <w:sz w:val="24"/>
              </w:rPr>
              <w:t>件</w:t>
            </w:r>
          </w:p>
        </w:tc>
        <w:tc>
          <w:tcPr>
            <w:tcW w:w="607" w:type="dxa"/>
          </w:tcPr>
          <w:p>
            <w:pPr>
              <w:jc w:val="center"/>
              <w:rPr>
                <w:rFonts w:ascii="宋体" w:hAnsi="宋体" w:cs="宋体"/>
                <w:sz w:val="24"/>
                <w:szCs w:val="24"/>
              </w:rPr>
            </w:pPr>
            <w:r>
              <w:rPr>
                <w:rFonts w:hint="eastAsia" w:ascii="宋体" w:hAnsi="宋体"/>
                <w:sz w:val="24"/>
              </w:rPr>
              <w:t>4</w:t>
            </w:r>
          </w:p>
        </w:tc>
        <w:tc>
          <w:tcPr>
            <w:tcW w:w="1620" w:type="dxa"/>
            <w:vAlign w:val="center"/>
          </w:tcPr>
          <w:p>
            <w:pPr>
              <w:spacing w:line="360" w:lineRule="auto"/>
              <w:ind w:left="-468" w:leftChars="-223" w:firstLine="470" w:firstLineChars="195"/>
              <w:jc w:val="center"/>
              <w:rPr>
                <w:rFonts w:ascii="宋体" w:hAns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jc w:val="center"/>
        </w:trPr>
        <w:tc>
          <w:tcPr>
            <w:tcW w:w="612" w:type="dxa"/>
            <w:vAlign w:val="center"/>
          </w:tcPr>
          <w:p>
            <w:pPr>
              <w:spacing w:line="360" w:lineRule="auto"/>
              <w:jc w:val="center"/>
              <w:rPr>
                <w:rFonts w:ascii="宋体" w:hAnsi="宋体"/>
                <w:b/>
                <w:sz w:val="24"/>
              </w:rPr>
            </w:pPr>
            <w:r>
              <w:rPr>
                <w:rFonts w:hint="eastAsia" w:ascii="宋体" w:hAnsi="宋体"/>
                <w:b/>
                <w:sz w:val="24"/>
              </w:rPr>
              <w:t>2</w:t>
            </w:r>
          </w:p>
        </w:tc>
        <w:tc>
          <w:tcPr>
            <w:tcW w:w="1701" w:type="dxa"/>
            <w:vAlign w:val="center"/>
          </w:tcPr>
          <w:p>
            <w:pPr>
              <w:jc w:val="center"/>
              <w:rPr>
                <w:rFonts w:ascii="宋体" w:hAnsi="宋体" w:cs="宋体"/>
                <w:sz w:val="24"/>
                <w:szCs w:val="24"/>
              </w:rPr>
            </w:pPr>
            <w:r>
              <w:rPr>
                <w:rFonts w:hint="eastAsia" w:ascii="宋体" w:hAnsi="宋体"/>
                <w:sz w:val="24"/>
              </w:rPr>
              <w:t>电源板更换</w:t>
            </w:r>
          </w:p>
        </w:tc>
        <w:tc>
          <w:tcPr>
            <w:tcW w:w="1559" w:type="dxa"/>
            <w:vAlign w:val="center"/>
          </w:tcPr>
          <w:p>
            <w:pPr>
              <w:spacing w:line="360" w:lineRule="auto"/>
              <w:jc w:val="center"/>
              <w:rPr>
                <w:rFonts w:ascii="宋体" w:hAnsi="宋体"/>
                <w:b/>
                <w:sz w:val="24"/>
              </w:rPr>
            </w:pPr>
          </w:p>
        </w:tc>
        <w:tc>
          <w:tcPr>
            <w:tcW w:w="1701" w:type="dxa"/>
            <w:vAlign w:val="center"/>
          </w:tcPr>
          <w:p>
            <w:pPr>
              <w:jc w:val="center"/>
              <w:rPr>
                <w:rFonts w:ascii="宋体" w:hAnsi="宋体" w:cs="宋体"/>
                <w:sz w:val="24"/>
                <w:szCs w:val="24"/>
              </w:rPr>
            </w:pPr>
            <w:r>
              <w:rPr>
                <w:rFonts w:hint="eastAsia" w:ascii="宋体" w:hAnsi="宋体"/>
                <w:sz w:val="24"/>
              </w:rPr>
              <w:t>ATV 61 HD75N4</w:t>
            </w:r>
          </w:p>
        </w:tc>
        <w:tc>
          <w:tcPr>
            <w:tcW w:w="850" w:type="dxa"/>
            <w:vAlign w:val="center"/>
          </w:tcPr>
          <w:p>
            <w:pPr>
              <w:spacing w:line="360" w:lineRule="auto"/>
              <w:jc w:val="center"/>
              <w:rPr>
                <w:rFonts w:ascii="宋体" w:hAnsi="宋体"/>
                <w:b/>
                <w:sz w:val="24"/>
              </w:rPr>
            </w:pPr>
            <w:r>
              <w:rPr>
                <w:rFonts w:hint="eastAsia" w:ascii="宋体" w:hAnsi="宋体"/>
                <w:b/>
                <w:sz w:val="24"/>
              </w:rPr>
              <w:t>件</w:t>
            </w:r>
          </w:p>
        </w:tc>
        <w:tc>
          <w:tcPr>
            <w:tcW w:w="607" w:type="dxa"/>
          </w:tcPr>
          <w:p>
            <w:pPr>
              <w:jc w:val="center"/>
              <w:rPr>
                <w:rFonts w:ascii="宋体" w:hAnsi="宋体" w:cs="宋体"/>
                <w:sz w:val="24"/>
                <w:szCs w:val="24"/>
              </w:rPr>
            </w:pPr>
            <w:r>
              <w:rPr>
                <w:rFonts w:hint="eastAsia" w:ascii="宋体" w:hAnsi="宋体"/>
                <w:sz w:val="24"/>
              </w:rPr>
              <w:t>4</w:t>
            </w:r>
          </w:p>
        </w:tc>
        <w:tc>
          <w:tcPr>
            <w:tcW w:w="1620" w:type="dxa"/>
            <w:vAlign w:val="center"/>
          </w:tcPr>
          <w:p>
            <w:pPr>
              <w:spacing w:line="360" w:lineRule="auto"/>
              <w:ind w:left="-468" w:leftChars="-223" w:firstLine="470" w:firstLineChars="195"/>
              <w:jc w:val="center"/>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jc w:val="center"/>
        </w:trPr>
        <w:tc>
          <w:tcPr>
            <w:tcW w:w="612" w:type="dxa"/>
            <w:vAlign w:val="center"/>
          </w:tcPr>
          <w:p>
            <w:pPr>
              <w:spacing w:line="360" w:lineRule="auto"/>
              <w:jc w:val="center"/>
              <w:rPr>
                <w:rFonts w:ascii="宋体" w:hAnsi="宋体"/>
                <w:b/>
                <w:sz w:val="24"/>
              </w:rPr>
            </w:pPr>
            <w:r>
              <w:rPr>
                <w:rFonts w:hint="eastAsia" w:ascii="宋体" w:hAnsi="宋体"/>
                <w:b/>
                <w:sz w:val="24"/>
              </w:rPr>
              <w:t>3</w:t>
            </w:r>
          </w:p>
        </w:tc>
        <w:tc>
          <w:tcPr>
            <w:tcW w:w="1701" w:type="dxa"/>
            <w:vAlign w:val="center"/>
          </w:tcPr>
          <w:p>
            <w:pPr>
              <w:jc w:val="center"/>
              <w:rPr>
                <w:rFonts w:ascii="宋体" w:hAnsi="宋体" w:cs="宋体"/>
                <w:sz w:val="24"/>
                <w:szCs w:val="24"/>
              </w:rPr>
            </w:pPr>
            <w:r>
              <w:rPr>
                <w:rFonts w:hint="eastAsia" w:ascii="宋体" w:hAnsi="宋体"/>
                <w:sz w:val="24"/>
              </w:rPr>
              <w:t>散热风机更换</w:t>
            </w:r>
          </w:p>
        </w:tc>
        <w:tc>
          <w:tcPr>
            <w:tcW w:w="1559" w:type="dxa"/>
            <w:vAlign w:val="center"/>
          </w:tcPr>
          <w:p>
            <w:pPr>
              <w:spacing w:line="360" w:lineRule="auto"/>
              <w:jc w:val="center"/>
              <w:rPr>
                <w:rFonts w:ascii="宋体" w:hAnsi="宋体"/>
                <w:b/>
                <w:sz w:val="24"/>
              </w:rPr>
            </w:pPr>
          </w:p>
        </w:tc>
        <w:tc>
          <w:tcPr>
            <w:tcW w:w="1701" w:type="dxa"/>
            <w:vAlign w:val="center"/>
          </w:tcPr>
          <w:p>
            <w:pPr>
              <w:jc w:val="center"/>
              <w:rPr>
                <w:rFonts w:ascii="宋体" w:hAnsi="宋体" w:cs="宋体"/>
                <w:sz w:val="24"/>
                <w:szCs w:val="24"/>
              </w:rPr>
            </w:pPr>
            <w:r>
              <w:rPr>
                <w:rFonts w:hint="eastAsia" w:ascii="宋体" w:hAnsi="宋体"/>
                <w:sz w:val="24"/>
              </w:rPr>
              <w:t>ATV 61 HD90N4</w:t>
            </w:r>
          </w:p>
        </w:tc>
        <w:tc>
          <w:tcPr>
            <w:tcW w:w="850" w:type="dxa"/>
            <w:vAlign w:val="center"/>
          </w:tcPr>
          <w:p>
            <w:pPr>
              <w:spacing w:line="360" w:lineRule="auto"/>
              <w:jc w:val="center"/>
              <w:rPr>
                <w:rFonts w:ascii="宋体" w:hAnsi="宋体"/>
                <w:b/>
                <w:sz w:val="24"/>
              </w:rPr>
            </w:pPr>
            <w:r>
              <w:rPr>
                <w:rFonts w:hint="eastAsia" w:ascii="宋体" w:hAnsi="宋体"/>
                <w:b/>
                <w:sz w:val="24"/>
              </w:rPr>
              <w:t>件</w:t>
            </w:r>
          </w:p>
        </w:tc>
        <w:tc>
          <w:tcPr>
            <w:tcW w:w="607" w:type="dxa"/>
          </w:tcPr>
          <w:p>
            <w:pPr>
              <w:jc w:val="center"/>
              <w:rPr>
                <w:rFonts w:ascii="宋体" w:hAnsi="宋体" w:cs="宋体"/>
                <w:sz w:val="24"/>
                <w:szCs w:val="24"/>
              </w:rPr>
            </w:pPr>
            <w:r>
              <w:rPr>
                <w:rFonts w:hint="eastAsia" w:ascii="宋体" w:hAnsi="宋体"/>
                <w:sz w:val="24"/>
              </w:rPr>
              <w:t>6</w:t>
            </w:r>
          </w:p>
        </w:tc>
        <w:tc>
          <w:tcPr>
            <w:tcW w:w="1620" w:type="dxa"/>
            <w:vAlign w:val="center"/>
          </w:tcPr>
          <w:p>
            <w:pPr>
              <w:spacing w:line="360" w:lineRule="auto"/>
              <w:ind w:left="-468" w:leftChars="-223" w:firstLine="470" w:firstLineChars="195"/>
              <w:jc w:val="center"/>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jc w:val="center"/>
        </w:trPr>
        <w:tc>
          <w:tcPr>
            <w:tcW w:w="612" w:type="dxa"/>
            <w:vAlign w:val="center"/>
          </w:tcPr>
          <w:p>
            <w:pPr>
              <w:spacing w:line="360" w:lineRule="auto"/>
              <w:jc w:val="center"/>
              <w:rPr>
                <w:rFonts w:ascii="宋体" w:hAnsi="宋体"/>
                <w:b/>
                <w:sz w:val="24"/>
              </w:rPr>
            </w:pPr>
            <w:r>
              <w:rPr>
                <w:rFonts w:hint="eastAsia" w:ascii="宋体" w:hAnsi="宋体"/>
                <w:b/>
                <w:sz w:val="24"/>
              </w:rPr>
              <w:t>4</w:t>
            </w:r>
          </w:p>
        </w:tc>
        <w:tc>
          <w:tcPr>
            <w:tcW w:w="1701" w:type="dxa"/>
            <w:vAlign w:val="center"/>
          </w:tcPr>
          <w:p>
            <w:pPr>
              <w:jc w:val="center"/>
              <w:rPr>
                <w:rFonts w:ascii="宋体" w:hAnsi="宋体" w:cs="宋体"/>
                <w:sz w:val="24"/>
                <w:szCs w:val="24"/>
              </w:rPr>
            </w:pPr>
            <w:r>
              <w:rPr>
                <w:rFonts w:hint="eastAsia" w:ascii="宋体" w:hAnsi="宋体"/>
                <w:sz w:val="24"/>
              </w:rPr>
              <w:t>散热风机更换</w:t>
            </w:r>
          </w:p>
        </w:tc>
        <w:tc>
          <w:tcPr>
            <w:tcW w:w="1559" w:type="dxa"/>
            <w:vAlign w:val="center"/>
          </w:tcPr>
          <w:p>
            <w:pPr>
              <w:spacing w:line="360" w:lineRule="auto"/>
              <w:jc w:val="center"/>
              <w:rPr>
                <w:rFonts w:ascii="宋体" w:hAnsi="宋体"/>
                <w:b/>
                <w:sz w:val="24"/>
              </w:rPr>
            </w:pPr>
          </w:p>
        </w:tc>
        <w:tc>
          <w:tcPr>
            <w:tcW w:w="1701" w:type="dxa"/>
            <w:vAlign w:val="center"/>
          </w:tcPr>
          <w:p>
            <w:pPr>
              <w:jc w:val="center"/>
              <w:rPr>
                <w:rFonts w:ascii="宋体" w:hAnsi="宋体" w:cs="宋体"/>
                <w:sz w:val="24"/>
                <w:szCs w:val="24"/>
              </w:rPr>
            </w:pPr>
            <w:r>
              <w:rPr>
                <w:rFonts w:hint="eastAsia" w:ascii="宋体" w:hAnsi="宋体"/>
                <w:sz w:val="24"/>
              </w:rPr>
              <w:t>ATV 61 HD75N4</w:t>
            </w:r>
          </w:p>
        </w:tc>
        <w:tc>
          <w:tcPr>
            <w:tcW w:w="850" w:type="dxa"/>
            <w:vAlign w:val="center"/>
          </w:tcPr>
          <w:p>
            <w:pPr>
              <w:spacing w:line="360" w:lineRule="auto"/>
              <w:jc w:val="center"/>
              <w:rPr>
                <w:rFonts w:ascii="宋体" w:hAnsi="宋体"/>
                <w:b/>
                <w:sz w:val="24"/>
              </w:rPr>
            </w:pPr>
            <w:r>
              <w:rPr>
                <w:rFonts w:hint="eastAsia" w:ascii="宋体" w:hAnsi="宋体"/>
                <w:b/>
                <w:sz w:val="24"/>
              </w:rPr>
              <w:t>件</w:t>
            </w:r>
          </w:p>
        </w:tc>
        <w:tc>
          <w:tcPr>
            <w:tcW w:w="607" w:type="dxa"/>
          </w:tcPr>
          <w:p>
            <w:pPr>
              <w:jc w:val="center"/>
              <w:rPr>
                <w:rFonts w:ascii="宋体" w:hAnsi="宋体" w:cs="宋体"/>
                <w:sz w:val="24"/>
                <w:szCs w:val="24"/>
              </w:rPr>
            </w:pPr>
            <w:r>
              <w:rPr>
                <w:rFonts w:hint="eastAsia" w:ascii="宋体" w:hAnsi="宋体"/>
                <w:sz w:val="24"/>
              </w:rPr>
              <w:t>12</w:t>
            </w:r>
          </w:p>
        </w:tc>
        <w:tc>
          <w:tcPr>
            <w:tcW w:w="1620" w:type="dxa"/>
            <w:vAlign w:val="center"/>
          </w:tcPr>
          <w:p>
            <w:pPr>
              <w:spacing w:line="360" w:lineRule="auto"/>
              <w:ind w:left="-468" w:leftChars="-223" w:firstLine="470" w:firstLineChars="195"/>
              <w:jc w:val="center"/>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jc w:val="center"/>
        </w:trPr>
        <w:tc>
          <w:tcPr>
            <w:tcW w:w="612" w:type="dxa"/>
            <w:vAlign w:val="center"/>
          </w:tcPr>
          <w:p>
            <w:pPr>
              <w:spacing w:line="360" w:lineRule="auto"/>
              <w:jc w:val="center"/>
              <w:rPr>
                <w:rFonts w:ascii="宋体" w:hAnsi="宋体"/>
                <w:b/>
                <w:sz w:val="24"/>
              </w:rPr>
            </w:pPr>
            <w:r>
              <w:rPr>
                <w:rFonts w:hint="eastAsia" w:ascii="宋体" w:hAnsi="宋体"/>
                <w:b/>
                <w:sz w:val="24"/>
              </w:rPr>
              <w:t>5</w:t>
            </w:r>
          </w:p>
        </w:tc>
        <w:tc>
          <w:tcPr>
            <w:tcW w:w="1701" w:type="dxa"/>
            <w:vAlign w:val="center"/>
          </w:tcPr>
          <w:p>
            <w:pPr>
              <w:jc w:val="center"/>
              <w:rPr>
                <w:rFonts w:ascii="宋体" w:hAnsi="宋体" w:cs="宋体"/>
                <w:sz w:val="24"/>
                <w:szCs w:val="24"/>
              </w:rPr>
            </w:pPr>
            <w:r>
              <w:rPr>
                <w:rFonts w:hint="eastAsia" w:ascii="宋体" w:hAnsi="宋体"/>
                <w:sz w:val="24"/>
              </w:rPr>
              <w:t>散热风机更换</w:t>
            </w:r>
          </w:p>
        </w:tc>
        <w:tc>
          <w:tcPr>
            <w:tcW w:w="1559" w:type="dxa"/>
            <w:vAlign w:val="center"/>
          </w:tcPr>
          <w:p>
            <w:pPr>
              <w:spacing w:line="360" w:lineRule="auto"/>
              <w:jc w:val="center"/>
              <w:rPr>
                <w:rFonts w:ascii="宋体" w:hAnsi="宋体"/>
                <w:b/>
                <w:sz w:val="24"/>
              </w:rPr>
            </w:pPr>
          </w:p>
        </w:tc>
        <w:tc>
          <w:tcPr>
            <w:tcW w:w="1701" w:type="dxa"/>
            <w:vAlign w:val="center"/>
          </w:tcPr>
          <w:p>
            <w:pPr>
              <w:jc w:val="center"/>
              <w:rPr>
                <w:rFonts w:ascii="宋体" w:hAnsi="宋体" w:cs="宋体"/>
                <w:sz w:val="24"/>
                <w:szCs w:val="24"/>
              </w:rPr>
            </w:pPr>
            <w:r>
              <w:rPr>
                <w:rFonts w:hint="eastAsia" w:ascii="宋体" w:hAnsi="宋体"/>
                <w:sz w:val="24"/>
              </w:rPr>
              <w:t>ATV 61 HD30N4</w:t>
            </w:r>
          </w:p>
        </w:tc>
        <w:tc>
          <w:tcPr>
            <w:tcW w:w="850" w:type="dxa"/>
            <w:vAlign w:val="center"/>
          </w:tcPr>
          <w:p>
            <w:pPr>
              <w:spacing w:line="360" w:lineRule="auto"/>
              <w:jc w:val="center"/>
              <w:rPr>
                <w:rFonts w:ascii="宋体" w:hAnsi="宋体"/>
                <w:b/>
                <w:sz w:val="24"/>
              </w:rPr>
            </w:pPr>
            <w:r>
              <w:rPr>
                <w:rFonts w:hint="eastAsia" w:ascii="宋体" w:hAnsi="宋体"/>
                <w:b/>
                <w:sz w:val="24"/>
              </w:rPr>
              <w:t>件</w:t>
            </w:r>
          </w:p>
        </w:tc>
        <w:tc>
          <w:tcPr>
            <w:tcW w:w="607" w:type="dxa"/>
          </w:tcPr>
          <w:p>
            <w:pPr>
              <w:jc w:val="center"/>
              <w:rPr>
                <w:rFonts w:ascii="宋体" w:hAnsi="宋体" w:cs="宋体"/>
                <w:sz w:val="24"/>
                <w:szCs w:val="24"/>
              </w:rPr>
            </w:pPr>
            <w:r>
              <w:rPr>
                <w:rFonts w:hint="eastAsia" w:ascii="宋体" w:hAnsi="宋体"/>
                <w:sz w:val="24"/>
              </w:rPr>
              <w:t>9</w:t>
            </w:r>
          </w:p>
        </w:tc>
        <w:tc>
          <w:tcPr>
            <w:tcW w:w="1620" w:type="dxa"/>
            <w:vAlign w:val="center"/>
          </w:tcPr>
          <w:p>
            <w:pPr>
              <w:spacing w:line="360" w:lineRule="auto"/>
              <w:ind w:left="-468" w:leftChars="-223" w:firstLine="470" w:firstLineChars="195"/>
              <w:jc w:val="center"/>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jc w:val="center"/>
        </w:trPr>
        <w:tc>
          <w:tcPr>
            <w:tcW w:w="612" w:type="dxa"/>
            <w:vAlign w:val="center"/>
          </w:tcPr>
          <w:p>
            <w:pPr>
              <w:spacing w:line="360" w:lineRule="auto"/>
              <w:jc w:val="center"/>
              <w:rPr>
                <w:rFonts w:ascii="宋体" w:hAnsi="宋体"/>
                <w:b/>
                <w:sz w:val="24"/>
              </w:rPr>
            </w:pPr>
            <w:r>
              <w:rPr>
                <w:rFonts w:hint="eastAsia" w:ascii="宋体" w:hAnsi="宋体"/>
                <w:b/>
                <w:sz w:val="24"/>
              </w:rPr>
              <w:t>6</w:t>
            </w:r>
          </w:p>
        </w:tc>
        <w:tc>
          <w:tcPr>
            <w:tcW w:w="1701" w:type="dxa"/>
            <w:vAlign w:val="center"/>
          </w:tcPr>
          <w:p>
            <w:pPr>
              <w:jc w:val="center"/>
              <w:rPr>
                <w:rFonts w:ascii="宋体" w:hAnsi="宋体" w:cs="宋体"/>
                <w:sz w:val="24"/>
                <w:szCs w:val="24"/>
              </w:rPr>
            </w:pPr>
            <w:r>
              <w:rPr>
                <w:rFonts w:hint="eastAsia" w:ascii="宋体" w:hAnsi="宋体"/>
                <w:sz w:val="24"/>
              </w:rPr>
              <w:t>散热风机更换</w:t>
            </w:r>
          </w:p>
        </w:tc>
        <w:tc>
          <w:tcPr>
            <w:tcW w:w="1559" w:type="dxa"/>
            <w:vAlign w:val="center"/>
          </w:tcPr>
          <w:p>
            <w:pPr>
              <w:spacing w:line="360" w:lineRule="auto"/>
              <w:jc w:val="center"/>
              <w:rPr>
                <w:rFonts w:ascii="宋体" w:hAnsi="宋体"/>
                <w:b/>
                <w:sz w:val="24"/>
              </w:rPr>
            </w:pPr>
          </w:p>
        </w:tc>
        <w:tc>
          <w:tcPr>
            <w:tcW w:w="1701" w:type="dxa"/>
            <w:vAlign w:val="center"/>
          </w:tcPr>
          <w:p>
            <w:pPr>
              <w:jc w:val="center"/>
              <w:rPr>
                <w:rFonts w:ascii="宋体" w:hAnsi="宋体" w:cs="宋体"/>
                <w:sz w:val="24"/>
                <w:szCs w:val="24"/>
              </w:rPr>
            </w:pPr>
            <w:r>
              <w:rPr>
                <w:rFonts w:hint="eastAsia" w:ascii="宋体" w:hAnsi="宋体"/>
                <w:sz w:val="24"/>
              </w:rPr>
              <w:t>ATV 61 HD45N4</w:t>
            </w:r>
          </w:p>
        </w:tc>
        <w:tc>
          <w:tcPr>
            <w:tcW w:w="850" w:type="dxa"/>
            <w:vAlign w:val="center"/>
          </w:tcPr>
          <w:p>
            <w:pPr>
              <w:spacing w:line="360" w:lineRule="auto"/>
              <w:jc w:val="center"/>
              <w:rPr>
                <w:rFonts w:ascii="宋体" w:hAnsi="宋体"/>
                <w:b/>
                <w:sz w:val="24"/>
              </w:rPr>
            </w:pPr>
            <w:r>
              <w:rPr>
                <w:rFonts w:hint="eastAsia" w:ascii="宋体" w:hAnsi="宋体"/>
                <w:b/>
                <w:sz w:val="24"/>
              </w:rPr>
              <w:t>件</w:t>
            </w:r>
          </w:p>
        </w:tc>
        <w:tc>
          <w:tcPr>
            <w:tcW w:w="607" w:type="dxa"/>
          </w:tcPr>
          <w:p>
            <w:pPr>
              <w:jc w:val="center"/>
              <w:rPr>
                <w:rFonts w:ascii="宋体" w:hAnsi="宋体" w:cs="宋体"/>
                <w:sz w:val="24"/>
                <w:szCs w:val="24"/>
              </w:rPr>
            </w:pPr>
            <w:r>
              <w:rPr>
                <w:rFonts w:hint="eastAsia" w:ascii="宋体" w:hAnsi="宋体"/>
                <w:sz w:val="24"/>
              </w:rPr>
              <w:t>4</w:t>
            </w:r>
          </w:p>
        </w:tc>
        <w:tc>
          <w:tcPr>
            <w:tcW w:w="1620" w:type="dxa"/>
            <w:vAlign w:val="center"/>
          </w:tcPr>
          <w:p>
            <w:pPr>
              <w:spacing w:line="360" w:lineRule="auto"/>
              <w:ind w:left="-468" w:leftChars="-223" w:firstLine="470" w:firstLineChars="195"/>
              <w:jc w:val="center"/>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jc w:val="center"/>
        </w:trPr>
        <w:tc>
          <w:tcPr>
            <w:tcW w:w="8650" w:type="dxa"/>
            <w:gridSpan w:val="7"/>
            <w:vAlign w:val="center"/>
          </w:tcPr>
          <w:p>
            <w:pPr>
              <w:spacing w:line="360" w:lineRule="auto"/>
              <w:ind w:left="-468" w:leftChars="-223" w:firstLine="470" w:firstLineChars="195"/>
              <w:rPr>
                <w:b/>
                <w:sz w:val="24"/>
              </w:rPr>
            </w:pPr>
            <w:r>
              <w:rPr>
                <w:rFonts w:hint="eastAsia"/>
                <w:b/>
                <w:sz w:val="24"/>
              </w:rPr>
              <w:t>总计（人民币大写）：</w:t>
            </w:r>
          </w:p>
        </w:tc>
      </w:tr>
    </w:tbl>
    <w:p>
      <w:pPr>
        <w:adjustRightInd w:val="0"/>
        <w:snapToGrid w:val="0"/>
        <w:jc w:val="left"/>
        <w:rPr>
          <w:rFonts w:cs="Calibri"/>
          <w:b/>
          <w:szCs w:val="21"/>
        </w:rPr>
      </w:pPr>
    </w:p>
    <w:p>
      <w:pPr>
        <w:snapToGrid w:val="0"/>
        <w:spacing w:line="440" w:lineRule="exact"/>
        <w:ind w:firstLine="3969" w:firstLineChars="1890"/>
        <w:rPr>
          <w:rFonts w:cs="Calibri"/>
          <w:szCs w:val="21"/>
        </w:rPr>
      </w:pPr>
      <w:r>
        <w:rPr>
          <w:rFonts w:cs="Calibri"/>
          <w:szCs w:val="21"/>
        </w:rPr>
        <w:t>投标人：（盖单位章）</w:t>
      </w:r>
    </w:p>
    <w:p>
      <w:pPr>
        <w:snapToGrid w:val="0"/>
        <w:spacing w:line="440" w:lineRule="exact"/>
        <w:ind w:firstLine="3969" w:firstLineChars="1890"/>
        <w:rPr>
          <w:rFonts w:cs="Calibri"/>
          <w:szCs w:val="21"/>
        </w:rPr>
      </w:pPr>
      <w:r>
        <w:rPr>
          <w:rFonts w:cs="Calibri"/>
          <w:szCs w:val="21"/>
        </w:rPr>
        <w:t>法定代表人或其委托代理人：（签字或盖章）</w:t>
      </w:r>
    </w:p>
    <w:p>
      <w:pPr>
        <w:snapToGrid w:val="0"/>
        <w:spacing w:line="440" w:lineRule="exact"/>
        <w:ind w:firstLine="3969" w:firstLineChars="1890"/>
        <w:rPr>
          <w:rFonts w:cs="Calibri"/>
          <w:szCs w:val="21"/>
        </w:rPr>
      </w:pPr>
      <w:r>
        <w:rPr>
          <w:rFonts w:cs="Calibri"/>
          <w:szCs w:val="21"/>
        </w:rPr>
        <w:t>日期：    年     月     日</w:t>
      </w:r>
    </w:p>
    <w:p>
      <w:pPr>
        <w:adjustRightInd w:val="0"/>
        <w:snapToGrid w:val="0"/>
        <w:jc w:val="left"/>
        <w:rPr>
          <w:rFonts w:cs="Calibri"/>
          <w:b/>
          <w:szCs w:val="21"/>
        </w:rPr>
      </w:pPr>
    </w:p>
    <w:p>
      <w:pPr>
        <w:spacing w:line="440" w:lineRule="exact"/>
        <w:rPr>
          <w:rFonts w:cs="Calibri"/>
          <w:b/>
          <w:bCs/>
          <w:sz w:val="32"/>
        </w:rPr>
      </w:pPr>
      <w:r>
        <w:rPr>
          <w:rFonts w:eastAsia="黑体" w:cs="Calibri"/>
          <w:bCs/>
          <w:szCs w:val="21"/>
        </w:rPr>
        <w:br w:type="page"/>
      </w:r>
    </w:p>
    <w:p>
      <w:pPr>
        <w:spacing w:line="440" w:lineRule="exact"/>
        <w:jc w:val="center"/>
        <w:rPr>
          <w:rFonts w:eastAsia="黑体" w:cs="Calibri"/>
          <w:sz w:val="32"/>
          <w:szCs w:val="32"/>
        </w:rPr>
      </w:pPr>
      <w:r>
        <w:rPr>
          <w:rFonts w:eastAsia="黑体" w:cs="Calibri"/>
          <w:sz w:val="32"/>
          <w:szCs w:val="32"/>
        </w:rPr>
        <w:t>五、投标人资格证明文件</w:t>
      </w:r>
    </w:p>
    <w:p>
      <w:pPr>
        <w:spacing w:line="440" w:lineRule="exact"/>
        <w:jc w:val="center"/>
        <w:rPr>
          <w:rFonts w:eastAsia="黑体" w:cs="Calibri"/>
          <w:sz w:val="32"/>
          <w:szCs w:val="32"/>
        </w:rPr>
      </w:pPr>
    </w:p>
    <w:p>
      <w:pPr>
        <w:spacing w:line="440" w:lineRule="exact"/>
        <w:jc w:val="center"/>
        <w:rPr>
          <w:rFonts w:eastAsia="黑体" w:cs="Calibri"/>
          <w:sz w:val="32"/>
          <w:szCs w:val="32"/>
        </w:rPr>
      </w:pPr>
      <w:r>
        <w:rPr>
          <w:rFonts w:eastAsia="黑体" w:cs="Calibri"/>
          <w:sz w:val="32"/>
          <w:szCs w:val="32"/>
        </w:rPr>
        <w:t>（一）投标人一般情况</w:t>
      </w:r>
    </w:p>
    <w:tbl>
      <w:tblPr>
        <w:tblStyle w:val="44"/>
        <w:tblW w:w="936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80"/>
        <w:gridCol w:w="1030"/>
        <w:gridCol w:w="215"/>
        <w:gridCol w:w="1011"/>
        <w:gridCol w:w="360"/>
        <w:gridCol w:w="709"/>
        <w:gridCol w:w="95"/>
        <w:gridCol w:w="620"/>
        <w:gridCol w:w="215"/>
        <w:gridCol w:w="771"/>
        <w:gridCol w:w="126"/>
        <w:gridCol w:w="1008"/>
        <w:gridCol w:w="30"/>
        <w:gridCol w:w="11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企业名称</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企业地址</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电话</w:t>
            </w:r>
          </w:p>
        </w:tc>
        <w:tc>
          <w:tcPr>
            <w:tcW w:w="301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112"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传真</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企业成立年份</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企业性质</w:t>
            </w:r>
          </w:p>
        </w:tc>
        <w:tc>
          <w:tcPr>
            <w:tcW w:w="2256"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上级主管部门</w:t>
            </w:r>
          </w:p>
        </w:tc>
        <w:tc>
          <w:tcPr>
            <w:tcW w:w="3125"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企业法人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企业技术</w:t>
            </w:r>
          </w:p>
          <w:p>
            <w:pPr>
              <w:snapToGrid w:val="0"/>
              <w:jc w:val="center"/>
              <w:rPr>
                <w:rFonts w:cs="Calibri"/>
                <w:szCs w:val="21"/>
              </w:rPr>
            </w:pPr>
            <w:r>
              <w:rPr>
                <w:rFonts w:cs="Calibri"/>
                <w:szCs w:val="21"/>
              </w:rPr>
              <w:t>负责人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p>
            <w:pPr>
              <w:snapToGrid w:val="0"/>
              <w:ind w:firstLine="210" w:firstLineChars="100"/>
              <w:jc w:val="center"/>
              <w:rPr>
                <w:rFonts w:cs="Calibri"/>
                <w:szCs w:val="21"/>
              </w:rPr>
            </w:pPr>
            <w:r>
              <w:rPr>
                <w:rFonts w:cs="Calibri"/>
                <w:szCs w:val="21"/>
              </w:rPr>
              <w:t>企业编制人数</w:t>
            </w: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在册人数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高级职称（其中注册人员）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中级职称（其中注册人员）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初级职称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p>
            <w:pPr>
              <w:snapToGrid w:val="0"/>
              <w:ind w:firstLine="210" w:firstLineChars="100"/>
              <w:jc w:val="center"/>
              <w:rPr>
                <w:rFonts w:cs="Calibri"/>
                <w:szCs w:val="21"/>
              </w:rPr>
            </w:pPr>
            <w:r>
              <w:rPr>
                <w:rFonts w:cs="Calibri"/>
                <w:szCs w:val="21"/>
              </w:rPr>
              <w:t>企业资质等级及证号</w:t>
            </w:r>
          </w:p>
        </w:tc>
        <w:tc>
          <w:tcPr>
            <w:tcW w:w="2616"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工商营业执照及营业范围</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注册资金</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开户银行及帐号</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联系人姓名</w:t>
            </w:r>
          </w:p>
          <w:p>
            <w:pPr>
              <w:snapToGrid w:val="0"/>
              <w:jc w:val="center"/>
              <w:rPr>
                <w:rFonts w:cs="Calibri"/>
                <w:szCs w:val="21"/>
              </w:rPr>
            </w:pPr>
            <w:r>
              <w:rPr>
                <w:rFonts w:cs="Calibri"/>
                <w:szCs w:val="21"/>
              </w:rPr>
              <w:t>及电话号码</w:t>
            </w:r>
          </w:p>
        </w:tc>
        <w:tc>
          <w:tcPr>
            <w:tcW w:w="2256" w:type="dxa"/>
            <w:gridSpan w:val="3"/>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99" w:type="dxa"/>
            <w:gridSpan w:val="5"/>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过去3年完成</w:t>
            </w:r>
          </w:p>
          <w:p>
            <w:pPr>
              <w:snapToGrid w:val="0"/>
              <w:jc w:val="center"/>
              <w:rPr>
                <w:rFonts w:cs="Calibri"/>
                <w:szCs w:val="21"/>
              </w:rPr>
            </w:pPr>
            <w:r>
              <w:rPr>
                <w:rFonts w:cs="Calibri"/>
                <w:szCs w:val="21"/>
              </w:rPr>
              <w:t>产值/人均产值</w:t>
            </w:r>
          </w:p>
        </w:tc>
        <w:tc>
          <w:tcPr>
            <w:tcW w:w="1935"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19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225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1999"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1935"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c>
          <w:tcPr>
            <w:tcW w:w="1190" w:type="dxa"/>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r>
    </w:tbl>
    <w:p>
      <w:pPr>
        <w:spacing w:line="360" w:lineRule="auto"/>
        <w:jc w:val="center"/>
        <w:rPr>
          <w:rFonts w:cs="Calibri"/>
          <w:b/>
          <w:sz w:val="36"/>
          <w:szCs w:val="36"/>
        </w:rPr>
      </w:pPr>
    </w:p>
    <w:p>
      <w:pPr>
        <w:widowControl/>
        <w:jc w:val="left"/>
        <w:rPr>
          <w:rFonts w:cs="Calibri"/>
          <w:b/>
          <w:sz w:val="36"/>
          <w:szCs w:val="36"/>
        </w:rPr>
      </w:pPr>
    </w:p>
    <w:p>
      <w:pPr>
        <w:widowControl/>
        <w:jc w:val="left"/>
        <w:rPr>
          <w:rFonts w:cs="Calibri"/>
          <w:b/>
          <w:sz w:val="36"/>
          <w:szCs w:val="36"/>
        </w:rPr>
      </w:pPr>
    </w:p>
    <w:p>
      <w:pPr>
        <w:widowControl/>
        <w:jc w:val="left"/>
        <w:rPr>
          <w:rFonts w:cs="Calibri"/>
          <w:b/>
          <w:sz w:val="36"/>
          <w:szCs w:val="36"/>
        </w:rPr>
      </w:pPr>
    </w:p>
    <w:p>
      <w:pPr>
        <w:spacing w:line="440" w:lineRule="exact"/>
        <w:jc w:val="center"/>
        <w:rPr>
          <w:rFonts w:eastAsia="黑体" w:cs="Calibri"/>
          <w:sz w:val="32"/>
          <w:szCs w:val="32"/>
        </w:rPr>
      </w:pPr>
      <w:r>
        <w:rPr>
          <w:rFonts w:eastAsia="黑体" w:cs="Calibri"/>
          <w:sz w:val="32"/>
          <w:szCs w:val="32"/>
        </w:rPr>
        <w:t>（二）近三年完成类似</w:t>
      </w:r>
      <w:r>
        <w:rPr>
          <w:rFonts w:hint="eastAsia" w:eastAsia="黑体" w:cs="Calibri"/>
          <w:sz w:val="32"/>
          <w:szCs w:val="32"/>
        </w:rPr>
        <w:t>项目业绩</w:t>
      </w:r>
      <w:r>
        <w:rPr>
          <w:rFonts w:eastAsia="黑体" w:cs="Calibri"/>
          <w:sz w:val="32"/>
          <w:szCs w:val="32"/>
        </w:rPr>
        <w:t>情况</w:t>
      </w:r>
    </w:p>
    <w:tbl>
      <w:tblPr>
        <w:tblStyle w:val="44"/>
        <w:tblpPr w:leftFromText="180" w:rightFromText="180" w:vertAnchor="text" w:horzAnchor="margin" w:tblpXSpec="center" w:tblpY="317"/>
        <w:tblW w:w="964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68"/>
        <w:gridCol w:w="2340"/>
        <w:gridCol w:w="876"/>
        <w:gridCol w:w="1356"/>
        <w:gridCol w:w="1596"/>
        <w:gridCol w:w="12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建设单位</w:t>
            </w: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项目名称</w:t>
            </w:r>
          </w:p>
          <w:p>
            <w:pPr>
              <w:snapToGrid w:val="0"/>
              <w:jc w:val="center"/>
              <w:rPr>
                <w:rFonts w:cs="Calibri"/>
                <w:szCs w:val="21"/>
              </w:rPr>
            </w:pPr>
            <w:r>
              <w:rPr>
                <w:rFonts w:cs="Calibri"/>
                <w:szCs w:val="21"/>
              </w:rPr>
              <w:t>及建设地点</w:t>
            </w:r>
          </w:p>
        </w:tc>
        <w:tc>
          <w:tcPr>
            <w:tcW w:w="8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类型</w:t>
            </w:r>
          </w:p>
        </w:tc>
        <w:tc>
          <w:tcPr>
            <w:tcW w:w="135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建设规模</w:t>
            </w:r>
          </w:p>
        </w:tc>
        <w:tc>
          <w:tcPr>
            <w:tcW w:w="159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开竣工日期</w:t>
            </w:r>
          </w:p>
        </w:tc>
        <w:tc>
          <w:tcPr>
            <w:tcW w:w="1212"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质量达到</w:t>
            </w:r>
          </w:p>
          <w:p>
            <w:pPr>
              <w:snapToGrid w:val="0"/>
              <w:jc w:val="center"/>
              <w:rPr>
                <w:rFonts w:cs="Calibri"/>
                <w:szCs w:val="21"/>
              </w:rPr>
            </w:pPr>
            <w:r>
              <w:rPr>
                <w:rFonts w:cs="Calibri"/>
                <w:szCs w:val="21"/>
              </w:rPr>
              <w:t>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pStyle w:val="20"/>
              <w:spacing w:line="360" w:lineRule="auto"/>
              <w:ind w:left="5250"/>
              <w:rPr>
                <w:rFonts w:ascii="Calibri" w:hAnsi="Calibri" w:cs="Calibri"/>
                <w:kern w:val="2"/>
                <w:sz w:val="21"/>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bl>
    <w:p>
      <w:pPr>
        <w:spacing w:line="360" w:lineRule="auto"/>
        <w:jc w:val="left"/>
        <w:rPr>
          <w:rFonts w:cs="Calibri"/>
          <w:b/>
          <w:sz w:val="36"/>
          <w:szCs w:val="36"/>
        </w:rPr>
      </w:pPr>
      <w:r>
        <w:rPr>
          <w:rFonts w:cs="Calibri"/>
          <w:szCs w:val="21"/>
        </w:rPr>
        <w:t>注：附</w:t>
      </w:r>
      <w:r>
        <w:rPr>
          <w:rFonts w:hint="eastAsia" w:cs="Calibri"/>
          <w:szCs w:val="21"/>
        </w:rPr>
        <w:t>服务</w:t>
      </w:r>
      <w:r>
        <w:rPr>
          <w:rFonts w:cs="Calibri"/>
          <w:szCs w:val="21"/>
        </w:rPr>
        <w:t>合同等相应证明文件</w:t>
      </w:r>
    </w:p>
    <w:p>
      <w:pPr>
        <w:spacing w:line="440" w:lineRule="exact"/>
        <w:jc w:val="center"/>
        <w:rPr>
          <w:rFonts w:eastAsia="黑体" w:cs="Calibri"/>
          <w:sz w:val="32"/>
          <w:szCs w:val="32"/>
        </w:rPr>
      </w:pPr>
    </w:p>
    <w:p>
      <w:pPr>
        <w:spacing w:line="440" w:lineRule="exact"/>
        <w:jc w:val="center"/>
        <w:rPr>
          <w:rFonts w:eastAsia="黑体" w:cs="Calibri"/>
          <w:sz w:val="32"/>
          <w:szCs w:val="32"/>
        </w:rPr>
      </w:pPr>
    </w:p>
    <w:p>
      <w:pPr>
        <w:widowControl/>
        <w:jc w:val="left"/>
        <w:rPr>
          <w:rFonts w:eastAsia="黑体" w:cs="Calibri"/>
          <w:sz w:val="32"/>
          <w:szCs w:val="32"/>
        </w:rPr>
      </w:pPr>
      <w:r>
        <w:rPr>
          <w:rFonts w:eastAsia="黑体" w:cs="Calibri"/>
          <w:sz w:val="32"/>
          <w:szCs w:val="32"/>
        </w:rPr>
        <w:br w:type="page"/>
      </w:r>
    </w:p>
    <w:p>
      <w:pPr>
        <w:spacing w:line="440" w:lineRule="exact"/>
        <w:jc w:val="center"/>
        <w:rPr>
          <w:rFonts w:eastAsia="黑体" w:cs="Calibri"/>
          <w:sz w:val="32"/>
          <w:szCs w:val="32"/>
        </w:rPr>
      </w:pPr>
      <w:r>
        <w:rPr>
          <w:rFonts w:eastAsia="黑体" w:cs="Calibri"/>
          <w:sz w:val="32"/>
          <w:szCs w:val="32"/>
        </w:rPr>
        <w:t>六、</w:t>
      </w:r>
      <w:r>
        <w:rPr>
          <w:rFonts w:hint="eastAsia" w:eastAsia="黑体" w:cs="Calibri"/>
          <w:sz w:val="32"/>
          <w:szCs w:val="32"/>
        </w:rPr>
        <w:t>服务大纲</w:t>
      </w:r>
    </w:p>
    <w:p>
      <w:pPr>
        <w:spacing w:line="440" w:lineRule="exact"/>
        <w:jc w:val="center"/>
        <w:rPr>
          <w:rFonts w:eastAsia="黑体" w:cs="Calibri"/>
          <w:sz w:val="32"/>
          <w:szCs w:val="32"/>
        </w:rPr>
      </w:pPr>
      <w:r>
        <w:rPr>
          <w:rFonts w:eastAsia="黑体" w:cs="Calibri"/>
          <w:sz w:val="32"/>
          <w:szCs w:val="32"/>
        </w:rPr>
        <w:t>（</w:t>
      </w:r>
      <w:r>
        <w:rPr>
          <w:rFonts w:hint="eastAsia" w:eastAsia="黑体" w:cs="Calibri"/>
          <w:sz w:val="32"/>
          <w:szCs w:val="32"/>
        </w:rPr>
        <w:t>一</w:t>
      </w:r>
      <w:r>
        <w:rPr>
          <w:rFonts w:eastAsia="黑体" w:cs="Calibri"/>
          <w:sz w:val="32"/>
          <w:szCs w:val="32"/>
        </w:rPr>
        <w:t>）项目负责人简介</w:t>
      </w:r>
    </w:p>
    <w:tbl>
      <w:tblPr>
        <w:tblStyle w:val="44"/>
        <w:tblW w:w="962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7"/>
        <w:gridCol w:w="1857"/>
        <w:gridCol w:w="1857"/>
        <w:gridCol w:w="97"/>
        <w:gridCol w:w="20"/>
        <w:gridCol w:w="1740"/>
        <w:gridCol w:w="60"/>
        <w:gridCol w:w="720"/>
        <w:gridCol w:w="14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从事</w:t>
            </w:r>
            <w:r>
              <w:rPr>
                <w:rFonts w:hint="eastAsia" w:cs="Calibri"/>
                <w:szCs w:val="21"/>
              </w:rPr>
              <w:t>本</w:t>
            </w:r>
            <w:r>
              <w:rPr>
                <w:rFonts w:cs="Calibri"/>
                <w:szCs w:val="21"/>
              </w:rPr>
              <w:t>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2940" w:firstLineChars="1400"/>
              <w:rPr>
                <w:rFonts w:cs="Calibri"/>
                <w:szCs w:val="21"/>
              </w:rPr>
            </w:pPr>
            <w:r>
              <w:rPr>
                <w:rFonts w:cs="Calibri"/>
                <w:szCs w:val="21"/>
              </w:rPr>
              <w:t xml:space="preserve">  已完成</w:t>
            </w:r>
            <w:r>
              <w:rPr>
                <w:rFonts w:hint="eastAsia" w:cs="Calibri"/>
                <w:szCs w:val="21"/>
              </w:rPr>
              <w:t>类似</w:t>
            </w:r>
            <w:r>
              <w:rPr>
                <w:rFonts w:cs="Calibri"/>
                <w:szCs w:val="21"/>
              </w:rPr>
              <w:t>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rPr>
                <w:rFonts w:cs="Calibri"/>
                <w:szCs w:val="21"/>
              </w:rPr>
            </w:pPr>
            <w:r>
              <w:rPr>
                <w:rFonts w:cs="Calibri"/>
                <w:szCs w:val="21"/>
              </w:rPr>
              <w:t>建设单位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jc w:val="center"/>
              <w:rPr>
                <w:rFonts w:cs="Calibri"/>
                <w:szCs w:val="21"/>
              </w:rPr>
            </w:pPr>
            <w:r>
              <w:rPr>
                <w:rFonts w:cs="Calibri"/>
                <w:szCs w:val="21"/>
              </w:rPr>
              <w:t>建设规模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pStyle w:val="20"/>
              <w:snapToGrid w:val="0"/>
              <w:ind w:left="5250"/>
              <w:rPr>
                <w:rFonts w:ascii="Calibri" w:hAnsi="Calibri" w:cs="Calibri"/>
                <w:kern w:val="2"/>
                <w:sz w:val="21"/>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pStyle w:val="20"/>
              <w:snapToGrid w:val="0"/>
              <w:ind w:left="5250"/>
              <w:rPr>
                <w:rFonts w:ascii="Calibri" w:hAnsi="Calibri" w:cs="Calibri"/>
                <w:kern w:val="2"/>
                <w:sz w:val="21"/>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bl>
    <w:p>
      <w:pPr>
        <w:spacing w:line="360" w:lineRule="auto"/>
        <w:rPr>
          <w:rFonts w:cs="Calibri"/>
          <w:szCs w:val="21"/>
        </w:rPr>
      </w:pPr>
      <w:r>
        <w:rPr>
          <w:rFonts w:cs="Calibri"/>
          <w:szCs w:val="21"/>
        </w:rPr>
        <w:t>注：附职称证、身份证、资格证</w:t>
      </w:r>
      <w:r>
        <w:rPr>
          <w:rFonts w:hint="eastAsia" w:cs="Calibri"/>
          <w:szCs w:val="21"/>
        </w:rPr>
        <w:t>、业绩</w:t>
      </w:r>
      <w:r>
        <w:rPr>
          <w:rFonts w:cs="Calibri"/>
          <w:szCs w:val="21"/>
        </w:rPr>
        <w:t>合同等相应证明文件</w:t>
      </w:r>
    </w:p>
    <w:p>
      <w:pPr>
        <w:spacing w:line="360" w:lineRule="auto"/>
        <w:rPr>
          <w:rFonts w:cs="Calibri"/>
          <w:sz w:val="24"/>
        </w:rPr>
      </w:pPr>
    </w:p>
    <w:p>
      <w:pPr>
        <w:spacing w:line="360" w:lineRule="auto"/>
        <w:rPr>
          <w:rFonts w:cs="Calibri"/>
          <w:sz w:val="24"/>
        </w:rPr>
      </w:pPr>
    </w:p>
    <w:p>
      <w:pPr>
        <w:spacing w:line="440" w:lineRule="exact"/>
        <w:jc w:val="center"/>
        <w:rPr>
          <w:rFonts w:eastAsia="黑体" w:cs="Calibri"/>
          <w:sz w:val="32"/>
          <w:szCs w:val="32"/>
        </w:rPr>
      </w:pPr>
      <w:r>
        <w:rPr>
          <w:rFonts w:eastAsia="黑体" w:cs="Calibri"/>
          <w:sz w:val="32"/>
          <w:szCs w:val="32"/>
        </w:rPr>
        <w:t>（五）主要参与</w:t>
      </w:r>
      <w:r>
        <w:rPr>
          <w:rFonts w:hint="eastAsia" w:eastAsia="黑体" w:cs="Calibri"/>
          <w:sz w:val="32"/>
          <w:szCs w:val="32"/>
        </w:rPr>
        <w:t>服务</w:t>
      </w:r>
      <w:r>
        <w:rPr>
          <w:rFonts w:eastAsia="黑体" w:cs="Calibri"/>
          <w:sz w:val="32"/>
          <w:szCs w:val="32"/>
        </w:rPr>
        <w:t>人员简介</w:t>
      </w:r>
    </w:p>
    <w:tbl>
      <w:tblPr>
        <w:tblStyle w:val="44"/>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540"/>
        <w:gridCol w:w="1520"/>
        <w:gridCol w:w="162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vAlign w:val="center"/>
          </w:tcPr>
          <w:p>
            <w:pPr>
              <w:pStyle w:val="12"/>
              <w:snapToGrid w:val="0"/>
              <w:ind w:firstLine="241"/>
              <w:jc w:val="center"/>
              <w:rPr>
                <w:rFonts w:ascii="Calibri" w:hAnsi="Calibri" w:cs="Calibri"/>
                <w:bCs/>
                <w:sz w:val="21"/>
                <w:szCs w:val="21"/>
              </w:rPr>
            </w:pPr>
            <w:r>
              <w:rPr>
                <w:rFonts w:ascii="Calibri" w:hAnsi="Calibri" w:cs="Calibri"/>
                <w:bCs/>
                <w:sz w:val="21"/>
                <w:szCs w:val="21"/>
              </w:rPr>
              <w:t>岗位名称</w:t>
            </w:r>
          </w:p>
        </w:tc>
        <w:tc>
          <w:tcPr>
            <w:tcW w:w="1540" w:type="dxa"/>
            <w:vAlign w:val="center"/>
          </w:tcPr>
          <w:p>
            <w:pPr>
              <w:pStyle w:val="12"/>
              <w:snapToGrid w:val="0"/>
              <w:ind w:firstLine="241"/>
              <w:jc w:val="center"/>
              <w:rPr>
                <w:rFonts w:ascii="Calibri" w:hAnsi="Calibri" w:cs="Calibri"/>
                <w:bCs/>
                <w:sz w:val="21"/>
                <w:szCs w:val="21"/>
              </w:rPr>
            </w:pPr>
            <w:r>
              <w:rPr>
                <w:rFonts w:ascii="Calibri" w:hAnsi="Calibri" w:cs="Calibri"/>
                <w:bCs/>
                <w:sz w:val="21"/>
                <w:szCs w:val="21"/>
              </w:rPr>
              <w:t>姓名</w:t>
            </w:r>
          </w:p>
        </w:tc>
        <w:tc>
          <w:tcPr>
            <w:tcW w:w="1520" w:type="dxa"/>
            <w:vAlign w:val="center"/>
          </w:tcPr>
          <w:p>
            <w:pPr>
              <w:pStyle w:val="12"/>
              <w:snapToGrid w:val="0"/>
              <w:ind w:firstLine="241"/>
              <w:jc w:val="center"/>
              <w:rPr>
                <w:rFonts w:ascii="Calibri" w:hAnsi="Calibri" w:cs="Calibri"/>
                <w:bCs/>
                <w:sz w:val="21"/>
                <w:szCs w:val="21"/>
              </w:rPr>
            </w:pPr>
            <w:r>
              <w:rPr>
                <w:rFonts w:ascii="Calibri" w:hAnsi="Calibri" w:cs="Calibri"/>
                <w:bCs/>
                <w:sz w:val="21"/>
                <w:szCs w:val="21"/>
              </w:rPr>
              <w:t>执业资格/职称</w:t>
            </w:r>
          </w:p>
        </w:tc>
        <w:tc>
          <w:tcPr>
            <w:tcW w:w="1620" w:type="dxa"/>
            <w:vAlign w:val="center"/>
          </w:tcPr>
          <w:p>
            <w:pPr>
              <w:snapToGrid w:val="0"/>
              <w:jc w:val="center"/>
              <w:rPr>
                <w:rFonts w:cs="Calibri"/>
                <w:bCs/>
                <w:szCs w:val="21"/>
              </w:rPr>
            </w:pPr>
            <w:r>
              <w:rPr>
                <w:rFonts w:cs="Calibri"/>
                <w:bCs/>
                <w:szCs w:val="21"/>
              </w:rPr>
              <w:t>本项目</w:t>
            </w:r>
          </w:p>
          <w:p>
            <w:pPr>
              <w:snapToGrid w:val="0"/>
              <w:jc w:val="center"/>
              <w:rPr>
                <w:rFonts w:cs="Calibri"/>
                <w:bCs/>
                <w:szCs w:val="21"/>
              </w:rPr>
            </w:pPr>
            <w:r>
              <w:rPr>
                <w:rFonts w:cs="Calibri"/>
                <w:bCs/>
                <w:szCs w:val="21"/>
              </w:rPr>
              <w:t>拟任职务</w:t>
            </w:r>
          </w:p>
        </w:tc>
        <w:tc>
          <w:tcPr>
            <w:tcW w:w="2880" w:type="dxa"/>
            <w:vAlign w:val="center"/>
          </w:tcPr>
          <w:p>
            <w:pPr>
              <w:snapToGrid w:val="0"/>
              <w:jc w:val="center"/>
              <w:rPr>
                <w:rFonts w:cs="Calibri"/>
                <w:bCs/>
                <w:szCs w:val="21"/>
              </w:rPr>
            </w:pPr>
            <w:r>
              <w:rPr>
                <w:rFonts w:cs="Calibri"/>
                <w:bCs/>
                <w:szCs w:val="21"/>
              </w:rPr>
              <w:t>工作年限、主要经验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241"/>
              <w:jc w:val="center"/>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2"/>
              <w:snapToGrid w:val="0"/>
              <w:ind w:firstLine="0"/>
              <w:rPr>
                <w:rFonts w:ascii="Calibri" w:hAnsi="Calibri" w:cs="Calibri"/>
                <w:sz w:val="21"/>
                <w:szCs w:val="21"/>
              </w:rPr>
            </w:pPr>
          </w:p>
        </w:tc>
        <w:tc>
          <w:tcPr>
            <w:tcW w:w="1540" w:type="dxa"/>
          </w:tcPr>
          <w:p>
            <w:pPr>
              <w:pStyle w:val="12"/>
              <w:snapToGrid w:val="0"/>
              <w:ind w:firstLine="241"/>
              <w:jc w:val="center"/>
              <w:rPr>
                <w:rFonts w:ascii="Calibri" w:hAnsi="Calibri" w:cs="Calibri"/>
                <w:sz w:val="21"/>
                <w:szCs w:val="21"/>
              </w:rPr>
            </w:pPr>
          </w:p>
        </w:tc>
        <w:tc>
          <w:tcPr>
            <w:tcW w:w="1520" w:type="dxa"/>
          </w:tcPr>
          <w:p>
            <w:pPr>
              <w:pStyle w:val="12"/>
              <w:snapToGrid w:val="0"/>
              <w:ind w:firstLine="241"/>
              <w:jc w:val="center"/>
              <w:rPr>
                <w:rFonts w:ascii="Calibri" w:hAnsi="Calibri" w:cs="Calibri"/>
                <w:sz w:val="21"/>
                <w:szCs w:val="21"/>
              </w:rPr>
            </w:pPr>
          </w:p>
        </w:tc>
        <w:tc>
          <w:tcPr>
            <w:tcW w:w="1620" w:type="dxa"/>
          </w:tcPr>
          <w:p>
            <w:pPr>
              <w:pStyle w:val="12"/>
              <w:snapToGrid w:val="0"/>
              <w:ind w:firstLine="241"/>
              <w:jc w:val="center"/>
              <w:rPr>
                <w:rFonts w:ascii="Calibri" w:hAnsi="Calibri" w:cs="Calibri"/>
                <w:sz w:val="21"/>
                <w:szCs w:val="21"/>
              </w:rPr>
            </w:pPr>
          </w:p>
        </w:tc>
        <w:tc>
          <w:tcPr>
            <w:tcW w:w="2880" w:type="dxa"/>
          </w:tcPr>
          <w:p>
            <w:pPr>
              <w:pStyle w:val="12"/>
              <w:snapToGrid w:val="0"/>
              <w:ind w:firstLine="241"/>
              <w:jc w:val="center"/>
              <w:rPr>
                <w:rFonts w:ascii="Calibri" w:hAnsi="Calibri" w:cs="Calibri"/>
                <w:sz w:val="21"/>
                <w:szCs w:val="21"/>
              </w:rPr>
            </w:pPr>
          </w:p>
        </w:tc>
      </w:tr>
    </w:tbl>
    <w:p>
      <w:pPr>
        <w:spacing w:line="360" w:lineRule="auto"/>
        <w:rPr>
          <w:rFonts w:cs="Calibri"/>
          <w:b/>
          <w:sz w:val="36"/>
          <w:szCs w:val="36"/>
        </w:rPr>
      </w:pPr>
      <w:r>
        <w:rPr>
          <w:rFonts w:cs="Calibri"/>
          <w:szCs w:val="21"/>
        </w:rPr>
        <w:t>注：附职称证、身份证、资格证</w:t>
      </w:r>
      <w:r>
        <w:rPr>
          <w:rFonts w:hint="eastAsia" w:cs="Calibri"/>
          <w:szCs w:val="21"/>
        </w:rPr>
        <w:t>、业绩</w:t>
      </w:r>
      <w:r>
        <w:rPr>
          <w:rFonts w:cs="Calibri"/>
          <w:szCs w:val="21"/>
        </w:rPr>
        <w:t>合同等相应证明文件</w:t>
      </w:r>
    </w:p>
    <w:p>
      <w:pPr>
        <w:spacing w:line="440" w:lineRule="exact"/>
        <w:jc w:val="center"/>
        <w:rPr>
          <w:rFonts w:eastAsia="黑体" w:cs="Calibri"/>
          <w:sz w:val="32"/>
          <w:szCs w:val="32"/>
        </w:rPr>
      </w:pPr>
      <w:r>
        <w:rPr>
          <w:rFonts w:eastAsia="黑体" w:cs="Calibri"/>
          <w:sz w:val="32"/>
          <w:szCs w:val="32"/>
        </w:rPr>
        <w:t>七、</w:t>
      </w:r>
      <w:r>
        <w:rPr>
          <w:rFonts w:hint="eastAsia" w:eastAsia="黑体" w:cs="Calibri"/>
          <w:sz w:val="32"/>
          <w:szCs w:val="32"/>
        </w:rPr>
        <w:t>投标人认为</w:t>
      </w:r>
      <w:r>
        <w:rPr>
          <w:rFonts w:eastAsia="黑体" w:cs="Calibri"/>
          <w:sz w:val="32"/>
          <w:szCs w:val="32"/>
        </w:rPr>
        <w:t>应该提供的其他材料</w:t>
      </w: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440" w:lineRule="exact"/>
        <w:jc w:val="center"/>
        <w:rPr>
          <w:rFonts w:eastAsia="黑体" w:cs="Calibri"/>
          <w:sz w:val="32"/>
          <w:szCs w:val="32"/>
        </w:rPr>
      </w:pPr>
    </w:p>
    <w:p/>
    <w:sectPr>
      <w:footerReference r:id="rId8" w:type="even"/>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8C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S?o｡ﾀ?">
    <w:altName w:val="MS PGothic"/>
    <w:panose1 w:val="00000000000000000000"/>
    <w:charset w:val="80"/>
    <w:family w:val="modern"/>
    <w:pitch w:val="default"/>
    <w:sig w:usb0="00000000" w:usb1="00000000" w:usb2="00000010" w:usb3="00000000" w:csb0="00020000"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lang w:val="zh-CN"/>
      </w:rPr>
      <w:t>-</w:t>
    </w:r>
    <w:r>
      <w:t xml:space="preserve"> 60 -</w:t>
    </w:r>
    <w:r>
      <w:fldChar w:fldCharType="end"/>
    </w:r>
  </w:p>
  <w:p>
    <w:pPr>
      <w:pStyle w:val="23"/>
      <w:wordWrap w:val="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outside" w:y="1"/>
      <w:rPr>
        <w:rStyle w:val="38"/>
      </w:rPr>
    </w:pPr>
    <w:r>
      <w:fldChar w:fldCharType="begin"/>
    </w:r>
    <w:r>
      <w:rPr>
        <w:rStyle w:val="38"/>
      </w:rPr>
      <w:instrText xml:space="preserve">PAGE  </w:instrText>
    </w:r>
    <w:r>
      <w:fldChar w:fldCharType="separate"/>
    </w:r>
    <w:r>
      <w:rPr>
        <w:rStyle w:val="38"/>
      </w:rPr>
      <w:t>0</w:t>
    </w:r>
    <w:r>
      <w:fldChar w:fldCharType="end"/>
    </w:r>
  </w:p>
  <w:p>
    <w:pPr>
      <w:pStyle w:val="2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p>
  <w:p>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outside" w:y="1"/>
      <w:rPr>
        <w:rStyle w:val="38"/>
      </w:rPr>
    </w:pPr>
    <w:r>
      <w:fldChar w:fldCharType="begin"/>
    </w:r>
    <w:r>
      <w:rPr>
        <w:rStyle w:val="38"/>
      </w:rPr>
      <w:instrText xml:space="preserve">PAGE  </w:instrText>
    </w:r>
    <w:r>
      <w:fldChar w:fldCharType="separate"/>
    </w:r>
    <w:r>
      <w:rPr>
        <w:rStyle w:val="38"/>
      </w:rPr>
      <w:t>0</w:t>
    </w:r>
    <w:r>
      <w:fldChar w:fldCharType="end"/>
    </w:r>
  </w:p>
  <w:p>
    <w:pPr>
      <w:pStyle w:val="2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left"/>
    </w:pPr>
    <w:r>
      <w:rPr>
        <w:rFonts w:hint="eastAsia"/>
      </w:rPr>
      <w:t>杭州萧山国际机场中央空调系统变频器维修项目招标文件</w:t>
    </w:r>
  </w:p>
  <w:p>
    <w:pPr>
      <w:widowControl/>
      <w:adjustRightInd w:val="0"/>
      <w:snapToGrid w:val="0"/>
      <w:textAlignment w:val="baseline"/>
      <w:rPr>
        <w:color w:val="000000"/>
        <w:kern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063CE2"/>
    <w:multiLevelType w:val="singleLevel"/>
    <w:tmpl w:val="8C063CE2"/>
    <w:lvl w:ilvl="0" w:tentative="0">
      <w:start w:val="3"/>
      <w:numFmt w:val="decimal"/>
      <w:suff w:val="nothing"/>
      <w:lvlText w:val="（%1）"/>
      <w:lvlJc w:val="left"/>
    </w:lvl>
  </w:abstractNum>
  <w:abstractNum w:abstractNumId="1">
    <w:nsid w:val="AB5C0C70"/>
    <w:multiLevelType w:val="singleLevel"/>
    <w:tmpl w:val="AB5C0C70"/>
    <w:lvl w:ilvl="0" w:tentative="0">
      <w:start w:val="1"/>
      <w:numFmt w:val="decimal"/>
      <w:lvlText w:val="%1."/>
      <w:lvlJc w:val="left"/>
      <w:pPr>
        <w:tabs>
          <w:tab w:val="left" w:pos="312"/>
        </w:tabs>
      </w:pPr>
    </w:lvl>
  </w:abstractNum>
  <w:abstractNum w:abstractNumId="2">
    <w:nsid w:val="03DA8317"/>
    <w:multiLevelType w:val="singleLevel"/>
    <w:tmpl w:val="03DA8317"/>
    <w:lvl w:ilvl="0" w:tentative="0">
      <w:start w:val="1"/>
      <w:numFmt w:val="decimal"/>
      <w:suff w:val="nothing"/>
      <w:lvlText w:val="%1、"/>
      <w:lvlJc w:val="left"/>
    </w:lvl>
  </w:abstractNum>
  <w:abstractNum w:abstractNumId="3">
    <w:nsid w:val="0ECE3963"/>
    <w:multiLevelType w:val="multilevel"/>
    <w:tmpl w:val="0ECE3963"/>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1E9465A"/>
    <w:multiLevelType w:val="singleLevel"/>
    <w:tmpl w:val="11E9465A"/>
    <w:lvl w:ilvl="0" w:tentative="0">
      <w:start w:val="1"/>
      <w:numFmt w:val="chineseCounting"/>
      <w:suff w:val="nothing"/>
      <w:lvlText w:val="%1、"/>
      <w:lvlJc w:val="left"/>
      <w:rPr>
        <w:rFonts w:hint="eastAsia"/>
      </w:rPr>
    </w:lvl>
  </w:abstractNum>
  <w:abstractNum w:abstractNumId="5">
    <w:nsid w:val="1F2E696B"/>
    <w:multiLevelType w:val="multilevel"/>
    <w:tmpl w:val="1F2E696B"/>
    <w:lvl w:ilvl="0" w:tentative="0">
      <w:start w:val="1"/>
      <w:numFmt w:val="decimal"/>
      <w:lvlText w:val="%1)"/>
      <w:lvlJc w:val="left"/>
      <w:pPr>
        <w:ind w:left="988"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1487009"/>
    <w:multiLevelType w:val="multilevel"/>
    <w:tmpl w:val="21487009"/>
    <w:lvl w:ilvl="0" w:tentative="0">
      <w:start w:val="1"/>
      <w:numFmt w:val="decimal"/>
      <w:lvlText w:val="%1)"/>
      <w:lvlJc w:val="left"/>
      <w:pPr>
        <w:ind w:left="988"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3BA4BD8"/>
    <w:multiLevelType w:val="multilevel"/>
    <w:tmpl w:val="23BA4BD8"/>
    <w:lvl w:ilvl="0" w:tentative="0">
      <w:start w:val="1"/>
      <w:numFmt w:val="decimal"/>
      <w:lvlText w:val="（%1）"/>
      <w:lvlJc w:val="right"/>
      <w:pPr>
        <w:ind w:left="1413" w:hanging="420"/>
      </w:pPr>
      <w:rPr>
        <w:rFonts w:hint="eastAsia" w:ascii="Times New Roman" w:hAnsi="Times New Roman" w:eastAsia="宋体"/>
        <w:spacing w:val="0"/>
        <w:position w:val="0"/>
      </w:rPr>
    </w:lvl>
    <w:lvl w:ilvl="1" w:tentative="0">
      <w:start w:val="1"/>
      <w:numFmt w:val="lowerLetter"/>
      <w:lvlText w:val="%2)"/>
      <w:lvlJc w:val="left"/>
      <w:pPr>
        <w:ind w:left="1833" w:hanging="420"/>
      </w:pPr>
    </w:lvl>
    <w:lvl w:ilvl="2" w:tentative="0">
      <w:start w:val="1"/>
      <w:numFmt w:val="lowerRoman"/>
      <w:lvlText w:val="%3."/>
      <w:lvlJc w:val="right"/>
      <w:pPr>
        <w:ind w:left="2253" w:hanging="420"/>
      </w:pPr>
    </w:lvl>
    <w:lvl w:ilvl="3" w:tentative="0">
      <w:start w:val="1"/>
      <w:numFmt w:val="decimal"/>
      <w:lvlText w:val="%4."/>
      <w:lvlJc w:val="left"/>
      <w:pPr>
        <w:ind w:left="2673" w:hanging="420"/>
      </w:pPr>
    </w:lvl>
    <w:lvl w:ilvl="4" w:tentative="0">
      <w:start w:val="1"/>
      <w:numFmt w:val="lowerLetter"/>
      <w:lvlText w:val="%5)"/>
      <w:lvlJc w:val="left"/>
      <w:pPr>
        <w:ind w:left="3093" w:hanging="420"/>
      </w:pPr>
    </w:lvl>
    <w:lvl w:ilvl="5" w:tentative="0">
      <w:start w:val="1"/>
      <w:numFmt w:val="lowerRoman"/>
      <w:lvlText w:val="%6."/>
      <w:lvlJc w:val="right"/>
      <w:pPr>
        <w:ind w:left="3513" w:hanging="420"/>
      </w:pPr>
    </w:lvl>
    <w:lvl w:ilvl="6" w:tentative="0">
      <w:start w:val="1"/>
      <w:numFmt w:val="decimal"/>
      <w:lvlText w:val="%7."/>
      <w:lvlJc w:val="left"/>
      <w:pPr>
        <w:ind w:left="3933" w:hanging="420"/>
      </w:pPr>
    </w:lvl>
    <w:lvl w:ilvl="7" w:tentative="0">
      <w:start w:val="1"/>
      <w:numFmt w:val="lowerLetter"/>
      <w:lvlText w:val="%8)"/>
      <w:lvlJc w:val="left"/>
      <w:pPr>
        <w:ind w:left="4353" w:hanging="420"/>
      </w:pPr>
    </w:lvl>
    <w:lvl w:ilvl="8" w:tentative="0">
      <w:start w:val="1"/>
      <w:numFmt w:val="lowerRoman"/>
      <w:lvlText w:val="%9."/>
      <w:lvlJc w:val="right"/>
      <w:pPr>
        <w:ind w:left="4773" w:hanging="420"/>
      </w:pPr>
    </w:lvl>
  </w:abstractNum>
  <w:abstractNum w:abstractNumId="8">
    <w:nsid w:val="3122190B"/>
    <w:multiLevelType w:val="multilevel"/>
    <w:tmpl w:val="3122190B"/>
    <w:lvl w:ilvl="0" w:tentative="0">
      <w:start w:val="1"/>
      <w:numFmt w:val="japaneseCounting"/>
      <w:lvlText w:val="%1、"/>
      <w:lvlJc w:val="left"/>
      <w:pPr>
        <w:ind w:left="777" w:hanging="420"/>
      </w:pPr>
      <w:rPr>
        <w:rFonts w:hint="default"/>
        <w:u w:val="none"/>
      </w:rPr>
    </w:lvl>
    <w:lvl w:ilvl="1" w:tentative="0">
      <w:start w:val="1"/>
      <w:numFmt w:val="lowerLetter"/>
      <w:lvlText w:val="%2)"/>
      <w:lvlJc w:val="left"/>
      <w:pPr>
        <w:ind w:left="1197" w:hanging="420"/>
      </w:pPr>
    </w:lvl>
    <w:lvl w:ilvl="2" w:tentative="0">
      <w:start w:val="1"/>
      <w:numFmt w:val="lowerRoman"/>
      <w:lvlText w:val="%3."/>
      <w:lvlJc w:val="right"/>
      <w:pPr>
        <w:ind w:left="1617" w:hanging="420"/>
      </w:pPr>
    </w:lvl>
    <w:lvl w:ilvl="3" w:tentative="0">
      <w:start w:val="1"/>
      <w:numFmt w:val="decimal"/>
      <w:lvlText w:val="%4."/>
      <w:lvlJc w:val="left"/>
      <w:pPr>
        <w:ind w:left="2037" w:hanging="420"/>
      </w:pPr>
    </w:lvl>
    <w:lvl w:ilvl="4" w:tentative="0">
      <w:start w:val="1"/>
      <w:numFmt w:val="lowerLetter"/>
      <w:lvlText w:val="%5)"/>
      <w:lvlJc w:val="left"/>
      <w:pPr>
        <w:ind w:left="2457" w:hanging="420"/>
      </w:pPr>
    </w:lvl>
    <w:lvl w:ilvl="5" w:tentative="0">
      <w:start w:val="1"/>
      <w:numFmt w:val="lowerRoman"/>
      <w:lvlText w:val="%6."/>
      <w:lvlJc w:val="right"/>
      <w:pPr>
        <w:ind w:left="2877" w:hanging="420"/>
      </w:pPr>
    </w:lvl>
    <w:lvl w:ilvl="6" w:tentative="0">
      <w:start w:val="1"/>
      <w:numFmt w:val="decimal"/>
      <w:lvlText w:val="%7."/>
      <w:lvlJc w:val="left"/>
      <w:pPr>
        <w:ind w:left="3297" w:hanging="420"/>
      </w:pPr>
    </w:lvl>
    <w:lvl w:ilvl="7" w:tentative="0">
      <w:start w:val="1"/>
      <w:numFmt w:val="lowerLetter"/>
      <w:lvlText w:val="%8)"/>
      <w:lvlJc w:val="left"/>
      <w:pPr>
        <w:ind w:left="3717" w:hanging="420"/>
      </w:pPr>
    </w:lvl>
    <w:lvl w:ilvl="8" w:tentative="0">
      <w:start w:val="1"/>
      <w:numFmt w:val="lowerRoman"/>
      <w:lvlText w:val="%9."/>
      <w:lvlJc w:val="right"/>
      <w:pPr>
        <w:ind w:left="4137" w:hanging="420"/>
      </w:pPr>
    </w:lvl>
  </w:abstractNum>
  <w:abstractNum w:abstractNumId="9">
    <w:nsid w:val="4C31367D"/>
    <w:multiLevelType w:val="multilevel"/>
    <w:tmpl w:val="4C31367D"/>
    <w:lvl w:ilvl="0" w:tentative="0">
      <w:start w:val="1"/>
      <w:numFmt w:val="decimal"/>
      <w:lvlText w:val="（%1）"/>
      <w:lvlJc w:val="right"/>
      <w:pPr>
        <w:ind w:left="1413" w:hanging="420"/>
      </w:pPr>
      <w:rPr>
        <w:rFonts w:hint="eastAsia" w:ascii="Times New Roman" w:hAnsi="Times New Roman" w:eastAsia="宋体"/>
        <w:spacing w:val="0"/>
        <w:position w:val="0"/>
      </w:rPr>
    </w:lvl>
    <w:lvl w:ilvl="1" w:tentative="0">
      <w:start w:val="1"/>
      <w:numFmt w:val="lowerLetter"/>
      <w:lvlText w:val="%2)"/>
      <w:lvlJc w:val="left"/>
      <w:pPr>
        <w:ind w:left="1833" w:hanging="420"/>
      </w:pPr>
    </w:lvl>
    <w:lvl w:ilvl="2" w:tentative="0">
      <w:start w:val="1"/>
      <w:numFmt w:val="lowerRoman"/>
      <w:lvlText w:val="%3."/>
      <w:lvlJc w:val="right"/>
      <w:pPr>
        <w:ind w:left="2253" w:hanging="420"/>
      </w:pPr>
    </w:lvl>
    <w:lvl w:ilvl="3" w:tentative="0">
      <w:start w:val="1"/>
      <w:numFmt w:val="decimal"/>
      <w:lvlText w:val="%4."/>
      <w:lvlJc w:val="left"/>
      <w:pPr>
        <w:ind w:left="2673" w:hanging="420"/>
      </w:pPr>
    </w:lvl>
    <w:lvl w:ilvl="4" w:tentative="0">
      <w:start w:val="1"/>
      <w:numFmt w:val="lowerLetter"/>
      <w:lvlText w:val="%5)"/>
      <w:lvlJc w:val="left"/>
      <w:pPr>
        <w:ind w:left="3093" w:hanging="420"/>
      </w:pPr>
    </w:lvl>
    <w:lvl w:ilvl="5" w:tentative="0">
      <w:start w:val="1"/>
      <w:numFmt w:val="lowerRoman"/>
      <w:lvlText w:val="%6."/>
      <w:lvlJc w:val="right"/>
      <w:pPr>
        <w:ind w:left="3513" w:hanging="420"/>
      </w:pPr>
    </w:lvl>
    <w:lvl w:ilvl="6" w:tentative="0">
      <w:start w:val="1"/>
      <w:numFmt w:val="decimal"/>
      <w:lvlText w:val="%7."/>
      <w:lvlJc w:val="left"/>
      <w:pPr>
        <w:ind w:left="3933" w:hanging="420"/>
      </w:pPr>
    </w:lvl>
    <w:lvl w:ilvl="7" w:tentative="0">
      <w:start w:val="1"/>
      <w:numFmt w:val="lowerLetter"/>
      <w:lvlText w:val="%8)"/>
      <w:lvlJc w:val="left"/>
      <w:pPr>
        <w:ind w:left="4353" w:hanging="420"/>
      </w:pPr>
    </w:lvl>
    <w:lvl w:ilvl="8" w:tentative="0">
      <w:start w:val="1"/>
      <w:numFmt w:val="lowerRoman"/>
      <w:lvlText w:val="%9."/>
      <w:lvlJc w:val="right"/>
      <w:pPr>
        <w:ind w:left="4773" w:hanging="420"/>
      </w:pPr>
    </w:lvl>
  </w:abstractNum>
  <w:abstractNum w:abstractNumId="10">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1">
    <w:nsid w:val="5C77EB36"/>
    <w:multiLevelType w:val="singleLevel"/>
    <w:tmpl w:val="5C77EB36"/>
    <w:lvl w:ilvl="0" w:tentative="0">
      <w:start w:val="2"/>
      <w:numFmt w:val="decimal"/>
      <w:suff w:val="nothing"/>
      <w:lvlText w:val="%1、"/>
      <w:lvlJc w:val="left"/>
    </w:lvl>
  </w:abstractNum>
  <w:abstractNum w:abstractNumId="12">
    <w:nsid w:val="659D07D2"/>
    <w:multiLevelType w:val="multilevel"/>
    <w:tmpl w:val="659D07D2"/>
    <w:lvl w:ilvl="0" w:tentative="0">
      <w:start w:val="1"/>
      <w:numFmt w:val="decimal"/>
      <w:lvlText w:val="（%1）"/>
      <w:lvlJc w:val="right"/>
      <w:pPr>
        <w:ind w:left="1413" w:hanging="420"/>
      </w:pPr>
      <w:rPr>
        <w:rFonts w:hint="eastAsia" w:ascii="Times New Roman" w:hAnsi="Times New Roman" w:eastAsia="宋体"/>
        <w:spacing w:val="0"/>
        <w:position w:val="0"/>
      </w:rPr>
    </w:lvl>
    <w:lvl w:ilvl="1" w:tentative="0">
      <w:start w:val="1"/>
      <w:numFmt w:val="lowerLetter"/>
      <w:lvlText w:val="%2)"/>
      <w:lvlJc w:val="left"/>
      <w:pPr>
        <w:ind w:left="1833" w:hanging="420"/>
      </w:pPr>
    </w:lvl>
    <w:lvl w:ilvl="2" w:tentative="0">
      <w:start w:val="1"/>
      <w:numFmt w:val="lowerRoman"/>
      <w:lvlText w:val="%3."/>
      <w:lvlJc w:val="right"/>
      <w:pPr>
        <w:ind w:left="2253" w:hanging="420"/>
      </w:pPr>
    </w:lvl>
    <w:lvl w:ilvl="3" w:tentative="0">
      <w:start w:val="1"/>
      <w:numFmt w:val="decimal"/>
      <w:lvlText w:val="%4."/>
      <w:lvlJc w:val="left"/>
      <w:pPr>
        <w:ind w:left="2673" w:hanging="420"/>
      </w:pPr>
    </w:lvl>
    <w:lvl w:ilvl="4" w:tentative="0">
      <w:start w:val="1"/>
      <w:numFmt w:val="lowerLetter"/>
      <w:lvlText w:val="%5)"/>
      <w:lvlJc w:val="left"/>
      <w:pPr>
        <w:ind w:left="3093" w:hanging="420"/>
      </w:pPr>
    </w:lvl>
    <w:lvl w:ilvl="5" w:tentative="0">
      <w:start w:val="1"/>
      <w:numFmt w:val="lowerRoman"/>
      <w:lvlText w:val="%6."/>
      <w:lvlJc w:val="right"/>
      <w:pPr>
        <w:ind w:left="3513" w:hanging="420"/>
      </w:pPr>
    </w:lvl>
    <w:lvl w:ilvl="6" w:tentative="0">
      <w:start w:val="1"/>
      <w:numFmt w:val="decimal"/>
      <w:lvlText w:val="%7."/>
      <w:lvlJc w:val="left"/>
      <w:pPr>
        <w:ind w:left="3933" w:hanging="420"/>
      </w:pPr>
    </w:lvl>
    <w:lvl w:ilvl="7" w:tentative="0">
      <w:start w:val="1"/>
      <w:numFmt w:val="lowerLetter"/>
      <w:lvlText w:val="%8)"/>
      <w:lvlJc w:val="left"/>
      <w:pPr>
        <w:ind w:left="4353" w:hanging="420"/>
      </w:pPr>
    </w:lvl>
    <w:lvl w:ilvl="8" w:tentative="0">
      <w:start w:val="1"/>
      <w:numFmt w:val="lowerRoman"/>
      <w:lvlText w:val="%9."/>
      <w:lvlJc w:val="right"/>
      <w:pPr>
        <w:ind w:left="4773" w:hanging="420"/>
      </w:pPr>
    </w:lvl>
  </w:abstractNum>
  <w:abstractNum w:abstractNumId="13">
    <w:nsid w:val="6B821C3E"/>
    <w:multiLevelType w:val="multilevel"/>
    <w:tmpl w:val="6B821C3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 w:numId="2">
    <w:abstractNumId w:val="1"/>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8"/>
  </w:num>
  <w:num w:numId="9">
    <w:abstractNumId w:val="6"/>
  </w:num>
  <w:num w:numId="10">
    <w:abstractNumId w:val="9"/>
  </w:num>
  <w:num w:numId="11">
    <w:abstractNumId w:val="11"/>
  </w:num>
  <w:num w:numId="12">
    <w:abstractNumId w:val="2"/>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64687"/>
    <w:rsid w:val="000254EE"/>
    <w:rsid w:val="00061419"/>
    <w:rsid w:val="00084531"/>
    <w:rsid w:val="000A56B9"/>
    <w:rsid w:val="000D0D32"/>
    <w:rsid w:val="000D321B"/>
    <w:rsid w:val="000D77E9"/>
    <w:rsid w:val="000E342D"/>
    <w:rsid w:val="001159DF"/>
    <w:rsid w:val="00130D67"/>
    <w:rsid w:val="001702F0"/>
    <w:rsid w:val="00194982"/>
    <w:rsid w:val="001A3E10"/>
    <w:rsid w:val="00220E4C"/>
    <w:rsid w:val="00224100"/>
    <w:rsid w:val="002347B7"/>
    <w:rsid w:val="00244C83"/>
    <w:rsid w:val="00250786"/>
    <w:rsid w:val="00261C05"/>
    <w:rsid w:val="0032793A"/>
    <w:rsid w:val="003424C1"/>
    <w:rsid w:val="00356009"/>
    <w:rsid w:val="0038088F"/>
    <w:rsid w:val="00396CCD"/>
    <w:rsid w:val="003A797A"/>
    <w:rsid w:val="003C3666"/>
    <w:rsid w:val="003E5FFB"/>
    <w:rsid w:val="003F57D0"/>
    <w:rsid w:val="004230F8"/>
    <w:rsid w:val="00423D29"/>
    <w:rsid w:val="00432979"/>
    <w:rsid w:val="004D33BF"/>
    <w:rsid w:val="004D3C5C"/>
    <w:rsid w:val="005012C4"/>
    <w:rsid w:val="005207F5"/>
    <w:rsid w:val="005448E4"/>
    <w:rsid w:val="00592881"/>
    <w:rsid w:val="005A32DE"/>
    <w:rsid w:val="005C50BA"/>
    <w:rsid w:val="005D7162"/>
    <w:rsid w:val="00634EA4"/>
    <w:rsid w:val="00663176"/>
    <w:rsid w:val="006B073D"/>
    <w:rsid w:val="006B12E9"/>
    <w:rsid w:val="006C50B9"/>
    <w:rsid w:val="006E3EDF"/>
    <w:rsid w:val="006E6D91"/>
    <w:rsid w:val="00724ADB"/>
    <w:rsid w:val="00790D01"/>
    <w:rsid w:val="00795AB6"/>
    <w:rsid w:val="00795C54"/>
    <w:rsid w:val="007A2654"/>
    <w:rsid w:val="007A5AF0"/>
    <w:rsid w:val="007B3688"/>
    <w:rsid w:val="007D5C8F"/>
    <w:rsid w:val="00804C04"/>
    <w:rsid w:val="00804DD1"/>
    <w:rsid w:val="00844377"/>
    <w:rsid w:val="00885A09"/>
    <w:rsid w:val="008D2677"/>
    <w:rsid w:val="00911575"/>
    <w:rsid w:val="0096631C"/>
    <w:rsid w:val="009A03C0"/>
    <w:rsid w:val="009A4553"/>
    <w:rsid w:val="009F5B60"/>
    <w:rsid w:val="00A10A32"/>
    <w:rsid w:val="00A2626F"/>
    <w:rsid w:val="00A32C9C"/>
    <w:rsid w:val="00A54547"/>
    <w:rsid w:val="00A92B81"/>
    <w:rsid w:val="00AA2B6B"/>
    <w:rsid w:val="00AD0AC9"/>
    <w:rsid w:val="00B23CF9"/>
    <w:rsid w:val="00B6318D"/>
    <w:rsid w:val="00B64687"/>
    <w:rsid w:val="00BC40C7"/>
    <w:rsid w:val="00BF00CF"/>
    <w:rsid w:val="00C027A2"/>
    <w:rsid w:val="00C14905"/>
    <w:rsid w:val="00C54750"/>
    <w:rsid w:val="00C7787E"/>
    <w:rsid w:val="00C9731A"/>
    <w:rsid w:val="00CB3AD7"/>
    <w:rsid w:val="00CD708B"/>
    <w:rsid w:val="00D13509"/>
    <w:rsid w:val="00D23542"/>
    <w:rsid w:val="00D65BB2"/>
    <w:rsid w:val="00DB2042"/>
    <w:rsid w:val="00DD38C0"/>
    <w:rsid w:val="00DE6936"/>
    <w:rsid w:val="00E20ACB"/>
    <w:rsid w:val="00E2579D"/>
    <w:rsid w:val="00E7109A"/>
    <w:rsid w:val="00E95D5F"/>
    <w:rsid w:val="00ED51A3"/>
    <w:rsid w:val="00EE0305"/>
    <w:rsid w:val="00EE5C94"/>
    <w:rsid w:val="00F559F7"/>
    <w:rsid w:val="00F81C88"/>
    <w:rsid w:val="00F94D95"/>
    <w:rsid w:val="00FB0EF2"/>
    <w:rsid w:val="00FB67A4"/>
    <w:rsid w:val="00FD137E"/>
    <w:rsid w:val="0E7C6D59"/>
    <w:rsid w:val="0EBF4F13"/>
    <w:rsid w:val="111B399F"/>
    <w:rsid w:val="20411E56"/>
    <w:rsid w:val="31792363"/>
    <w:rsid w:val="326B46F0"/>
    <w:rsid w:val="3A685EA1"/>
    <w:rsid w:val="404D3D4C"/>
    <w:rsid w:val="42AA5DAD"/>
    <w:rsid w:val="471E6E8F"/>
    <w:rsid w:val="5E007F7A"/>
    <w:rsid w:val="70F11083"/>
    <w:rsid w:val="7ABF39F2"/>
    <w:rsid w:val="7DCA7A6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qFormat="1" w:unhideWhenUsed="0" w:uiPriority="0" w:semiHidden="0" w:name="index 2"/>
    <w:lsdException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nhideWhenUsed="0" w:uiPriority="0" w:semiHidden="0" w:name="toa heading"/>
    <w:lsdException w:qFormat="1" w:unhideWhenUsed="0" w:uiPriority="0" w:semiHidden="0" w:name="List"/>
    <w:lsdException w:uiPriority="99" w:name="List Bullet"/>
    <w:lsdException w:uiPriority="99" w:name="List Number"/>
    <w:lsdException w:unhideWhenUsed="0" w:uiPriority="0" w:semiHidden="0" w:name="List 2"/>
    <w:lsdException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0" w:semiHidden="0" w:name="Body Text"/>
    <w:lsdException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7"/>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72"/>
    <w:qFormat/>
    <w:uiPriority w:val="0"/>
    <w:pPr>
      <w:keepNext/>
      <w:keepLines/>
      <w:spacing w:before="260" w:after="260" w:line="413" w:lineRule="auto"/>
      <w:outlineLvl w:val="1"/>
    </w:pPr>
    <w:rPr>
      <w:rFonts w:ascii="Arial" w:hAnsi="Arial" w:eastAsia="黑体" w:cs="Times New Roman"/>
      <w:b/>
      <w:bCs/>
      <w:kern w:val="0"/>
      <w:sz w:val="32"/>
      <w:szCs w:val="32"/>
    </w:rPr>
  </w:style>
  <w:style w:type="paragraph" w:styleId="4">
    <w:name w:val="heading 3"/>
    <w:basedOn w:val="1"/>
    <w:next w:val="1"/>
    <w:link w:val="99"/>
    <w:qFormat/>
    <w:uiPriority w:val="0"/>
    <w:pPr>
      <w:spacing w:line="440" w:lineRule="atLeast"/>
      <w:outlineLvl w:val="2"/>
    </w:pPr>
    <w:rPr>
      <w:rFonts w:ascii="Times New Roman" w:hAnsi="Times New Roman" w:eastAsia="楷体_GB2312" w:cs="Times New Roman"/>
      <w:kern w:val="0"/>
      <w:sz w:val="28"/>
      <w:szCs w:val="20"/>
    </w:rPr>
  </w:style>
  <w:style w:type="paragraph" w:styleId="5">
    <w:name w:val="heading 4"/>
    <w:basedOn w:val="1"/>
    <w:next w:val="1"/>
    <w:link w:val="66"/>
    <w:qFormat/>
    <w:uiPriority w:val="0"/>
    <w:pPr>
      <w:keepNext/>
      <w:keepLines/>
      <w:spacing w:before="280" w:after="290" w:line="372" w:lineRule="auto"/>
      <w:outlineLvl w:val="3"/>
    </w:pPr>
    <w:rPr>
      <w:rFonts w:ascii="Arial" w:hAnsi="Arial" w:eastAsia="黑体" w:cs="Times New Roman"/>
      <w:b/>
      <w:bCs/>
      <w:kern w:val="0"/>
      <w:sz w:val="28"/>
      <w:szCs w:val="28"/>
    </w:rPr>
  </w:style>
  <w:style w:type="paragraph" w:styleId="6">
    <w:name w:val="heading 5"/>
    <w:basedOn w:val="1"/>
    <w:next w:val="1"/>
    <w:link w:val="69"/>
    <w:qFormat/>
    <w:uiPriority w:val="0"/>
    <w:pPr>
      <w:keepNext/>
      <w:keepLines/>
      <w:spacing w:before="280" w:after="290" w:line="372" w:lineRule="auto"/>
      <w:outlineLvl w:val="4"/>
    </w:pPr>
    <w:rPr>
      <w:rFonts w:ascii="Times New Roman" w:hAnsi="Times New Roman" w:eastAsia="宋体" w:cs="Times New Roman"/>
      <w:b/>
      <w:bCs/>
      <w:kern w:val="0"/>
      <w:sz w:val="28"/>
      <w:szCs w:val="28"/>
    </w:rPr>
  </w:style>
  <w:style w:type="character" w:default="1" w:styleId="37">
    <w:name w:val="Default Paragraph Font"/>
    <w:unhideWhenUsed/>
    <w:uiPriority w:val="1"/>
  </w:style>
  <w:style w:type="table" w:default="1" w:styleId="44">
    <w:name w:val="Normal Table"/>
    <w:unhideWhenUsed/>
    <w:uiPriority w:val="99"/>
    <w:tblPr>
      <w:tblLayout w:type="fixed"/>
      <w:tblCellMar>
        <w:top w:w="0" w:type="dxa"/>
        <w:left w:w="108" w:type="dxa"/>
        <w:bottom w:w="0" w:type="dxa"/>
        <w:right w:w="108" w:type="dxa"/>
      </w:tblCellMar>
    </w:tblPr>
  </w:style>
  <w:style w:type="paragraph" w:styleId="7">
    <w:name w:val="List 3"/>
    <w:basedOn w:val="1"/>
    <w:uiPriority w:val="0"/>
    <w:pPr>
      <w:ind w:left="100" w:leftChars="400" w:hanging="200" w:hangingChars="200"/>
    </w:pPr>
    <w:rPr>
      <w:rFonts w:ascii="Times New Roman" w:hAnsi="Times New Roman" w:eastAsia="宋体" w:cs="Times New Roman"/>
      <w:szCs w:val="24"/>
    </w:rPr>
  </w:style>
  <w:style w:type="paragraph" w:styleId="8">
    <w:name w:val="annotation subject"/>
    <w:basedOn w:val="9"/>
    <w:next w:val="9"/>
    <w:link w:val="84"/>
    <w:semiHidden/>
    <w:uiPriority w:val="0"/>
    <w:rPr>
      <w:rFonts w:ascii="Times New Roman" w:hAnsi="Times New Roman"/>
      <w:b/>
      <w:bCs/>
      <w:szCs w:val="24"/>
    </w:rPr>
  </w:style>
  <w:style w:type="paragraph" w:styleId="9">
    <w:name w:val="annotation text"/>
    <w:basedOn w:val="1"/>
    <w:link w:val="96"/>
    <w:unhideWhenUsed/>
    <w:uiPriority w:val="99"/>
    <w:pPr>
      <w:jc w:val="left"/>
    </w:pPr>
  </w:style>
  <w:style w:type="paragraph" w:styleId="10">
    <w:name w:val="Body Text First Indent"/>
    <w:basedOn w:val="11"/>
    <w:link w:val="95"/>
    <w:unhideWhenUsed/>
    <w:uiPriority w:val="0"/>
    <w:pPr>
      <w:ind w:firstLine="420" w:firstLineChars="100"/>
    </w:pPr>
    <w:rPr>
      <w:rFonts w:ascii="Times New Roman" w:hAnsi="Times New Roman"/>
      <w:kern w:val="0"/>
      <w:sz w:val="20"/>
      <w:szCs w:val="24"/>
    </w:rPr>
  </w:style>
  <w:style w:type="paragraph" w:styleId="11">
    <w:name w:val="Body Text"/>
    <w:basedOn w:val="1"/>
    <w:link w:val="73"/>
    <w:unhideWhenUsed/>
    <w:qFormat/>
    <w:uiPriority w:val="0"/>
    <w:pPr>
      <w:spacing w:after="120"/>
    </w:pPr>
    <w:rPr>
      <w:rFonts w:ascii="Calibri" w:hAnsi="Calibri" w:eastAsia="宋体" w:cs="Times New Roman"/>
    </w:rPr>
  </w:style>
  <w:style w:type="paragraph" w:styleId="12">
    <w:name w:val="Normal Indent"/>
    <w:basedOn w:val="1"/>
    <w:link w:val="78"/>
    <w:qFormat/>
    <w:uiPriority w:val="0"/>
    <w:pPr>
      <w:autoSpaceDE w:val="0"/>
      <w:autoSpaceDN w:val="0"/>
      <w:adjustRightInd w:val="0"/>
      <w:ind w:firstLine="420"/>
      <w:jc w:val="left"/>
    </w:pPr>
    <w:rPr>
      <w:rFonts w:ascii="宋体" w:hAnsi="Times New Roman"/>
      <w:sz w:val="3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3"/>
    <w:qFormat/>
    <w:uiPriority w:val="0"/>
    <w:pPr>
      <w:shd w:val="clear" w:color="auto" w:fill="000080"/>
    </w:pPr>
    <w:rPr>
      <w:rFonts w:ascii="Times New Roman" w:hAnsi="Times New Roman" w:eastAsia="宋体" w:cs="Times New Roman"/>
      <w:kern w:val="0"/>
      <w:sz w:val="20"/>
      <w:szCs w:val="24"/>
    </w:rPr>
  </w:style>
  <w:style w:type="paragraph" w:styleId="15">
    <w:name w:val="toa heading"/>
    <w:basedOn w:val="1"/>
    <w:next w:val="1"/>
    <w:uiPriority w:val="0"/>
    <w:pPr>
      <w:spacing w:before="120"/>
    </w:pPr>
    <w:rPr>
      <w:rFonts w:ascii="Arial" w:hAnsi="Arial" w:eastAsia="宋体" w:cs="Arial"/>
      <w:sz w:val="24"/>
      <w:szCs w:val="24"/>
    </w:rPr>
  </w:style>
  <w:style w:type="paragraph" w:styleId="16">
    <w:name w:val="Body Text Indent"/>
    <w:basedOn w:val="1"/>
    <w:link w:val="77"/>
    <w:unhideWhenUsed/>
    <w:uiPriority w:val="0"/>
    <w:pPr>
      <w:spacing w:after="120"/>
      <w:ind w:left="420" w:leftChars="200"/>
    </w:pPr>
    <w:rPr>
      <w:rFonts w:ascii="Calibri" w:hAnsi="Calibri" w:eastAsia="宋体" w:cs="Times New Roman"/>
    </w:rPr>
  </w:style>
  <w:style w:type="paragraph" w:styleId="17">
    <w:name w:val="List 2"/>
    <w:basedOn w:val="1"/>
    <w:uiPriority w:val="0"/>
    <w:pPr>
      <w:ind w:left="100" w:leftChars="200" w:hanging="200" w:hangingChars="200"/>
    </w:pPr>
    <w:rPr>
      <w:rFonts w:ascii="Times New Roman" w:hAnsi="Times New Roman" w:eastAsia="宋体" w:cs="Times New Roman"/>
      <w:szCs w:val="24"/>
    </w:rPr>
  </w:style>
  <w:style w:type="paragraph" w:styleId="18">
    <w:name w:val="Plain Text"/>
    <w:basedOn w:val="1"/>
    <w:link w:val="79"/>
    <w:uiPriority w:val="0"/>
    <w:rPr>
      <w:rFonts w:ascii="宋体" w:hAnsi="Courier New" w:eastAsia="宋体" w:cs="Times New Roman"/>
      <w:kern w:val="0"/>
      <w:sz w:val="20"/>
      <w:szCs w:val="21"/>
    </w:rPr>
  </w:style>
  <w:style w:type="paragraph" w:styleId="19">
    <w:name w:val="index 3"/>
    <w:basedOn w:val="1"/>
    <w:next w:val="1"/>
    <w:uiPriority w:val="0"/>
    <w:pPr>
      <w:ind w:left="400" w:leftChars="400"/>
    </w:pPr>
    <w:rPr>
      <w:rFonts w:ascii="Times New Roman" w:hAnsi="Times New Roman" w:eastAsia="宋体" w:cs="Times New Roman"/>
      <w:szCs w:val="24"/>
    </w:rPr>
  </w:style>
  <w:style w:type="paragraph" w:styleId="20">
    <w:name w:val="Date"/>
    <w:basedOn w:val="1"/>
    <w:next w:val="1"/>
    <w:link w:val="86"/>
    <w:uiPriority w:val="0"/>
    <w:pPr>
      <w:ind w:left="100" w:leftChars="2500"/>
    </w:pPr>
    <w:rPr>
      <w:rFonts w:ascii="Times New Roman" w:hAnsi="Times New Roman" w:eastAsia="宋体" w:cs="Times New Roman"/>
      <w:b/>
      <w:bCs/>
      <w:kern w:val="0"/>
      <w:sz w:val="36"/>
      <w:szCs w:val="24"/>
    </w:rPr>
  </w:style>
  <w:style w:type="paragraph" w:styleId="21">
    <w:name w:val="Body Text Indent 2"/>
    <w:basedOn w:val="1"/>
    <w:link w:val="88"/>
    <w:qFormat/>
    <w:uiPriority w:val="0"/>
    <w:pPr>
      <w:spacing w:after="120" w:line="480" w:lineRule="auto"/>
      <w:ind w:left="420" w:leftChars="200"/>
    </w:pPr>
    <w:rPr>
      <w:rFonts w:ascii="Times New Roman" w:hAnsi="Times New Roman" w:eastAsia="宋体" w:cs="Times New Roman"/>
      <w:kern w:val="0"/>
      <w:sz w:val="20"/>
      <w:szCs w:val="24"/>
    </w:rPr>
  </w:style>
  <w:style w:type="paragraph" w:styleId="22">
    <w:name w:val="Balloon Text"/>
    <w:basedOn w:val="1"/>
    <w:link w:val="58"/>
    <w:qFormat/>
    <w:uiPriority w:val="0"/>
    <w:rPr>
      <w:rFonts w:ascii="Times New Roman" w:hAnsi="Times New Roman" w:eastAsia="宋体" w:cs="Times New Roman"/>
      <w:kern w:val="0"/>
      <w:sz w:val="18"/>
      <w:szCs w:val="18"/>
    </w:rPr>
  </w:style>
  <w:style w:type="paragraph" w:styleId="23">
    <w:name w:val="footer"/>
    <w:basedOn w:val="1"/>
    <w:link w:val="101"/>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24">
    <w:name w:val="Body Text First Indent 2"/>
    <w:basedOn w:val="16"/>
    <w:link w:val="93"/>
    <w:unhideWhenUsed/>
    <w:qFormat/>
    <w:uiPriority w:val="0"/>
    <w:pPr>
      <w:ind w:firstLine="420" w:firstLineChars="200"/>
    </w:pPr>
    <w:rPr>
      <w:rFonts w:ascii="Times New Roman" w:hAnsi="Times New Roman"/>
      <w:kern w:val="0"/>
      <w:sz w:val="20"/>
      <w:szCs w:val="24"/>
    </w:rPr>
  </w:style>
  <w:style w:type="paragraph" w:styleId="25">
    <w:name w:val="header"/>
    <w:basedOn w:val="1"/>
    <w:link w:val="68"/>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26">
    <w:name w:val="List"/>
    <w:basedOn w:val="1"/>
    <w:qFormat/>
    <w:uiPriority w:val="0"/>
    <w:pPr>
      <w:ind w:left="200" w:hanging="200" w:hangingChars="200"/>
    </w:pPr>
    <w:rPr>
      <w:rFonts w:ascii="Times New Roman" w:hAnsi="Times New Roman" w:eastAsia="宋体" w:cs="Times New Roman"/>
      <w:szCs w:val="24"/>
    </w:rPr>
  </w:style>
  <w:style w:type="paragraph" w:styleId="27">
    <w:name w:val="footnote text"/>
    <w:basedOn w:val="1"/>
    <w:link w:val="87"/>
    <w:qFormat/>
    <w:uiPriority w:val="0"/>
    <w:pPr>
      <w:snapToGrid w:val="0"/>
      <w:jc w:val="left"/>
    </w:pPr>
    <w:rPr>
      <w:rFonts w:ascii="Times New Roman" w:hAnsi="Times New Roman" w:eastAsia="宋体" w:cs="Times New Roman"/>
      <w:kern w:val="0"/>
      <w:sz w:val="18"/>
      <w:szCs w:val="18"/>
    </w:rPr>
  </w:style>
  <w:style w:type="paragraph" w:styleId="28">
    <w:name w:val="Body Text Indent 3"/>
    <w:basedOn w:val="1"/>
    <w:link w:val="64"/>
    <w:qFormat/>
    <w:uiPriority w:val="0"/>
    <w:pPr>
      <w:spacing w:line="540" w:lineRule="atLeast"/>
      <w:ind w:firstLine="480" w:firstLineChars="200"/>
    </w:pPr>
    <w:rPr>
      <w:rFonts w:ascii="Times New Roman" w:hAnsi="Times New Roman" w:eastAsia="宋体" w:cs="Times New Roman"/>
      <w:kern w:val="0"/>
      <w:sz w:val="24"/>
      <w:szCs w:val="24"/>
    </w:rPr>
  </w:style>
  <w:style w:type="paragraph" w:styleId="29">
    <w:name w:val="table of figures"/>
    <w:basedOn w:val="1"/>
    <w:next w:val="1"/>
    <w:qFormat/>
    <w:uiPriority w:val="0"/>
    <w:pPr>
      <w:ind w:left="200" w:leftChars="200" w:hanging="200" w:hangingChars="200"/>
    </w:pPr>
    <w:rPr>
      <w:rFonts w:ascii="Times New Roman" w:hAnsi="Times New Roman" w:eastAsia="宋体" w:cs="Times New Roman"/>
      <w:szCs w:val="24"/>
    </w:rPr>
  </w:style>
  <w:style w:type="paragraph" w:styleId="30">
    <w:name w:val="Body Text 2"/>
    <w:basedOn w:val="1"/>
    <w:link w:val="71"/>
    <w:qFormat/>
    <w:uiPriority w:val="0"/>
    <w:pPr>
      <w:spacing w:after="120" w:line="480" w:lineRule="auto"/>
    </w:pPr>
    <w:rPr>
      <w:rFonts w:ascii="Times New Roman" w:hAnsi="Times New Roman" w:eastAsia="宋体" w:cs="Times New Roman"/>
      <w:kern w:val="0"/>
      <w:sz w:val="20"/>
      <w:szCs w:val="24"/>
    </w:rPr>
  </w:style>
  <w:style w:type="paragraph" w:styleId="31">
    <w:name w:val="List 4"/>
    <w:basedOn w:val="1"/>
    <w:qFormat/>
    <w:uiPriority w:val="0"/>
    <w:pPr>
      <w:ind w:left="100" w:leftChars="600" w:hanging="200" w:hangingChars="200"/>
    </w:pPr>
    <w:rPr>
      <w:rFonts w:ascii="Times New Roman" w:hAnsi="Times New Roman" w:eastAsia="宋体" w:cs="Times New Roman"/>
      <w:szCs w:val="24"/>
    </w:rPr>
  </w:style>
  <w:style w:type="paragraph" w:styleId="32">
    <w:name w:val="List Continue 2"/>
    <w:basedOn w:val="1"/>
    <w:qFormat/>
    <w:uiPriority w:val="0"/>
    <w:pPr>
      <w:spacing w:after="120"/>
      <w:ind w:left="840" w:leftChars="400"/>
    </w:pPr>
    <w:rPr>
      <w:rFonts w:ascii="Times New Roman" w:hAnsi="Times New Roman" w:eastAsia="宋体" w:cs="Times New Roman"/>
      <w:szCs w:val="24"/>
    </w:rPr>
  </w:style>
  <w:style w:type="paragraph" w:styleId="33">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34">
    <w:name w:val="index 1"/>
    <w:basedOn w:val="1"/>
    <w:next w:val="1"/>
    <w:qFormat/>
    <w:uiPriority w:val="0"/>
    <w:pPr>
      <w:spacing w:line="320" w:lineRule="exact"/>
    </w:pPr>
    <w:rPr>
      <w:rFonts w:ascii="Times New Roman" w:hAnsi="Times New Roman" w:eastAsia="宋体" w:cs="Times New Roman"/>
      <w:snapToGrid w:val="0"/>
      <w:color w:val="FF6600"/>
      <w:kern w:val="0"/>
      <w:sz w:val="18"/>
      <w:szCs w:val="21"/>
    </w:rPr>
  </w:style>
  <w:style w:type="paragraph" w:styleId="35">
    <w:name w:val="index 2"/>
    <w:basedOn w:val="1"/>
    <w:next w:val="1"/>
    <w:qFormat/>
    <w:uiPriority w:val="0"/>
    <w:pPr>
      <w:ind w:left="200" w:leftChars="200"/>
    </w:pPr>
    <w:rPr>
      <w:rFonts w:ascii="Times New Roman" w:hAnsi="Times New Roman" w:eastAsia="宋体" w:cs="Times New Roman"/>
      <w:szCs w:val="24"/>
    </w:rPr>
  </w:style>
  <w:style w:type="paragraph" w:styleId="36">
    <w:name w:val="Title"/>
    <w:basedOn w:val="1"/>
    <w:next w:val="1"/>
    <w:link w:val="98"/>
    <w:qFormat/>
    <w:uiPriority w:val="10"/>
    <w:pPr>
      <w:spacing w:before="240" w:after="60"/>
      <w:jc w:val="center"/>
      <w:outlineLvl w:val="0"/>
    </w:pPr>
    <w:rPr>
      <w:rFonts w:ascii="Arial" w:hAnsi="Arial" w:eastAsia="宋体" w:cs="Times New Roman"/>
      <w:b/>
      <w:bCs/>
      <w:kern w:val="0"/>
      <w:sz w:val="32"/>
      <w:szCs w:val="32"/>
    </w:rPr>
  </w:style>
  <w:style w:type="character" w:styleId="38">
    <w:name w:val="page number"/>
    <w:qFormat/>
    <w:uiPriority w:val="0"/>
  </w:style>
  <w:style w:type="character" w:styleId="39">
    <w:name w:val="FollowedHyperlink"/>
    <w:basedOn w:val="37"/>
    <w:unhideWhenUsed/>
    <w:qFormat/>
    <w:uiPriority w:val="99"/>
    <w:rPr>
      <w:color w:val="954F72" w:themeColor="followedHyperlink"/>
      <w:u w:val="single"/>
    </w:rPr>
  </w:style>
  <w:style w:type="character" w:styleId="40">
    <w:name w:val="Emphasis"/>
    <w:qFormat/>
    <w:uiPriority w:val="20"/>
    <w:rPr>
      <w:i/>
      <w:iCs/>
    </w:rPr>
  </w:style>
  <w:style w:type="character" w:styleId="41">
    <w:name w:val="Hyperlink"/>
    <w:qFormat/>
    <w:uiPriority w:val="99"/>
    <w:rPr>
      <w:color w:val="0000FF"/>
      <w:u w:val="single"/>
    </w:rPr>
  </w:style>
  <w:style w:type="character" w:styleId="42">
    <w:name w:val="annotation reference"/>
    <w:qFormat/>
    <w:uiPriority w:val="0"/>
    <w:rPr>
      <w:sz w:val="21"/>
      <w:szCs w:val="21"/>
    </w:rPr>
  </w:style>
  <w:style w:type="character" w:styleId="43">
    <w:name w:val="footnote reference"/>
    <w:uiPriority w:val="0"/>
    <w:rPr>
      <w:vertAlign w:val="superscript"/>
    </w:rPr>
  </w:style>
  <w:style w:type="table" w:styleId="45">
    <w:name w:val="Table Grid"/>
    <w:basedOn w:val="44"/>
    <w:qFormat/>
    <w:uiPriority w:val="3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46">
    <w:name w:val="标题 1 字符"/>
    <w:basedOn w:val="37"/>
    <w:qFormat/>
    <w:uiPriority w:val="9"/>
    <w:rPr>
      <w:b/>
      <w:bCs/>
      <w:kern w:val="44"/>
      <w:sz w:val="44"/>
      <w:szCs w:val="44"/>
    </w:rPr>
  </w:style>
  <w:style w:type="character" w:customStyle="1" w:styleId="47">
    <w:name w:val="标题 2 字符"/>
    <w:basedOn w:val="37"/>
    <w:semiHidden/>
    <w:qFormat/>
    <w:uiPriority w:val="9"/>
    <w:rPr>
      <w:rFonts w:asciiTheme="majorHAnsi" w:hAnsiTheme="majorHAnsi" w:eastAsiaTheme="majorEastAsia" w:cstheme="majorBidi"/>
      <w:b/>
      <w:bCs/>
      <w:sz w:val="32"/>
      <w:szCs w:val="32"/>
    </w:rPr>
  </w:style>
  <w:style w:type="character" w:customStyle="1" w:styleId="48">
    <w:name w:val="标题 3 字符"/>
    <w:basedOn w:val="37"/>
    <w:semiHidden/>
    <w:qFormat/>
    <w:uiPriority w:val="9"/>
    <w:rPr>
      <w:b/>
      <w:bCs/>
      <w:sz w:val="32"/>
      <w:szCs w:val="32"/>
    </w:rPr>
  </w:style>
  <w:style w:type="character" w:customStyle="1" w:styleId="49">
    <w:name w:val="标题 4 字符"/>
    <w:basedOn w:val="37"/>
    <w:semiHidden/>
    <w:qFormat/>
    <w:uiPriority w:val="9"/>
    <w:rPr>
      <w:rFonts w:asciiTheme="majorHAnsi" w:hAnsiTheme="majorHAnsi" w:eastAsiaTheme="majorEastAsia" w:cstheme="majorBidi"/>
      <w:b/>
      <w:bCs/>
      <w:sz w:val="28"/>
      <w:szCs w:val="28"/>
    </w:rPr>
  </w:style>
  <w:style w:type="character" w:customStyle="1" w:styleId="50">
    <w:name w:val="标题 5 字符"/>
    <w:basedOn w:val="37"/>
    <w:semiHidden/>
    <w:qFormat/>
    <w:uiPriority w:val="9"/>
    <w:rPr>
      <w:b/>
      <w:bCs/>
      <w:sz w:val="28"/>
      <w:szCs w:val="28"/>
    </w:rPr>
  </w:style>
  <w:style w:type="paragraph" w:customStyle="1" w:styleId="51">
    <w:name w:val="_Style 13"/>
    <w:basedOn w:val="2"/>
    <w:next w:val="1"/>
    <w:qFormat/>
    <w:uiPriority w:val="39"/>
    <w:pPr>
      <w:tabs>
        <w:tab w:val="right" w:leader="dot" w:pos="8659"/>
      </w:tabs>
      <w:spacing w:before="0" w:after="0" w:line="240" w:lineRule="auto"/>
      <w:jc w:val="center"/>
    </w:pPr>
    <w:rPr>
      <w:b w:val="0"/>
      <w:sz w:val="21"/>
    </w:rPr>
  </w:style>
  <w:style w:type="character" w:customStyle="1" w:styleId="52">
    <w:name w:val="标题 字符"/>
    <w:qFormat/>
    <w:uiPriority w:val="10"/>
    <w:rPr>
      <w:rFonts w:ascii="Calibri Light" w:hAnsi="Calibri Light" w:eastAsia="宋体" w:cs="Times New Roman"/>
      <w:b/>
      <w:bCs/>
      <w:sz w:val="32"/>
      <w:szCs w:val="32"/>
    </w:rPr>
  </w:style>
  <w:style w:type="character" w:customStyle="1" w:styleId="53">
    <w:name w:val="批注框文本 字符"/>
    <w:semiHidden/>
    <w:qFormat/>
    <w:uiPriority w:val="99"/>
    <w:rPr>
      <w:sz w:val="18"/>
      <w:szCs w:val="18"/>
    </w:rPr>
  </w:style>
  <w:style w:type="character" w:customStyle="1" w:styleId="54">
    <w:name w:val="正文文本缩进 3 字符"/>
    <w:semiHidden/>
    <w:qFormat/>
    <w:uiPriority w:val="99"/>
    <w:rPr>
      <w:sz w:val="16"/>
      <w:szCs w:val="16"/>
    </w:rPr>
  </w:style>
  <w:style w:type="character" w:customStyle="1" w:styleId="55">
    <w:name w:val="z-窗体顶端 字符"/>
    <w:semiHidden/>
    <w:uiPriority w:val="99"/>
    <w:rPr>
      <w:rFonts w:ascii="Arial" w:hAnsi="Arial" w:cs="Arial"/>
      <w:vanish/>
      <w:sz w:val="16"/>
      <w:szCs w:val="16"/>
    </w:rPr>
  </w:style>
  <w:style w:type="character" w:customStyle="1" w:styleId="56">
    <w:name w:val="Char Char14"/>
    <w:qFormat/>
    <w:uiPriority w:val="0"/>
    <w:rPr>
      <w:rFonts w:ascii="宋体" w:hAnsi="Courier New" w:eastAsia="宋体" w:cs="Courier New"/>
      <w:kern w:val="2"/>
      <w:sz w:val="21"/>
      <w:szCs w:val="21"/>
      <w:lang w:val="en-US" w:eastAsia="zh-CN" w:bidi="ar-SA"/>
    </w:rPr>
  </w:style>
  <w:style w:type="character" w:customStyle="1" w:styleId="57">
    <w:name w:val="页眉 字符"/>
    <w:semiHidden/>
    <w:qFormat/>
    <w:uiPriority w:val="99"/>
    <w:rPr>
      <w:sz w:val="18"/>
      <w:szCs w:val="18"/>
    </w:rPr>
  </w:style>
  <w:style w:type="character" w:customStyle="1" w:styleId="58">
    <w:name w:val="批注框文本 Char"/>
    <w:link w:val="22"/>
    <w:qFormat/>
    <w:uiPriority w:val="0"/>
    <w:rPr>
      <w:rFonts w:ascii="Times New Roman" w:hAnsi="Times New Roman" w:eastAsia="宋体" w:cs="Times New Roman"/>
      <w:kern w:val="0"/>
      <w:sz w:val="18"/>
      <w:szCs w:val="18"/>
    </w:rPr>
  </w:style>
  <w:style w:type="character" w:customStyle="1" w:styleId="59">
    <w:name w:val="页脚 字符"/>
    <w:semiHidden/>
    <w:qFormat/>
    <w:uiPriority w:val="99"/>
    <w:rPr>
      <w:sz w:val="18"/>
      <w:szCs w:val="18"/>
    </w:rPr>
  </w:style>
  <w:style w:type="character" w:customStyle="1" w:styleId="60">
    <w:name w:val="正文首行缩进 字符"/>
    <w:basedOn w:val="61"/>
    <w:semiHidden/>
    <w:qFormat/>
    <w:uiPriority w:val="99"/>
  </w:style>
  <w:style w:type="character" w:customStyle="1" w:styleId="61">
    <w:name w:val="正文文本 字符"/>
    <w:basedOn w:val="37"/>
    <w:semiHidden/>
    <w:qFormat/>
    <w:uiPriority w:val="99"/>
  </w:style>
  <w:style w:type="character" w:customStyle="1" w:styleId="62">
    <w:name w:val="z-窗体底端 字符"/>
    <w:semiHidden/>
    <w:uiPriority w:val="99"/>
    <w:rPr>
      <w:rFonts w:ascii="Arial" w:hAnsi="Arial" w:cs="Arial"/>
      <w:vanish/>
      <w:sz w:val="16"/>
      <w:szCs w:val="16"/>
    </w:rPr>
  </w:style>
  <w:style w:type="character" w:customStyle="1" w:styleId="63">
    <w:name w:val="文档结构图 Char"/>
    <w:link w:val="14"/>
    <w:uiPriority w:val="0"/>
    <w:rPr>
      <w:rFonts w:ascii="Times New Roman" w:hAnsi="Times New Roman" w:eastAsia="宋体" w:cs="Times New Roman"/>
      <w:kern w:val="0"/>
      <w:sz w:val="20"/>
      <w:szCs w:val="24"/>
      <w:shd w:val="clear" w:color="auto" w:fill="000080"/>
    </w:rPr>
  </w:style>
  <w:style w:type="character" w:customStyle="1" w:styleId="64">
    <w:name w:val="正文文本缩进 3 Char"/>
    <w:link w:val="28"/>
    <w:qFormat/>
    <w:uiPriority w:val="0"/>
    <w:rPr>
      <w:rFonts w:ascii="Times New Roman" w:hAnsi="Times New Roman" w:eastAsia="宋体" w:cs="Times New Roman"/>
      <w:kern w:val="0"/>
      <w:sz w:val="24"/>
      <w:szCs w:val="24"/>
    </w:rPr>
  </w:style>
  <w:style w:type="character" w:customStyle="1" w:styleId="65">
    <w:name w:val="文档结构图 字符"/>
    <w:semiHidden/>
    <w:qFormat/>
    <w:uiPriority w:val="99"/>
    <w:rPr>
      <w:rFonts w:ascii="Microsoft YaHei UI" w:eastAsia="Microsoft YaHei UI"/>
      <w:sz w:val="18"/>
      <w:szCs w:val="18"/>
    </w:rPr>
  </w:style>
  <w:style w:type="character" w:customStyle="1" w:styleId="66">
    <w:name w:val="标题 4 Char"/>
    <w:link w:val="5"/>
    <w:qFormat/>
    <w:uiPriority w:val="0"/>
    <w:rPr>
      <w:rFonts w:ascii="Arial" w:hAnsi="Arial" w:eastAsia="黑体" w:cs="Times New Roman"/>
      <w:b/>
      <w:bCs/>
      <w:kern w:val="0"/>
      <w:sz w:val="28"/>
      <w:szCs w:val="28"/>
    </w:rPr>
  </w:style>
  <w:style w:type="character" w:customStyle="1" w:styleId="67">
    <w:name w:val="批注主题 Char1"/>
    <w:semiHidden/>
    <w:qFormat/>
    <w:uiPriority w:val="99"/>
    <w:rPr>
      <w:b/>
      <w:bCs/>
      <w:kern w:val="2"/>
      <w:sz w:val="21"/>
      <w:szCs w:val="22"/>
    </w:rPr>
  </w:style>
  <w:style w:type="character" w:customStyle="1" w:styleId="68">
    <w:name w:val="页眉 Char"/>
    <w:link w:val="25"/>
    <w:qFormat/>
    <w:uiPriority w:val="99"/>
    <w:rPr>
      <w:rFonts w:ascii="Times New Roman" w:hAnsi="Times New Roman" w:eastAsia="宋体" w:cs="Times New Roman"/>
      <w:kern w:val="0"/>
      <w:sz w:val="18"/>
      <w:szCs w:val="18"/>
    </w:rPr>
  </w:style>
  <w:style w:type="character" w:customStyle="1" w:styleId="69">
    <w:name w:val="标题 5 Char"/>
    <w:link w:val="6"/>
    <w:uiPriority w:val="0"/>
    <w:rPr>
      <w:rFonts w:ascii="Times New Roman" w:hAnsi="Times New Roman" w:eastAsia="宋体" w:cs="Times New Roman"/>
      <w:b/>
      <w:bCs/>
      <w:kern w:val="0"/>
      <w:sz w:val="28"/>
      <w:szCs w:val="28"/>
    </w:rPr>
  </w:style>
  <w:style w:type="character" w:customStyle="1" w:styleId="70">
    <w:name w:val="正文文本缩进 字符"/>
    <w:basedOn w:val="37"/>
    <w:semiHidden/>
    <w:qFormat/>
    <w:uiPriority w:val="99"/>
  </w:style>
  <w:style w:type="character" w:customStyle="1" w:styleId="71">
    <w:name w:val="正文文本 2 Char"/>
    <w:link w:val="30"/>
    <w:qFormat/>
    <w:uiPriority w:val="0"/>
    <w:rPr>
      <w:rFonts w:ascii="Times New Roman" w:hAnsi="Times New Roman" w:eastAsia="宋体" w:cs="Times New Roman"/>
      <w:kern w:val="0"/>
      <w:sz w:val="20"/>
      <w:szCs w:val="24"/>
    </w:rPr>
  </w:style>
  <w:style w:type="character" w:customStyle="1" w:styleId="72">
    <w:name w:val="标题 2 Char"/>
    <w:link w:val="3"/>
    <w:qFormat/>
    <w:uiPriority w:val="0"/>
    <w:rPr>
      <w:rFonts w:ascii="Arial" w:hAnsi="Arial" w:eastAsia="黑体" w:cs="Times New Roman"/>
      <w:b/>
      <w:bCs/>
      <w:kern w:val="0"/>
      <w:sz w:val="32"/>
      <w:szCs w:val="32"/>
    </w:rPr>
  </w:style>
  <w:style w:type="character" w:customStyle="1" w:styleId="73">
    <w:name w:val="正文文本 Char"/>
    <w:link w:val="11"/>
    <w:qFormat/>
    <w:uiPriority w:val="0"/>
    <w:rPr>
      <w:rFonts w:ascii="Calibri" w:hAnsi="Calibri" w:eastAsia="宋体" w:cs="Times New Roman"/>
    </w:rPr>
  </w:style>
  <w:style w:type="character" w:customStyle="1" w:styleId="74">
    <w:name w:val="z-窗体顶端 Char"/>
    <w:link w:val="75"/>
    <w:qFormat/>
    <w:uiPriority w:val="0"/>
    <w:rPr>
      <w:rFonts w:ascii="Arial" w:hAnsi="Arial" w:eastAsia="宋体" w:cs="Times New Roman"/>
      <w:vanish/>
      <w:kern w:val="0"/>
      <w:sz w:val="16"/>
      <w:szCs w:val="16"/>
    </w:rPr>
  </w:style>
  <w:style w:type="paragraph" w:customStyle="1" w:styleId="75">
    <w:name w:val="z-窗体顶端1"/>
    <w:basedOn w:val="1"/>
    <w:next w:val="1"/>
    <w:link w:val="74"/>
    <w:qFormat/>
    <w:uiPriority w:val="0"/>
    <w:pPr>
      <w:pBdr>
        <w:bottom w:val="single" w:color="auto" w:sz="6" w:space="1"/>
      </w:pBdr>
      <w:jc w:val="center"/>
    </w:pPr>
    <w:rPr>
      <w:rFonts w:ascii="Arial" w:hAnsi="Arial" w:eastAsia="宋体" w:cs="Times New Roman"/>
      <w:vanish/>
      <w:kern w:val="0"/>
      <w:sz w:val="16"/>
      <w:szCs w:val="16"/>
    </w:rPr>
  </w:style>
  <w:style w:type="character" w:customStyle="1" w:styleId="76">
    <w:name w:val="日期 字符"/>
    <w:basedOn w:val="37"/>
    <w:semiHidden/>
    <w:uiPriority w:val="99"/>
  </w:style>
  <w:style w:type="character" w:customStyle="1" w:styleId="77">
    <w:name w:val="正文文本缩进 Char"/>
    <w:link w:val="16"/>
    <w:qFormat/>
    <w:uiPriority w:val="0"/>
    <w:rPr>
      <w:rFonts w:ascii="Calibri" w:hAnsi="Calibri" w:eastAsia="宋体" w:cs="Times New Roman"/>
    </w:rPr>
  </w:style>
  <w:style w:type="character" w:customStyle="1" w:styleId="78">
    <w:name w:val="正文缩进 Char"/>
    <w:link w:val="12"/>
    <w:qFormat/>
    <w:uiPriority w:val="0"/>
    <w:rPr>
      <w:rFonts w:ascii="宋体" w:hAnsi="Times New Roman"/>
      <w:sz w:val="34"/>
    </w:rPr>
  </w:style>
  <w:style w:type="character" w:customStyle="1" w:styleId="79">
    <w:name w:val="纯文本 Char"/>
    <w:link w:val="18"/>
    <w:uiPriority w:val="0"/>
    <w:rPr>
      <w:rFonts w:ascii="宋体" w:hAnsi="Courier New" w:eastAsia="宋体" w:cs="Times New Roman"/>
      <w:kern w:val="0"/>
      <w:sz w:val="20"/>
      <w:szCs w:val="21"/>
    </w:rPr>
  </w:style>
  <w:style w:type="character" w:customStyle="1" w:styleId="80">
    <w:name w:val="正文文本缩进 2 字符"/>
    <w:basedOn w:val="37"/>
    <w:semiHidden/>
    <w:qFormat/>
    <w:uiPriority w:val="99"/>
  </w:style>
  <w:style w:type="character" w:customStyle="1" w:styleId="81">
    <w:name w:val="样式 样式1 + 首行缩进:  2 字符 Char"/>
    <w:link w:val="82"/>
    <w:qFormat/>
    <w:uiPriority w:val="0"/>
    <w:rPr>
      <w:rFonts w:ascii="Arial" w:hAnsi="Arial"/>
      <w:sz w:val="24"/>
    </w:rPr>
  </w:style>
  <w:style w:type="paragraph" w:customStyle="1" w:styleId="82">
    <w:name w:val="样式 样式1 + 首行缩进:  2 字符"/>
    <w:basedOn w:val="83"/>
    <w:link w:val="81"/>
    <w:qFormat/>
    <w:uiPriority w:val="0"/>
    <w:pPr>
      <w:spacing w:line="360" w:lineRule="exact"/>
      <w:ind w:firstLine="420" w:firstLineChars="200"/>
      <w:jc w:val="both"/>
    </w:pPr>
    <w:rPr>
      <w:rFonts w:ascii="Arial" w:hAnsi="Arial" w:eastAsiaTheme="minorEastAsia" w:cstheme="minorBidi"/>
      <w:sz w:val="24"/>
      <w:szCs w:val="22"/>
    </w:rPr>
  </w:style>
  <w:style w:type="paragraph" w:customStyle="1" w:styleId="83">
    <w:name w:val="样式1"/>
    <w:basedOn w:val="1"/>
    <w:qFormat/>
    <w:uiPriority w:val="0"/>
    <w:pPr>
      <w:spacing w:line="360" w:lineRule="auto"/>
      <w:jc w:val="center"/>
    </w:pPr>
    <w:rPr>
      <w:rFonts w:ascii="宋体" w:hAnsi="宋体" w:eastAsia="宋体" w:cs="Times New Roman"/>
      <w:sz w:val="32"/>
      <w:szCs w:val="30"/>
    </w:rPr>
  </w:style>
  <w:style w:type="character" w:customStyle="1" w:styleId="84">
    <w:name w:val="批注主题 Char"/>
    <w:link w:val="8"/>
    <w:semiHidden/>
    <w:qFormat/>
    <w:uiPriority w:val="0"/>
    <w:rPr>
      <w:rFonts w:ascii="Times New Roman" w:hAnsi="Times New Roman"/>
      <w:b/>
      <w:bCs/>
      <w:szCs w:val="24"/>
    </w:rPr>
  </w:style>
  <w:style w:type="character" w:customStyle="1" w:styleId="85">
    <w:name w:val="正文首行缩进 2 字符"/>
    <w:basedOn w:val="70"/>
    <w:semiHidden/>
    <w:qFormat/>
    <w:uiPriority w:val="99"/>
  </w:style>
  <w:style w:type="character" w:customStyle="1" w:styleId="86">
    <w:name w:val="日期 Char"/>
    <w:link w:val="20"/>
    <w:qFormat/>
    <w:uiPriority w:val="0"/>
    <w:rPr>
      <w:rFonts w:ascii="Times New Roman" w:hAnsi="Times New Roman" w:eastAsia="宋体" w:cs="Times New Roman"/>
      <w:b/>
      <w:bCs/>
      <w:kern w:val="0"/>
      <w:sz w:val="36"/>
      <w:szCs w:val="24"/>
    </w:rPr>
  </w:style>
  <w:style w:type="character" w:customStyle="1" w:styleId="87">
    <w:name w:val="脚注文本 Char"/>
    <w:link w:val="27"/>
    <w:qFormat/>
    <w:uiPriority w:val="0"/>
    <w:rPr>
      <w:rFonts w:ascii="Times New Roman" w:hAnsi="Times New Roman" w:eastAsia="宋体" w:cs="Times New Roman"/>
      <w:kern w:val="0"/>
      <w:sz w:val="18"/>
      <w:szCs w:val="18"/>
    </w:rPr>
  </w:style>
  <w:style w:type="character" w:customStyle="1" w:styleId="88">
    <w:name w:val="正文文本缩进 2 Char"/>
    <w:link w:val="21"/>
    <w:qFormat/>
    <w:uiPriority w:val="0"/>
    <w:rPr>
      <w:rFonts w:ascii="Times New Roman" w:hAnsi="Times New Roman" w:eastAsia="宋体" w:cs="Times New Roman"/>
      <w:kern w:val="0"/>
      <w:sz w:val="20"/>
      <w:szCs w:val="24"/>
    </w:rPr>
  </w:style>
  <w:style w:type="character" w:customStyle="1" w:styleId="89">
    <w:name w:val="正文文本 2 字符"/>
    <w:basedOn w:val="37"/>
    <w:semiHidden/>
    <w:qFormat/>
    <w:uiPriority w:val="99"/>
  </w:style>
  <w:style w:type="character" w:customStyle="1" w:styleId="90">
    <w:name w:val="z-窗体底端 Char"/>
    <w:link w:val="91"/>
    <w:qFormat/>
    <w:uiPriority w:val="0"/>
    <w:rPr>
      <w:rFonts w:ascii="Arial" w:hAnsi="Arial" w:eastAsia="宋体" w:cs="Times New Roman"/>
      <w:vanish/>
      <w:kern w:val="0"/>
      <w:sz w:val="16"/>
      <w:szCs w:val="16"/>
    </w:rPr>
  </w:style>
  <w:style w:type="paragraph" w:customStyle="1" w:styleId="91">
    <w:name w:val="z-窗体底端1"/>
    <w:basedOn w:val="1"/>
    <w:next w:val="1"/>
    <w:link w:val="90"/>
    <w:qFormat/>
    <w:uiPriority w:val="0"/>
    <w:pPr>
      <w:pBdr>
        <w:top w:val="single" w:color="auto" w:sz="6" w:space="1"/>
      </w:pBdr>
      <w:jc w:val="center"/>
    </w:pPr>
    <w:rPr>
      <w:rFonts w:ascii="Arial" w:hAnsi="Arial" w:eastAsia="宋体" w:cs="Times New Roman"/>
      <w:vanish/>
      <w:kern w:val="0"/>
      <w:sz w:val="16"/>
      <w:szCs w:val="16"/>
    </w:rPr>
  </w:style>
  <w:style w:type="character" w:customStyle="1" w:styleId="92">
    <w:name w:val="纯文本 字符"/>
    <w:semiHidden/>
    <w:qFormat/>
    <w:uiPriority w:val="99"/>
    <w:rPr>
      <w:rFonts w:ascii="宋体" w:hAnsi="Courier New" w:cs="Courier New"/>
    </w:rPr>
  </w:style>
  <w:style w:type="character" w:customStyle="1" w:styleId="93">
    <w:name w:val="正文首行缩进 2 Char"/>
    <w:link w:val="24"/>
    <w:uiPriority w:val="0"/>
    <w:rPr>
      <w:rFonts w:ascii="Times New Roman" w:hAnsi="Times New Roman" w:eastAsia="宋体" w:cs="Times New Roman"/>
      <w:kern w:val="0"/>
      <w:sz w:val="20"/>
      <w:szCs w:val="24"/>
    </w:rPr>
  </w:style>
  <w:style w:type="character" w:customStyle="1" w:styleId="94">
    <w:name w:val="脚注文本 字符"/>
    <w:semiHidden/>
    <w:qFormat/>
    <w:uiPriority w:val="99"/>
    <w:rPr>
      <w:sz w:val="18"/>
      <w:szCs w:val="18"/>
    </w:rPr>
  </w:style>
  <w:style w:type="character" w:customStyle="1" w:styleId="95">
    <w:name w:val="正文首行缩进 Char"/>
    <w:link w:val="10"/>
    <w:qFormat/>
    <w:uiPriority w:val="0"/>
    <w:rPr>
      <w:rFonts w:ascii="Times New Roman" w:hAnsi="Times New Roman" w:eastAsia="宋体" w:cs="Times New Roman"/>
      <w:kern w:val="0"/>
      <w:sz w:val="20"/>
      <w:szCs w:val="24"/>
    </w:rPr>
  </w:style>
  <w:style w:type="character" w:customStyle="1" w:styleId="96">
    <w:name w:val="批注文字 Char"/>
    <w:link w:val="9"/>
    <w:qFormat/>
    <w:uiPriority w:val="99"/>
  </w:style>
  <w:style w:type="character" w:customStyle="1" w:styleId="97">
    <w:name w:val="标题 1 Char"/>
    <w:link w:val="2"/>
    <w:qFormat/>
    <w:uiPriority w:val="0"/>
    <w:rPr>
      <w:rFonts w:ascii="Times New Roman" w:hAnsi="Times New Roman" w:eastAsia="宋体" w:cs="Times New Roman"/>
      <w:b/>
      <w:bCs/>
      <w:kern w:val="44"/>
      <w:sz w:val="44"/>
      <w:szCs w:val="44"/>
    </w:rPr>
  </w:style>
  <w:style w:type="character" w:customStyle="1" w:styleId="98">
    <w:name w:val="标题 Char"/>
    <w:link w:val="36"/>
    <w:qFormat/>
    <w:uiPriority w:val="0"/>
    <w:rPr>
      <w:rFonts w:ascii="Arial" w:hAnsi="Arial" w:eastAsia="宋体" w:cs="Times New Roman"/>
      <w:b/>
      <w:bCs/>
      <w:kern w:val="0"/>
      <w:sz w:val="32"/>
      <w:szCs w:val="32"/>
    </w:rPr>
  </w:style>
  <w:style w:type="character" w:customStyle="1" w:styleId="99">
    <w:name w:val="标题 3 Char"/>
    <w:link w:val="4"/>
    <w:qFormat/>
    <w:uiPriority w:val="0"/>
    <w:rPr>
      <w:rFonts w:ascii="Times New Roman" w:hAnsi="Times New Roman" w:eastAsia="楷体_GB2312" w:cs="Times New Roman"/>
      <w:kern w:val="0"/>
      <w:sz w:val="28"/>
      <w:szCs w:val="20"/>
    </w:rPr>
  </w:style>
  <w:style w:type="character" w:customStyle="1" w:styleId="100">
    <w:name w:val="zbggmain style9"/>
    <w:uiPriority w:val="0"/>
  </w:style>
  <w:style w:type="character" w:customStyle="1" w:styleId="101">
    <w:name w:val="页脚 Char"/>
    <w:link w:val="23"/>
    <w:qFormat/>
    <w:uiPriority w:val="99"/>
    <w:rPr>
      <w:rFonts w:ascii="Times New Roman" w:hAnsi="Times New Roman" w:eastAsia="宋体" w:cs="Times New Roman"/>
      <w:kern w:val="0"/>
      <w:sz w:val="18"/>
      <w:szCs w:val="18"/>
    </w:rPr>
  </w:style>
  <w:style w:type="character" w:customStyle="1" w:styleId="102">
    <w:name w:val="正文文本 2 字符1"/>
    <w:basedOn w:val="37"/>
    <w:semiHidden/>
    <w:qFormat/>
    <w:uiPriority w:val="99"/>
  </w:style>
  <w:style w:type="character" w:customStyle="1" w:styleId="103">
    <w:name w:val="批注文字 字符"/>
    <w:basedOn w:val="37"/>
    <w:semiHidden/>
    <w:qFormat/>
    <w:uiPriority w:val="99"/>
  </w:style>
  <w:style w:type="character" w:customStyle="1" w:styleId="104">
    <w:name w:val="批注主题 字符"/>
    <w:basedOn w:val="103"/>
    <w:semiHidden/>
    <w:qFormat/>
    <w:uiPriority w:val="99"/>
    <w:rPr>
      <w:b/>
      <w:bCs/>
    </w:rPr>
  </w:style>
  <w:style w:type="character" w:customStyle="1" w:styleId="105">
    <w:name w:val="正文文本缩进 3 字符1"/>
    <w:basedOn w:val="37"/>
    <w:semiHidden/>
    <w:qFormat/>
    <w:uiPriority w:val="99"/>
    <w:rPr>
      <w:sz w:val="16"/>
      <w:szCs w:val="16"/>
    </w:rPr>
  </w:style>
  <w:style w:type="character" w:customStyle="1" w:styleId="106">
    <w:name w:val="正文文本 字符1"/>
    <w:basedOn w:val="37"/>
    <w:semiHidden/>
    <w:qFormat/>
    <w:uiPriority w:val="99"/>
  </w:style>
  <w:style w:type="character" w:customStyle="1" w:styleId="107">
    <w:name w:val="文档结构图 字符1"/>
    <w:basedOn w:val="37"/>
    <w:semiHidden/>
    <w:uiPriority w:val="99"/>
    <w:rPr>
      <w:rFonts w:ascii="Microsoft YaHei UI" w:eastAsia="Microsoft YaHei UI"/>
      <w:sz w:val="18"/>
      <w:szCs w:val="18"/>
    </w:rPr>
  </w:style>
  <w:style w:type="character" w:customStyle="1" w:styleId="108">
    <w:name w:val="页眉 字符1"/>
    <w:basedOn w:val="37"/>
    <w:semiHidden/>
    <w:qFormat/>
    <w:uiPriority w:val="99"/>
    <w:rPr>
      <w:sz w:val="18"/>
      <w:szCs w:val="18"/>
    </w:rPr>
  </w:style>
  <w:style w:type="character" w:customStyle="1" w:styleId="109">
    <w:name w:val="批注框文本 字符1"/>
    <w:basedOn w:val="37"/>
    <w:semiHidden/>
    <w:qFormat/>
    <w:uiPriority w:val="99"/>
    <w:rPr>
      <w:sz w:val="18"/>
      <w:szCs w:val="18"/>
    </w:rPr>
  </w:style>
  <w:style w:type="character" w:customStyle="1" w:styleId="110">
    <w:name w:val="日期 字符1"/>
    <w:basedOn w:val="37"/>
    <w:semiHidden/>
    <w:qFormat/>
    <w:uiPriority w:val="99"/>
  </w:style>
  <w:style w:type="character" w:customStyle="1" w:styleId="111">
    <w:name w:val="正文文本缩进 字符1"/>
    <w:basedOn w:val="37"/>
    <w:semiHidden/>
    <w:qFormat/>
    <w:uiPriority w:val="99"/>
  </w:style>
  <w:style w:type="character" w:customStyle="1" w:styleId="112">
    <w:name w:val="脚注文本 字符1"/>
    <w:basedOn w:val="37"/>
    <w:semiHidden/>
    <w:qFormat/>
    <w:uiPriority w:val="99"/>
    <w:rPr>
      <w:sz w:val="18"/>
      <w:szCs w:val="18"/>
    </w:rPr>
  </w:style>
  <w:style w:type="character" w:customStyle="1" w:styleId="113">
    <w:name w:val="页脚 字符1"/>
    <w:basedOn w:val="37"/>
    <w:semiHidden/>
    <w:qFormat/>
    <w:uiPriority w:val="99"/>
    <w:rPr>
      <w:sz w:val="18"/>
      <w:szCs w:val="18"/>
    </w:rPr>
  </w:style>
  <w:style w:type="character" w:customStyle="1" w:styleId="114">
    <w:name w:val="正文文本缩进 2 字符1"/>
    <w:basedOn w:val="37"/>
    <w:semiHidden/>
    <w:qFormat/>
    <w:uiPriority w:val="99"/>
  </w:style>
  <w:style w:type="character" w:customStyle="1" w:styleId="115">
    <w:name w:val="纯文本 字符1"/>
    <w:basedOn w:val="37"/>
    <w:semiHidden/>
    <w:qFormat/>
    <w:uiPriority w:val="99"/>
    <w:rPr>
      <w:rFonts w:hAnsi="Courier New" w:cs="Courier New" w:asciiTheme="minorEastAsia"/>
    </w:rPr>
  </w:style>
  <w:style w:type="character" w:customStyle="1" w:styleId="116">
    <w:name w:val="标题 字符1"/>
    <w:basedOn w:val="37"/>
    <w:qFormat/>
    <w:uiPriority w:val="10"/>
    <w:rPr>
      <w:rFonts w:asciiTheme="majorHAnsi" w:hAnsiTheme="majorHAnsi" w:eastAsiaTheme="majorEastAsia" w:cstheme="majorBidi"/>
      <w:b/>
      <w:bCs/>
      <w:sz w:val="32"/>
      <w:szCs w:val="32"/>
    </w:rPr>
  </w:style>
  <w:style w:type="paragraph" w:customStyle="1" w:styleId="117">
    <w:name w:val="reader-word-layer"/>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8">
    <w:name w:val="!机场正文"/>
    <w:basedOn w:val="1"/>
    <w:qFormat/>
    <w:uiPriority w:val="0"/>
    <w:pPr>
      <w:spacing w:line="560" w:lineRule="exact"/>
      <w:ind w:firstLine="200" w:firstLineChars="200"/>
    </w:pPr>
    <w:rPr>
      <w:rFonts w:ascii="仿宋_GB2312" w:hAnsi="仿宋_GB2312" w:eastAsia="仿宋_GB2312" w:cs="Times New Roman"/>
      <w:sz w:val="32"/>
    </w:rPr>
  </w:style>
  <w:style w:type="paragraph" w:customStyle="1" w:styleId="119">
    <w:name w:val="末级"/>
    <w:basedOn w:val="1"/>
    <w:qFormat/>
    <w:uiPriority w:val="0"/>
    <w:pPr>
      <w:tabs>
        <w:tab w:val="left" w:pos="851"/>
      </w:tabs>
      <w:spacing w:line="360" w:lineRule="auto"/>
      <w:ind w:firstLine="510"/>
    </w:pPr>
    <w:rPr>
      <w:rFonts w:ascii="Times New Roman" w:hAnsi="Times New Roman" w:eastAsia="宋体" w:cs="Times New Roman"/>
      <w:sz w:val="24"/>
      <w:szCs w:val="24"/>
    </w:rPr>
  </w:style>
  <w:style w:type="paragraph" w:customStyle="1" w:styleId="120">
    <w:name w:val="样式 一号 加粗 居中"/>
    <w:basedOn w:val="1"/>
    <w:qFormat/>
    <w:uiPriority w:val="0"/>
    <w:pPr>
      <w:jc w:val="center"/>
    </w:pPr>
    <w:rPr>
      <w:rFonts w:ascii="Times New Roman" w:hAnsi="Times New Roman" w:eastAsia="宋体" w:cs="宋体"/>
      <w:bCs/>
      <w:sz w:val="52"/>
      <w:szCs w:val="20"/>
    </w:rPr>
  </w:style>
  <w:style w:type="paragraph" w:customStyle="1" w:styleId="121">
    <w:name w:val="样式2"/>
    <w:basedOn w:val="29"/>
    <w:qFormat/>
    <w:uiPriority w:val="0"/>
    <w:pPr>
      <w:ind w:firstLine="2720"/>
    </w:pPr>
    <w:rPr>
      <w:bCs/>
    </w:rPr>
  </w:style>
  <w:style w:type="paragraph" w:customStyle="1" w:styleId="122">
    <w:name w:val="Char"/>
    <w:basedOn w:val="1"/>
    <w:qFormat/>
    <w:uiPriority w:val="0"/>
    <w:pPr>
      <w:spacing w:line="360" w:lineRule="auto"/>
    </w:pPr>
    <w:rPr>
      <w:rFonts w:ascii="黑体" w:hAnsi="黑体" w:eastAsia="宋体" w:cs="Times New Roman"/>
      <w:sz w:val="24"/>
      <w:szCs w:val="24"/>
      <w:lang w:val="zh-CN"/>
    </w:rPr>
  </w:style>
  <w:style w:type="paragraph" w:customStyle="1" w:styleId="123">
    <w:name w:val="_Style 10"/>
    <w:basedOn w:val="1"/>
    <w:next w:val="1"/>
    <w:qFormat/>
    <w:uiPriority w:val="0"/>
    <w:rPr>
      <w:rFonts w:ascii="Times New Roman" w:hAnsi="Times New Roman" w:eastAsia="宋体" w:cs="Times New Roman"/>
      <w:szCs w:val="24"/>
    </w:rPr>
  </w:style>
  <w:style w:type="paragraph" w:customStyle="1" w:styleId="124">
    <w:name w:val="1 Char Char Char"/>
    <w:basedOn w:val="1"/>
    <w:next w:val="4"/>
    <w:qFormat/>
    <w:uiPriority w:val="0"/>
    <w:pPr>
      <w:spacing w:line="500" w:lineRule="exact"/>
      <w:ind w:firstLine="200"/>
      <w:jc w:val="center"/>
    </w:pPr>
    <w:rPr>
      <w:rFonts w:ascii="仿宋_GB2312" w:hAnsi="Arial" w:eastAsia="仿宋_GB2312" w:cs="Arial"/>
      <w:bCs/>
      <w:sz w:val="32"/>
      <w:szCs w:val="32"/>
    </w:rPr>
  </w:style>
  <w:style w:type="paragraph" w:customStyle="1" w:styleId="125">
    <w:name w:val="默认段落字体 Para Char Char Char Char"/>
    <w:basedOn w:val="1"/>
    <w:qFormat/>
    <w:uiPriority w:val="0"/>
    <w:pPr>
      <w:spacing w:line="360" w:lineRule="auto"/>
      <w:ind w:firstLine="200" w:firstLineChars="200"/>
    </w:pPr>
    <w:rPr>
      <w:rFonts w:ascii="宋体" w:hAnsi="宋体" w:eastAsia="宋体" w:cs="宋体"/>
      <w:sz w:val="24"/>
      <w:szCs w:val="24"/>
    </w:rPr>
  </w:style>
  <w:style w:type="paragraph" w:customStyle="1" w:styleId="126">
    <w:name w:val="表1"/>
    <w:basedOn w:val="1"/>
    <w:qFormat/>
    <w:uiPriority w:val="0"/>
    <w:pPr>
      <w:tabs>
        <w:tab w:val="left" w:pos="720"/>
        <w:tab w:val="left" w:pos="851"/>
      </w:tabs>
      <w:overflowPunct w:val="0"/>
      <w:autoSpaceDE w:val="0"/>
      <w:autoSpaceDN w:val="0"/>
      <w:adjustRightInd w:val="0"/>
      <w:spacing w:before="200" w:line="320" w:lineRule="atLeast"/>
      <w:ind w:firstLine="624"/>
      <w:textAlignment w:val="baseline"/>
    </w:pPr>
    <w:rPr>
      <w:rFonts w:ascii="Times New Roman" w:hAnsi="Times New Roman" w:eastAsia="宋体" w:cs="Times New Roman"/>
      <w:kern w:val="0"/>
      <w:sz w:val="24"/>
      <w:szCs w:val="20"/>
    </w:rPr>
  </w:style>
  <w:style w:type="paragraph" w:customStyle="1" w:styleId="127">
    <w:name w:val="样式 标题 1 + (符号) Arial 三号"/>
    <w:basedOn w:val="2"/>
    <w:qFormat/>
    <w:uiPriority w:val="0"/>
    <w:pPr>
      <w:snapToGrid w:val="0"/>
      <w:spacing w:before="0" w:after="0" w:line="360" w:lineRule="auto"/>
    </w:pPr>
    <w:rPr>
      <w:sz w:val="32"/>
    </w:rPr>
  </w:style>
  <w:style w:type="paragraph" w:customStyle="1" w:styleId="128">
    <w:name w:val="列出段落1"/>
    <w:basedOn w:val="1"/>
    <w:qFormat/>
    <w:uiPriority w:val="0"/>
    <w:pPr>
      <w:ind w:firstLine="420" w:firstLineChars="200"/>
    </w:pPr>
    <w:rPr>
      <w:rFonts w:ascii="Calibri" w:hAnsi="Calibri" w:eastAsia="宋体" w:cs="Times New Roman"/>
    </w:rPr>
  </w:style>
  <w:style w:type="paragraph" w:customStyle="1" w:styleId="129">
    <w:name w:val="19"/>
    <w:basedOn w:val="1"/>
    <w:qFormat/>
    <w:uiPriority w:val="0"/>
    <w:pPr>
      <w:widowControl/>
      <w:snapToGrid w:val="0"/>
      <w:spacing w:before="100" w:beforeAutospacing="1" w:after="120" w:line="360" w:lineRule="atLeast"/>
      <w:jc w:val="left"/>
    </w:pPr>
    <w:rPr>
      <w:rFonts w:ascii="宋体" w:hAnsi="宋体" w:eastAsia="宋体" w:cs="Times New Roman"/>
      <w:kern w:val="0"/>
      <w:sz w:val="28"/>
      <w:szCs w:val="20"/>
    </w:rPr>
  </w:style>
  <w:style w:type="paragraph" w:customStyle="1" w:styleId="130">
    <w:name w:val="Char Char"/>
    <w:basedOn w:val="1"/>
    <w:qFormat/>
    <w:uiPriority w:val="0"/>
    <w:rPr>
      <w:rFonts w:ascii="Tahoma" w:hAnsi="Tahoma" w:eastAsia="宋体" w:cs="Times New Roman"/>
      <w:sz w:val="24"/>
      <w:szCs w:val="20"/>
    </w:rPr>
  </w:style>
  <w:style w:type="paragraph" w:customStyle="1" w:styleId="131">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132">
    <w:name w:val="_Style 5"/>
    <w:basedOn w:val="1"/>
    <w:next w:val="1"/>
    <w:qFormat/>
    <w:uiPriority w:val="0"/>
    <w:rPr>
      <w:rFonts w:ascii="Times New Roman" w:hAnsi="Times New Roman" w:eastAsia="宋体" w:cs="Times New Roman"/>
      <w:szCs w:val="20"/>
    </w:rPr>
  </w:style>
  <w:style w:type="paragraph" w:customStyle="1" w:styleId="133">
    <w:name w:val="表格一"/>
    <w:basedOn w:val="1"/>
    <w:qFormat/>
    <w:uiPriority w:val="0"/>
    <w:pPr>
      <w:spacing w:line="240" w:lineRule="exact"/>
      <w:ind w:left="105" w:leftChars="50"/>
    </w:pPr>
    <w:rPr>
      <w:rFonts w:ascii="Times New Roman" w:hAnsi="Times New Roman" w:eastAsia="宋体" w:cs="Times New Roman"/>
      <w:sz w:val="18"/>
      <w:szCs w:val="21"/>
    </w:rPr>
  </w:style>
  <w:style w:type="paragraph" w:customStyle="1" w:styleId="134">
    <w:name w:val="正文段"/>
    <w:basedOn w:val="1"/>
    <w:qFormat/>
    <w:uiPriority w:val="0"/>
    <w:pPr>
      <w:spacing w:line="360" w:lineRule="auto"/>
      <w:ind w:firstLine="420"/>
    </w:pPr>
    <w:rPr>
      <w:rFonts w:ascii="宋体" w:hAnsi="Times New Roman" w:eastAsia="宋体" w:cs="Times New Roman"/>
      <w:sz w:val="24"/>
      <w:szCs w:val="24"/>
    </w:rPr>
  </w:style>
  <w:style w:type="paragraph" w:customStyle="1" w:styleId="135">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lang w:val="en-US" w:eastAsia="zh-CN" w:bidi="ar-SA"/>
    </w:rPr>
  </w:style>
  <w:style w:type="paragraph" w:customStyle="1" w:styleId="136">
    <w:name w:val="Char Char Char Char Char Char Char"/>
    <w:basedOn w:val="1"/>
    <w:qFormat/>
    <w:uiPriority w:val="0"/>
    <w:pPr>
      <w:widowControl/>
      <w:spacing w:after="160" w:line="240" w:lineRule="exact"/>
      <w:jc w:val="left"/>
    </w:pPr>
    <w:rPr>
      <w:rFonts w:ascii="Times New Roman" w:hAnsi="Times New Roman" w:eastAsia="宋体" w:cs="Times New Roman"/>
      <w:szCs w:val="20"/>
    </w:rPr>
  </w:style>
  <w:style w:type="paragraph" w:customStyle="1" w:styleId="137">
    <w:name w:val="0"/>
    <w:basedOn w:val="1"/>
    <w:qFormat/>
    <w:uiPriority w:val="0"/>
    <w:pPr>
      <w:widowControl/>
    </w:pPr>
    <w:rPr>
      <w:rFonts w:ascii="Times New Roman" w:hAnsi="Times New Roman" w:eastAsia="宋体" w:cs="Times New Roman"/>
      <w:kern w:val="0"/>
      <w:szCs w:val="20"/>
    </w:rPr>
  </w:style>
  <w:style w:type="paragraph" w:customStyle="1" w:styleId="138">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paragraph" w:customStyle="1" w:styleId="139">
    <w:name w:val="Char1"/>
    <w:basedOn w:val="1"/>
    <w:qFormat/>
    <w:uiPriority w:val="0"/>
    <w:pPr>
      <w:widowControl/>
      <w:spacing w:after="160" w:line="240" w:lineRule="exact"/>
      <w:jc w:val="left"/>
    </w:pPr>
    <w:rPr>
      <w:rFonts w:ascii="Tahoma" w:hAnsi="Tahoma" w:eastAsia="宋体" w:cs="Times New Roman"/>
      <w:kern w:val="0"/>
      <w:sz w:val="24"/>
      <w:szCs w:val="24"/>
      <w:lang w:eastAsia="en-US"/>
    </w:rPr>
  </w:style>
  <w:style w:type="paragraph" w:customStyle="1" w:styleId="140">
    <w:name w:val="Char Char Char Char Char Char Char Char Char Char"/>
    <w:basedOn w:val="1"/>
    <w:qFormat/>
    <w:uiPriority w:val="0"/>
    <w:pPr>
      <w:widowControl/>
      <w:spacing w:after="160" w:line="240" w:lineRule="exact"/>
      <w:jc w:val="left"/>
    </w:pPr>
    <w:rPr>
      <w:rFonts w:ascii="Times New Roman" w:hAnsi="Times New Roman" w:eastAsia="宋体" w:cs="Times New Roman"/>
      <w:szCs w:val="20"/>
    </w:rPr>
  </w:style>
  <w:style w:type="paragraph" w:customStyle="1" w:styleId="141">
    <w:name w:val="Char Char Char Char"/>
    <w:basedOn w:val="1"/>
    <w:qFormat/>
    <w:uiPriority w:val="0"/>
    <w:rPr>
      <w:rFonts w:ascii="仿宋_GB2312" w:hAnsi="Times New Roman" w:eastAsia="仿宋_GB2312" w:cs="Times New Roman"/>
      <w:b/>
      <w:sz w:val="32"/>
      <w:szCs w:val="32"/>
    </w:rPr>
  </w:style>
  <w:style w:type="paragraph" w:customStyle="1" w:styleId="142">
    <w:name w:val="Char Char Char Char Char Char Char Char Char"/>
    <w:basedOn w:val="1"/>
    <w:qFormat/>
    <w:uiPriority w:val="0"/>
    <w:pPr>
      <w:widowControl/>
      <w:spacing w:after="160" w:line="240" w:lineRule="exact"/>
      <w:jc w:val="left"/>
    </w:pPr>
    <w:rPr>
      <w:rFonts w:ascii="Times New Roman" w:hAnsi="Times New Roman" w:eastAsia="宋体" w:cs="Times New Roman"/>
      <w:szCs w:val="20"/>
    </w:rPr>
  </w:style>
  <w:style w:type="paragraph" w:customStyle="1" w:styleId="143">
    <w:name w:val="表"/>
    <w:basedOn w:val="1"/>
    <w:qFormat/>
    <w:uiPriority w:val="0"/>
    <w:pPr>
      <w:spacing w:line="360" w:lineRule="auto"/>
      <w:jc w:val="center"/>
    </w:pPr>
    <w:rPr>
      <w:rFonts w:ascii="Times New Roman" w:hAnsi="Times New Roman" w:eastAsia="宋体" w:cs="Times New Roman"/>
      <w:color w:val="000000"/>
      <w:szCs w:val="21"/>
    </w:rPr>
  </w:style>
  <w:style w:type="paragraph" w:customStyle="1" w:styleId="144">
    <w:name w:val="样式3"/>
    <w:basedOn w:val="4"/>
    <w:qFormat/>
    <w:uiPriority w:val="0"/>
    <w:pPr>
      <w:keepNext/>
      <w:keepLines/>
      <w:spacing w:before="120" w:after="120" w:line="360" w:lineRule="auto"/>
    </w:pPr>
    <w:rPr>
      <w:rFonts w:eastAsia="宋体"/>
      <w:sz w:val="24"/>
      <w:szCs w:val="24"/>
    </w:rPr>
  </w:style>
  <w:style w:type="character" w:customStyle="1" w:styleId="145">
    <w:name w:val="正文文本首行缩进 2 字符"/>
    <w:basedOn w:val="111"/>
    <w:semiHidden/>
    <w:qFormat/>
    <w:uiPriority w:val="99"/>
  </w:style>
  <w:style w:type="character" w:customStyle="1" w:styleId="146">
    <w:name w:val="正文文本首行缩进 字符"/>
    <w:basedOn w:val="106"/>
    <w:semiHidden/>
    <w:uiPriority w:val="99"/>
  </w:style>
  <w:style w:type="paragraph" w:customStyle="1" w:styleId="147">
    <w:name w:val="List Paragraph"/>
    <w:basedOn w:val="1"/>
    <w:qFormat/>
    <w:uiPriority w:val="34"/>
    <w:pPr>
      <w:ind w:firstLine="420" w:firstLineChars="200"/>
    </w:pPr>
  </w:style>
  <w:style w:type="paragraph" w:customStyle="1" w:styleId="148">
    <w:name w:val="彩色底纹 - 强调文字颜色 31"/>
    <w:basedOn w:val="1"/>
    <w:qFormat/>
    <w:uiPriority w:val="34"/>
    <w:pPr>
      <w:ind w:firstLine="420" w:firstLineChars="200"/>
    </w:pPr>
    <w:rPr>
      <w:rFonts w:ascii="宋体" w:hAnsi="Times New Roman" w:eastAsia="宋体" w:cs="Times New Roman"/>
      <w:bCs/>
      <w:sz w:val="28"/>
      <w:szCs w:val="20"/>
    </w:rPr>
  </w:style>
  <w:style w:type="paragraph" w:customStyle="1" w:styleId="149">
    <w:name w:val="彩色列表 - 强调文字颜色 12"/>
    <w:basedOn w:val="1"/>
    <w:qFormat/>
    <w:uiPriority w:val="34"/>
    <w:pPr>
      <w:ind w:firstLine="420" w:firstLineChars="200"/>
    </w:pPr>
    <w:rPr>
      <w:rFonts w:ascii="宋体" w:hAnsi="Times New Roman" w:eastAsia="宋体" w:cs="Times New Roman"/>
      <w:bCs/>
      <w:sz w:val="28"/>
      <w:szCs w:val="20"/>
    </w:rPr>
  </w:style>
  <w:style w:type="paragraph" w:customStyle="1" w:styleId="150">
    <w:name w:val="彩色列表 - 强调文字颜色 13"/>
    <w:basedOn w:val="1"/>
    <w:qFormat/>
    <w:uiPriority w:val="34"/>
    <w:pPr>
      <w:ind w:firstLine="420" w:firstLineChars="200"/>
    </w:pPr>
    <w:rPr>
      <w:rFonts w:ascii="Calibri" w:hAnsi="Calibri" w:eastAsia="宋体" w:cs="Times New Roman"/>
    </w:rPr>
  </w:style>
  <w:style w:type="paragraph" w:customStyle="1" w:styleId="151">
    <w:name w:val="Char Char80"/>
    <w:basedOn w:val="1"/>
    <w:qFormat/>
    <w:uiPriority w:val="0"/>
    <w:pPr>
      <w:adjustRightInd w:val="0"/>
      <w:spacing w:line="360" w:lineRule="auto"/>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60</Pages>
  <Words>5091</Words>
  <Characters>29023</Characters>
  <Lines>241</Lines>
  <Paragraphs>68</Paragraphs>
  <ScaleCrop>false</ScaleCrop>
  <LinksUpToDate>false</LinksUpToDate>
  <CharactersWithSpaces>34046</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2018-08-13T05:37:00Z</dcterms:created>
  <dc:creator>张治</dc:creator>
  <cp:lastModifiedBy>贾思勰</cp:lastModifiedBy>
  <dcterms:modified xsi:type="dcterms:W3CDTF">2019-07-01T04:39:29Z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