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ascii="黑体" w:hAnsi="黑体" w:eastAsia="黑体"/>
          <w:b/>
          <w:sz w:val="44"/>
          <w:szCs w:val="44"/>
        </w:rPr>
      </w:pPr>
      <w:r>
        <w:rPr>
          <w:rFonts w:hint="eastAsia" w:ascii="黑体" w:hAnsi="黑体" w:eastAsia="黑体"/>
          <w:b/>
          <w:sz w:val="44"/>
          <w:szCs w:val="44"/>
        </w:rPr>
        <w:t>浙江航空开发有限责任公司</w:t>
      </w:r>
    </w:p>
    <w:p>
      <w:pPr>
        <w:widowControl/>
        <w:autoSpaceDE w:val="0"/>
        <w:autoSpaceDN w:val="0"/>
        <w:jc w:val="center"/>
        <w:textAlignment w:val="bottom"/>
        <w:rPr>
          <w:rFonts w:ascii="黑体" w:hAnsi="黑体" w:eastAsia="黑体"/>
          <w:b/>
          <w:sz w:val="44"/>
          <w:szCs w:val="44"/>
        </w:rPr>
      </w:pPr>
      <w:r>
        <w:rPr>
          <w:rFonts w:hint="eastAsia" w:eastAsia="黑体" w:cs="Calibri"/>
          <w:b/>
          <w:sz w:val="44"/>
          <w:szCs w:val="44"/>
          <w:u w:val="single"/>
        </w:rPr>
        <w:t>药品仓储基地3#库屋面维修项目</w:t>
      </w: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hint="eastAsia" w:ascii="黑体" w:hAnsi="黑体" w:eastAsia="黑体"/>
          <w:b/>
          <w:sz w:val="84"/>
          <w:szCs w:val="84"/>
        </w:rPr>
        <w:t>施工</w:t>
      </w:r>
      <w:r>
        <w:rPr>
          <w:rFonts w:ascii="黑体" w:hAnsi="黑体" w:eastAsia="黑体"/>
          <w:b/>
          <w:sz w:val="84"/>
          <w:szCs w:val="84"/>
        </w:rPr>
        <w:t>招标文件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jc w:val="center"/>
        <w:rPr>
          <w:rFonts w:eastAsia="黑体" w:cs="Calibri"/>
          <w:sz w:val="32"/>
          <w:szCs w:val="32"/>
        </w:rPr>
      </w:pPr>
      <w:r>
        <w:rPr>
          <w:rFonts w:hint="eastAsia" w:eastAsia="黑体" w:cs="Calibri"/>
          <w:sz w:val="32"/>
          <w:szCs w:val="32"/>
        </w:rPr>
        <w:t>浙江航空开发有限责任公司</w:t>
      </w:r>
    </w:p>
    <w:p>
      <w:pPr>
        <w:pStyle w:val="29"/>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rPr>
        <w:t xml:space="preserve">  十一 </w:t>
      </w:r>
      <w:r>
        <w:rPr>
          <w:rFonts w:ascii="Calibri" w:hAnsi="Calibri" w:eastAsia="黑体" w:cs="Calibri"/>
          <w:sz w:val="32"/>
          <w:szCs w:val="32"/>
        </w:rPr>
        <w:t>月</w:t>
      </w:r>
    </w:p>
    <w:p>
      <w:pPr>
        <w:snapToGrid w:val="0"/>
        <w:spacing w:line="560" w:lineRule="exact"/>
        <w:jc w:val="center"/>
        <w:rPr>
          <w:rFonts w:ascii="宋体" w:hAnsi="宋体"/>
          <w:b/>
          <w:bCs/>
          <w:sz w:val="32"/>
          <w:szCs w:val="32"/>
        </w:rPr>
      </w:pPr>
    </w:p>
    <w:p>
      <w:pPr>
        <w:spacing w:line="560" w:lineRule="exact"/>
        <w:jc w:val="center"/>
        <w:rPr>
          <w:b/>
        </w:rPr>
      </w:pPr>
    </w:p>
    <w:p>
      <w:pPr>
        <w:spacing w:line="560" w:lineRule="exact"/>
        <w:jc w:val="center"/>
        <w:rPr>
          <w:b/>
          <w:bCs/>
          <w:sz w:val="44"/>
          <w:szCs w:val="44"/>
        </w:rPr>
      </w:pPr>
      <w:r>
        <w:rPr>
          <w:b/>
          <w:bCs/>
          <w:sz w:val="44"/>
          <w:szCs w:val="44"/>
        </w:rPr>
        <w:br w:type="page"/>
      </w:r>
      <w:r>
        <w:rPr>
          <w:rFonts w:hint="eastAsia"/>
          <w:b/>
          <w:bCs/>
          <w:sz w:val="44"/>
          <w:szCs w:val="44"/>
        </w:rPr>
        <w:t>目  录</w:t>
      </w:r>
    </w:p>
    <w:p>
      <w:pPr>
        <w:spacing w:line="560" w:lineRule="exact"/>
        <w:jc w:val="center"/>
        <w:rPr>
          <w:b/>
          <w:bCs/>
          <w:sz w:val="44"/>
          <w:szCs w:val="44"/>
        </w:rPr>
      </w:pPr>
    </w:p>
    <w:p>
      <w:pPr>
        <w:spacing w:line="560" w:lineRule="exact"/>
        <w:jc w:val="center"/>
        <w:rPr>
          <w:b/>
          <w:sz w:val="44"/>
          <w:szCs w:val="44"/>
        </w:rPr>
      </w:pPr>
    </w:p>
    <w:p>
      <w:pPr>
        <w:pStyle w:val="36"/>
        <w:tabs>
          <w:tab w:val="right" w:leader="dot" w:pos="8290"/>
        </w:tabs>
        <w:spacing w:line="480" w:lineRule="auto"/>
        <w:rPr>
          <w:rFonts w:ascii="黑体" w:hAnsi="黑体" w:eastAsia="黑体" w:cstheme="minorBidi"/>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fldChar w:fldCharType="begin"/>
      </w:r>
      <w:r>
        <w:instrText xml:space="preserve"> HYPERLINK \l "_Toc448097401" </w:instrText>
      </w:r>
      <w:r>
        <w:fldChar w:fldCharType="separate"/>
      </w:r>
      <w:r>
        <w:rPr>
          <w:rStyle w:val="58"/>
          <w:rFonts w:hint="eastAsia" w:ascii="黑体" w:hAnsi="黑体" w:eastAsia="黑体"/>
          <w:sz w:val="22"/>
          <w:szCs w:val="22"/>
        </w:rPr>
        <w:t>第一章</w:t>
      </w:r>
      <w:r>
        <w:rPr>
          <w:rStyle w:val="58"/>
          <w:rFonts w:ascii="黑体" w:hAnsi="黑体" w:eastAsia="黑体"/>
          <w:sz w:val="22"/>
          <w:szCs w:val="22"/>
        </w:rPr>
        <w:t xml:space="preserve"> </w:t>
      </w:r>
      <w:r>
        <w:rPr>
          <w:rStyle w:val="58"/>
          <w:rFonts w:hint="eastAsia" w:ascii="黑体" w:hAnsi="黑体" w:eastAsia="黑体"/>
          <w:sz w:val="22"/>
          <w:szCs w:val="22"/>
        </w:rPr>
        <w:t xml:space="preserve"> 招标公告</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_Toc448097401 \h </w:instrText>
      </w:r>
      <w:r>
        <w:rPr>
          <w:rFonts w:ascii="黑体" w:hAnsi="黑体" w:eastAsia="黑体"/>
          <w:sz w:val="22"/>
          <w:szCs w:val="22"/>
        </w:rPr>
        <w:fldChar w:fldCharType="separate"/>
      </w:r>
      <w:r>
        <w:rPr>
          <w:rFonts w:ascii="黑体" w:hAnsi="黑体" w:eastAsia="黑体"/>
          <w:sz w:val="22"/>
          <w:szCs w:val="22"/>
        </w:rPr>
        <w:t>- 2 -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theme="minorBidi"/>
          <w:sz w:val="22"/>
          <w:szCs w:val="22"/>
        </w:rPr>
      </w:pPr>
      <w:r>
        <w:fldChar w:fldCharType="begin"/>
      </w:r>
      <w:r>
        <w:instrText xml:space="preserve"> HYPERLINK \l "_Toc448097402" </w:instrText>
      </w:r>
      <w:r>
        <w:fldChar w:fldCharType="separate"/>
      </w:r>
      <w:r>
        <w:rPr>
          <w:rStyle w:val="58"/>
          <w:rFonts w:hint="eastAsia" w:ascii="黑体" w:hAnsi="黑体" w:eastAsia="黑体"/>
          <w:sz w:val="22"/>
          <w:szCs w:val="22"/>
        </w:rPr>
        <w:t>第二章</w:t>
      </w:r>
      <w:r>
        <w:rPr>
          <w:rStyle w:val="58"/>
          <w:rFonts w:ascii="黑体" w:hAnsi="黑体" w:eastAsia="黑体"/>
          <w:sz w:val="22"/>
          <w:szCs w:val="22"/>
        </w:rPr>
        <w:t xml:space="preserve">  </w:t>
      </w:r>
      <w:r>
        <w:rPr>
          <w:rStyle w:val="58"/>
          <w:rFonts w:hint="eastAsia" w:ascii="黑体" w:hAnsi="黑体" w:eastAsia="黑体"/>
          <w:sz w:val="22"/>
          <w:szCs w:val="22"/>
        </w:rPr>
        <w:t>投标人须知及评标办法</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_Toc448097402 \h </w:instrText>
      </w:r>
      <w:r>
        <w:rPr>
          <w:rFonts w:ascii="黑体" w:hAnsi="黑体" w:eastAsia="黑体"/>
          <w:sz w:val="22"/>
          <w:szCs w:val="22"/>
        </w:rPr>
        <w:fldChar w:fldCharType="separate"/>
      </w:r>
      <w:r>
        <w:rPr>
          <w:rFonts w:ascii="黑体" w:hAnsi="黑体" w:eastAsia="黑体"/>
          <w:sz w:val="22"/>
          <w:szCs w:val="22"/>
        </w:rPr>
        <w:t>- 3 -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theme="minorBidi"/>
          <w:sz w:val="22"/>
          <w:szCs w:val="22"/>
        </w:rPr>
      </w:pPr>
      <w:r>
        <w:fldChar w:fldCharType="begin"/>
      </w:r>
      <w:r>
        <w:instrText xml:space="preserve"> HYPERLINK \l "_Toc448097404" </w:instrText>
      </w:r>
      <w:r>
        <w:fldChar w:fldCharType="separate"/>
      </w:r>
      <w:r>
        <w:rPr>
          <w:rStyle w:val="58"/>
          <w:rFonts w:hint="eastAsia" w:ascii="黑体" w:hAnsi="黑体" w:eastAsia="黑体"/>
          <w:sz w:val="22"/>
          <w:szCs w:val="22"/>
        </w:rPr>
        <w:t>第三章</w:t>
      </w:r>
      <w:r>
        <w:rPr>
          <w:rStyle w:val="58"/>
          <w:rFonts w:ascii="黑体" w:hAnsi="黑体" w:eastAsia="黑体"/>
          <w:sz w:val="22"/>
          <w:szCs w:val="22"/>
        </w:rPr>
        <w:t xml:space="preserve">  </w:t>
      </w:r>
      <w:r>
        <w:rPr>
          <w:rStyle w:val="58"/>
          <w:rFonts w:hint="eastAsia" w:ascii="黑体" w:hAnsi="黑体" w:eastAsia="黑体"/>
          <w:sz w:val="22"/>
          <w:szCs w:val="22"/>
        </w:rPr>
        <w:t>合同条款及格式</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_Toc448097404 \h </w:instrText>
      </w:r>
      <w:r>
        <w:rPr>
          <w:rFonts w:ascii="黑体" w:hAnsi="黑体" w:eastAsia="黑体"/>
          <w:sz w:val="22"/>
          <w:szCs w:val="22"/>
        </w:rPr>
        <w:fldChar w:fldCharType="separate"/>
      </w:r>
      <w:r>
        <w:rPr>
          <w:rFonts w:ascii="黑体" w:hAnsi="黑体" w:eastAsia="黑体"/>
          <w:sz w:val="22"/>
          <w:szCs w:val="22"/>
        </w:rPr>
        <w:t>- 14 -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theme="minorBidi"/>
          <w:sz w:val="22"/>
          <w:szCs w:val="22"/>
        </w:rPr>
      </w:pPr>
      <w:r>
        <w:fldChar w:fldCharType="begin"/>
      </w:r>
      <w:r>
        <w:instrText xml:space="preserve"> HYPERLINK \l "_Toc448097407" </w:instrText>
      </w:r>
      <w:r>
        <w:fldChar w:fldCharType="separate"/>
      </w:r>
      <w:r>
        <w:rPr>
          <w:rStyle w:val="58"/>
          <w:rFonts w:hint="eastAsia" w:ascii="黑体" w:hAnsi="黑体" w:eastAsia="黑体"/>
          <w:sz w:val="22"/>
          <w:szCs w:val="22"/>
        </w:rPr>
        <w:t>第四章</w:t>
      </w:r>
      <w:r>
        <w:rPr>
          <w:rStyle w:val="58"/>
          <w:rFonts w:ascii="黑体" w:hAnsi="黑体" w:eastAsia="黑体"/>
          <w:sz w:val="22"/>
          <w:szCs w:val="22"/>
        </w:rPr>
        <w:t xml:space="preserve">  </w:t>
      </w:r>
      <w:r>
        <w:rPr>
          <w:rStyle w:val="58"/>
          <w:rFonts w:hint="eastAsia" w:ascii="黑体" w:hAnsi="黑体" w:eastAsia="黑体"/>
          <w:sz w:val="22"/>
          <w:szCs w:val="22"/>
        </w:rPr>
        <w:t>参考工程量清单</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_Toc448097407 \h </w:instrText>
      </w:r>
      <w:r>
        <w:rPr>
          <w:rFonts w:ascii="黑体" w:hAnsi="黑体" w:eastAsia="黑体"/>
          <w:sz w:val="22"/>
          <w:szCs w:val="22"/>
        </w:rPr>
        <w:fldChar w:fldCharType="separate"/>
      </w:r>
      <w:r>
        <w:rPr>
          <w:rFonts w:ascii="黑体" w:hAnsi="黑体" w:eastAsia="黑体"/>
          <w:sz w:val="22"/>
          <w:szCs w:val="22"/>
        </w:rPr>
        <w:t>- 32 -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theme="minorBidi"/>
          <w:sz w:val="22"/>
          <w:szCs w:val="22"/>
        </w:rPr>
      </w:pPr>
      <w:r>
        <w:fldChar w:fldCharType="begin"/>
      </w:r>
      <w:r>
        <w:instrText xml:space="preserve"> HYPERLINK \l "_Toc448097408" </w:instrText>
      </w:r>
      <w:r>
        <w:fldChar w:fldCharType="separate"/>
      </w:r>
      <w:r>
        <w:rPr>
          <w:rStyle w:val="58"/>
          <w:rFonts w:hint="eastAsia" w:ascii="黑体" w:hAnsi="黑体" w:eastAsia="黑体"/>
          <w:sz w:val="22"/>
          <w:szCs w:val="22"/>
        </w:rPr>
        <w:t>第五章</w:t>
      </w:r>
      <w:r>
        <w:rPr>
          <w:rStyle w:val="58"/>
          <w:rFonts w:ascii="黑体" w:hAnsi="黑体" w:eastAsia="黑体"/>
          <w:sz w:val="22"/>
          <w:szCs w:val="22"/>
        </w:rPr>
        <w:t xml:space="preserve">  </w:t>
      </w:r>
      <w:r>
        <w:rPr>
          <w:rStyle w:val="58"/>
          <w:rFonts w:hint="eastAsia" w:ascii="黑体" w:hAnsi="黑体" w:eastAsia="黑体"/>
          <w:sz w:val="22"/>
          <w:szCs w:val="22"/>
        </w:rPr>
        <w:t>图纸（另册）</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_Toc448097408 \h </w:instrText>
      </w:r>
      <w:r>
        <w:rPr>
          <w:rFonts w:ascii="黑体" w:hAnsi="黑体" w:eastAsia="黑体"/>
          <w:sz w:val="22"/>
          <w:szCs w:val="22"/>
        </w:rPr>
        <w:fldChar w:fldCharType="separate"/>
      </w:r>
      <w:r>
        <w:rPr>
          <w:rFonts w:ascii="黑体" w:hAnsi="黑体" w:eastAsia="黑体"/>
          <w:sz w:val="22"/>
          <w:szCs w:val="22"/>
        </w:rPr>
        <w:t>- 33 -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theme="minorBidi"/>
          <w:sz w:val="22"/>
          <w:szCs w:val="22"/>
        </w:rPr>
      </w:pPr>
      <w:r>
        <w:fldChar w:fldCharType="begin"/>
      </w:r>
      <w:r>
        <w:instrText xml:space="preserve"> HYPERLINK \l "_Toc448097409" </w:instrText>
      </w:r>
      <w:r>
        <w:fldChar w:fldCharType="separate"/>
      </w:r>
      <w:r>
        <w:rPr>
          <w:rStyle w:val="58"/>
          <w:rFonts w:hint="eastAsia" w:ascii="黑体" w:hAnsi="黑体" w:eastAsia="黑体"/>
          <w:sz w:val="22"/>
          <w:szCs w:val="22"/>
        </w:rPr>
        <w:t>第六章</w:t>
      </w:r>
      <w:r>
        <w:rPr>
          <w:rStyle w:val="58"/>
          <w:rFonts w:ascii="黑体" w:hAnsi="黑体" w:eastAsia="黑体"/>
          <w:sz w:val="22"/>
          <w:szCs w:val="22"/>
        </w:rPr>
        <w:t xml:space="preserve">  </w:t>
      </w:r>
      <w:r>
        <w:rPr>
          <w:rStyle w:val="58"/>
          <w:rFonts w:hint="eastAsia" w:ascii="黑体" w:hAnsi="黑体" w:eastAsia="黑体"/>
          <w:sz w:val="22"/>
          <w:szCs w:val="22"/>
        </w:rPr>
        <w:t>投标文件格式</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_Toc448097409 \h </w:instrText>
      </w:r>
      <w:r>
        <w:rPr>
          <w:rFonts w:ascii="黑体" w:hAnsi="黑体" w:eastAsia="黑体"/>
          <w:sz w:val="22"/>
          <w:szCs w:val="22"/>
        </w:rPr>
        <w:fldChar w:fldCharType="separate"/>
      </w:r>
      <w:r>
        <w:rPr>
          <w:rFonts w:ascii="黑体" w:hAnsi="黑体" w:eastAsia="黑体"/>
          <w:sz w:val="22"/>
          <w:szCs w:val="22"/>
        </w:rPr>
        <w:t>- 33 -</w:t>
      </w:r>
      <w:r>
        <w:rPr>
          <w:rFonts w:ascii="黑体" w:hAnsi="黑体" w:eastAsia="黑体"/>
          <w:sz w:val="22"/>
          <w:szCs w:val="22"/>
        </w:rPr>
        <w:fldChar w:fldCharType="end"/>
      </w:r>
      <w:r>
        <w:rPr>
          <w:rFonts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rPr>
        <w:fldChar w:fldCharType="end"/>
      </w:r>
    </w:p>
    <w:p>
      <w:pPr>
        <w:spacing w:line="560" w:lineRule="exact"/>
        <w:rPr>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eastAsia"/>
          <w:b/>
        </w:rPr>
        <w:t xml:space="preserve">                                                          </w:t>
      </w:r>
    </w:p>
    <w:p>
      <w:pPr>
        <w:pStyle w:val="48"/>
      </w:pPr>
      <w:bookmarkStart w:id="0" w:name="_Toc448097401"/>
      <w:r>
        <w:rPr>
          <w:rFonts w:hint="eastAsia"/>
        </w:rPr>
        <w:t>第一章 招标公告</w:t>
      </w:r>
      <w:bookmarkEnd w:id="0"/>
    </w:p>
    <w:p>
      <w:pPr>
        <w:widowControl/>
        <w:snapToGrid w:val="0"/>
        <w:spacing w:line="360" w:lineRule="exact"/>
        <w:jc w:val="left"/>
        <w:rPr>
          <w:rFonts w:cs="Arial" w:asciiTheme="minorEastAsia" w:hAnsiTheme="minorEastAsia"/>
          <w:b/>
          <w:bCs/>
          <w:kern w:val="0"/>
          <w:sz w:val="22"/>
        </w:rPr>
      </w:pPr>
    </w:p>
    <w:p>
      <w:pPr>
        <w:pStyle w:val="125"/>
        <w:widowControl/>
        <w:numPr>
          <w:ilvl w:val="0"/>
          <w:numId w:val="4"/>
        </w:numPr>
        <w:snapToGrid w:val="0"/>
        <w:spacing w:line="360" w:lineRule="exact"/>
        <w:ind w:firstLineChars="0"/>
        <w:jc w:val="left"/>
        <w:rPr>
          <w:rFonts w:cs="Arial" w:asciiTheme="minorEastAsia" w:hAnsiTheme="minorEastAsia"/>
          <w:kern w:val="0"/>
          <w:sz w:val="22"/>
          <w:szCs w:val="22"/>
        </w:rPr>
      </w:pPr>
      <w:r>
        <w:rPr>
          <w:rFonts w:hint="eastAsia" w:cs="Arial" w:asciiTheme="minorEastAsia" w:hAnsiTheme="minorEastAsia"/>
          <w:b/>
          <w:bCs/>
          <w:kern w:val="0"/>
          <w:sz w:val="22"/>
          <w:szCs w:val="22"/>
        </w:rPr>
        <w:t>招标内容</w:t>
      </w:r>
    </w:p>
    <w:p>
      <w:pPr>
        <w:widowControl/>
        <w:numPr>
          <w:ilvl w:val="0"/>
          <w:numId w:val="5"/>
        </w:numPr>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项目概况：药品仓储基地3#库屋面维修项目</w:t>
      </w:r>
    </w:p>
    <w:p>
      <w:pPr>
        <w:widowControl/>
        <w:numPr>
          <w:ilvl w:val="0"/>
          <w:numId w:val="5"/>
        </w:numPr>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招标内容：详见施工</w:t>
      </w:r>
      <w:r>
        <w:rPr>
          <w:rFonts w:cs="Arial" w:asciiTheme="minorEastAsia" w:hAnsiTheme="minorEastAsia"/>
          <w:kern w:val="0"/>
          <w:sz w:val="22"/>
        </w:rPr>
        <w:t>图纸及</w:t>
      </w:r>
      <w:r>
        <w:rPr>
          <w:rFonts w:hint="eastAsia" w:cs="Arial" w:asciiTheme="minorEastAsia" w:hAnsiTheme="minorEastAsia"/>
          <w:kern w:val="0"/>
          <w:sz w:val="22"/>
        </w:rPr>
        <w:t>清单</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（3）本</w:t>
      </w:r>
      <w:r>
        <w:rPr>
          <w:rFonts w:cs="Arial" w:asciiTheme="minorEastAsia" w:hAnsiTheme="minorEastAsia"/>
          <w:kern w:val="0"/>
          <w:sz w:val="22"/>
        </w:rPr>
        <w:t>项目</w:t>
      </w:r>
      <w:r>
        <w:rPr>
          <w:rFonts w:hint="eastAsia" w:cs="Arial" w:asciiTheme="minorEastAsia" w:hAnsiTheme="minorEastAsia"/>
          <w:kern w:val="0"/>
          <w:sz w:val="22"/>
        </w:rPr>
        <w:t>由浙江航空开发有限责任</w:t>
      </w:r>
      <w:r>
        <w:rPr>
          <w:rFonts w:cs="Arial" w:asciiTheme="minorEastAsia" w:hAnsiTheme="minorEastAsia"/>
          <w:kern w:val="0"/>
          <w:sz w:val="22"/>
        </w:rPr>
        <w:t>公司</w:t>
      </w:r>
      <w:r>
        <w:rPr>
          <w:rFonts w:hint="eastAsia" w:cs="Arial" w:asciiTheme="minorEastAsia" w:hAnsiTheme="minorEastAsia"/>
          <w:kern w:val="0"/>
          <w:sz w:val="22"/>
        </w:rPr>
        <w:t>公开</w:t>
      </w:r>
      <w:r>
        <w:rPr>
          <w:rFonts w:cs="Arial" w:asciiTheme="minorEastAsia" w:hAnsiTheme="minorEastAsia"/>
          <w:kern w:val="0"/>
          <w:sz w:val="22"/>
        </w:rPr>
        <w:t>招标。</w:t>
      </w:r>
      <w:r>
        <w:rPr>
          <w:rFonts w:hint="eastAsia" w:cs="Arial" w:asciiTheme="minorEastAsia" w:hAnsiTheme="minorEastAsia"/>
          <w:kern w:val="0"/>
          <w:sz w:val="22"/>
        </w:rPr>
        <w:t xml:space="preserve"> </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w:t>
      </w:r>
      <w:r>
        <w:rPr>
          <w:rFonts w:cs="Arial" w:asciiTheme="minorEastAsia" w:hAnsiTheme="minorEastAsia"/>
          <w:kern w:val="0"/>
          <w:sz w:val="22"/>
        </w:rPr>
        <w:t>4</w:t>
      </w:r>
      <w:r>
        <w:rPr>
          <w:rFonts w:hint="eastAsia" w:cs="Arial" w:asciiTheme="minorEastAsia" w:hAnsiTheme="minorEastAsia"/>
          <w:kern w:val="0"/>
          <w:sz w:val="22"/>
        </w:rPr>
        <w:t>）要求</w:t>
      </w:r>
      <w:r>
        <w:rPr>
          <w:rFonts w:hint="eastAsia" w:ascii="宋体" w:hAnsi="宋体" w:cs="Calibri"/>
          <w:kern w:val="0"/>
          <w:sz w:val="22"/>
        </w:rPr>
        <w:t>合同签订后</w:t>
      </w:r>
      <w:r>
        <w:rPr>
          <w:rFonts w:hint="eastAsia" w:cs="Arial" w:asciiTheme="minorEastAsia" w:hAnsiTheme="minorEastAsia"/>
          <w:kern w:val="0"/>
          <w:sz w:val="22"/>
          <w:u w:val="single"/>
        </w:rPr>
        <w:t>20</w:t>
      </w:r>
      <w:r>
        <w:rPr>
          <w:rFonts w:hint="eastAsia" w:cs="Arial" w:asciiTheme="minorEastAsia" w:hAnsiTheme="minorEastAsia"/>
          <w:kern w:val="0"/>
          <w:sz w:val="22"/>
        </w:rPr>
        <w:t>日历天内完工。</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二、投标人资格要求</w:t>
      </w:r>
      <w:r>
        <w:rPr>
          <w:rFonts w:cs="Arial" w:asciiTheme="minorEastAsia" w:hAnsiTheme="minorEastAsia"/>
          <w:b/>
          <w:bCs/>
          <w:kern w:val="0"/>
          <w:sz w:val="22"/>
        </w:rPr>
        <w:t> </w:t>
      </w:r>
    </w:p>
    <w:p>
      <w:pPr>
        <w:ind w:firstLine="440" w:firstLineChars="200"/>
      </w:pPr>
      <w:r>
        <w:rPr>
          <w:rFonts w:hint="eastAsia" w:cs="Arial" w:asciiTheme="minorEastAsia" w:hAnsiTheme="minorEastAsia"/>
          <w:kern w:val="0"/>
          <w:sz w:val="22"/>
        </w:rPr>
        <w:t>（1）</w:t>
      </w:r>
      <w:r>
        <w:rPr>
          <w:rFonts w:hint="eastAsia" w:ascii="宋体" w:hAnsi="宋体"/>
          <w:sz w:val="22"/>
        </w:rPr>
        <w:t>投标人具备防水防腐保温工程专业承包三级及以上资质或</w:t>
      </w:r>
      <w:r>
        <w:rPr>
          <w:rFonts w:hint="eastAsia" w:ascii="宋体" w:hAnsi="宋体"/>
          <w:sz w:val="22"/>
          <w:u w:val="single"/>
        </w:rPr>
        <w:t>钢结构</w:t>
      </w:r>
      <w:r>
        <w:rPr>
          <w:rFonts w:hint="eastAsia" w:ascii="宋体" w:hAnsi="宋体"/>
          <w:sz w:val="22"/>
        </w:rPr>
        <w:t>专业承包</w:t>
      </w:r>
      <w:r>
        <w:rPr>
          <w:rFonts w:hint="eastAsia" w:ascii="宋体" w:hAnsi="宋体"/>
          <w:sz w:val="22"/>
          <w:u w:val="single"/>
        </w:rPr>
        <w:t xml:space="preserve">三 </w:t>
      </w:r>
      <w:r>
        <w:rPr>
          <w:rFonts w:hint="eastAsia" w:ascii="宋体" w:hAnsi="宋体"/>
          <w:sz w:val="22"/>
        </w:rPr>
        <w:t>级及以上资质或建筑施工总承包</w:t>
      </w:r>
      <w:r>
        <w:rPr>
          <w:rFonts w:hint="eastAsia" w:ascii="宋体" w:hAnsi="宋体"/>
          <w:sz w:val="22"/>
          <w:u w:val="single"/>
        </w:rPr>
        <w:t>三</w:t>
      </w:r>
      <w:r>
        <w:rPr>
          <w:rFonts w:hint="eastAsia" w:ascii="宋体" w:hAnsi="宋体"/>
          <w:sz w:val="22"/>
        </w:rPr>
        <w:t>级及以上资质。</w:t>
      </w:r>
    </w:p>
    <w:p>
      <w:pPr>
        <w:ind w:firstLine="440" w:firstLineChars="200"/>
      </w:pPr>
      <w:r>
        <w:rPr>
          <w:rFonts w:hint="eastAsia" w:cs="Arial" w:asciiTheme="minorEastAsia" w:hAnsiTheme="minorEastAsia"/>
          <w:kern w:val="0"/>
          <w:sz w:val="22"/>
        </w:rPr>
        <w:t>（2）</w:t>
      </w:r>
      <w:r>
        <w:rPr>
          <w:rFonts w:hint="eastAsia" w:ascii="宋体" w:hAnsi="宋体"/>
          <w:sz w:val="22"/>
        </w:rPr>
        <w:t>投标人应具有有效的《安全生产许可证》。</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w:t>
      </w:r>
      <w:r>
        <w:rPr>
          <w:rFonts w:ascii="宋体" w:hAnsi="宋体" w:cs="Arial"/>
          <w:kern w:val="0"/>
          <w:sz w:val="22"/>
        </w:rPr>
        <w:t>3</w:t>
      </w:r>
      <w:r>
        <w:rPr>
          <w:rFonts w:hint="eastAsia" w:ascii="宋体" w:hAnsi="宋体" w:cs="Arial"/>
          <w:kern w:val="0"/>
          <w:sz w:val="22"/>
        </w:rPr>
        <w:t>）本项目不接受联合体投标。</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三、招标文件获取</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cs="Arial" w:asciiTheme="minorEastAsia" w:hAnsiTheme="minorEastAsia"/>
          <w:kern w:val="0"/>
          <w:sz w:val="22"/>
        </w:rPr>
        <w:t>http://www.hzairport.com/zbxx.aspx</w:t>
      </w:r>
      <w:r>
        <w:rPr>
          <w:rFonts w:cs="Arial" w:asciiTheme="minorEastAsia" w:hAnsiTheme="minorEastAsia"/>
          <w:kern w:val="0"/>
          <w:sz w:val="22"/>
        </w:rPr>
        <w:fldChar w:fldCharType="end"/>
      </w:r>
      <w:r>
        <w:rPr>
          <w:rFonts w:hint="eastAsia" w:cs="Arial" w:asciiTheme="minorEastAsia" w:hAnsiTheme="minorEastAsia"/>
          <w:kern w:val="0"/>
          <w:sz w:val="22"/>
        </w:rPr>
        <w:t>自行下载招标文件。</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招标文件下载</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工程量清单下载</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四、投标文件的递交</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（1）投标文件递交截止时间：2019年12月</w:t>
      </w:r>
      <w:r>
        <w:rPr>
          <w:rFonts w:hint="eastAsia" w:cs="Arial" w:asciiTheme="minorEastAsia" w:hAnsiTheme="minorEastAsia"/>
          <w:kern w:val="0"/>
          <w:sz w:val="22"/>
          <w:lang w:val="en-US" w:eastAsia="zh-CN"/>
        </w:rPr>
        <w:t>6</w:t>
      </w:r>
      <w:bookmarkStart w:id="181" w:name="_GoBack"/>
      <w:bookmarkEnd w:id="181"/>
      <w:r>
        <w:rPr>
          <w:rFonts w:hint="eastAsia" w:cs="Arial" w:asciiTheme="minorEastAsia" w:hAnsiTheme="minorEastAsia"/>
          <w:kern w:val="0"/>
          <w:sz w:val="22"/>
        </w:rPr>
        <w:t>日上午9时00分（北京时间）。投标文件递交地点：</w:t>
      </w:r>
      <w:r>
        <w:rPr>
          <w:rFonts w:hint="eastAsia" w:asciiTheme="minorEastAsia" w:hAnsiTheme="minorEastAsia"/>
          <w:sz w:val="22"/>
        </w:rPr>
        <w:t>杭州萧山国际机场内航空货站A区A1223室</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（2）</w:t>
      </w:r>
      <w:r>
        <w:rPr>
          <w:rFonts w:hint="eastAsia" w:asciiTheme="minorEastAsia" w:hAnsiTheme="minorEastAsia"/>
          <w:sz w:val="22"/>
        </w:rPr>
        <w:t>逾期送达或者未送达指定地点的投标文件，招标人不予受理。</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五、发布公告的媒介</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本次招标公告在</w:t>
      </w:r>
      <w:r>
        <w:rPr>
          <w:rFonts w:hint="eastAsia" w:cs="Arial" w:asciiTheme="minorEastAsia" w:hAnsiTheme="minorEastAsia"/>
          <w:b/>
          <w:kern w:val="0"/>
          <w:sz w:val="22"/>
        </w:rPr>
        <w:t>中国采购与招标网和杭州萧山机场有限公司</w:t>
      </w:r>
      <w:r>
        <w:rPr>
          <w:rFonts w:hint="eastAsia" w:cs="Arial" w:asciiTheme="minorEastAsia" w:hAnsiTheme="minorEastAsia"/>
          <w:kern w:val="0"/>
          <w:sz w:val="22"/>
        </w:rPr>
        <w:t>主页上发布</w:t>
      </w:r>
    </w:p>
    <w:p>
      <w:pPr>
        <w:widowControl/>
        <w:adjustRightInd w:val="0"/>
        <w:snapToGrid w:val="0"/>
        <w:spacing w:line="340" w:lineRule="exact"/>
        <w:ind w:firstLine="440" w:firstLineChars="200"/>
        <w:rPr>
          <w:rFonts w:cs="Arial" w:asciiTheme="minorEastAsia" w:hAnsiTheme="minorEastAsia"/>
          <w:kern w:val="0"/>
          <w:sz w:val="22"/>
        </w:rPr>
      </w:pPr>
      <w:r>
        <w:rPr>
          <w:rFonts w:hint="eastAsia" w:asciiTheme="minorEastAsia" w:hAnsiTheme="minorEastAsia"/>
          <w:sz w:val="22"/>
        </w:rPr>
        <w:t>中国采购与招标网</w:t>
      </w:r>
      <w:r>
        <w:rPr>
          <w:rFonts w:asciiTheme="minorEastAsia" w:hAnsiTheme="minorEastAsia"/>
          <w:sz w:val="22"/>
        </w:rPr>
        <w:t xml:space="preserve">  </w:t>
      </w:r>
      <w:r>
        <w:fldChar w:fldCharType="begin"/>
      </w:r>
      <w:r>
        <w:instrText xml:space="preserve"> HYPERLINK "http://www.chinabidding.com.cn" </w:instrText>
      </w:r>
      <w:r>
        <w:fldChar w:fldCharType="separate"/>
      </w:r>
      <w:r>
        <w:rPr>
          <w:rFonts w:asciiTheme="minorEastAsia" w:hAnsiTheme="minorEastAsia"/>
          <w:sz w:val="22"/>
        </w:rPr>
        <w:t>http://www.chinabidding.com.cn</w:t>
      </w:r>
      <w:r>
        <w:rPr>
          <w:rFonts w:asciiTheme="minorEastAsia" w:hAnsiTheme="minorEastAsia"/>
          <w:sz w:val="22"/>
        </w:rPr>
        <w:fldChar w:fldCharType="end"/>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杭州萧山机场有限公司主页http://www.hzairport.com</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六、联系方式</w:t>
      </w:r>
    </w:p>
    <w:p>
      <w:pPr>
        <w:widowControl/>
        <w:adjustRightInd w:val="0"/>
        <w:snapToGrid w:val="0"/>
        <w:spacing w:line="340" w:lineRule="exact"/>
        <w:ind w:firstLine="440" w:firstLineChars="200"/>
        <w:rPr>
          <w:rFonts w:asciiTheme="minorEastAsia" w:hAnsiTheme="minorEastAsia"/>
          <w:sz w:val="22"/>
        </w:rPr>
      </w:pPr>
      <w:r>
        <w:rPr>
          <w:rFonts w:hint="eastAsia" w:asciiTheme="minorEastAsia" w:hAnsiTheme="minorEastAsia"/>
          <w:sz w:val="22"/>
        </w:rPr>
        <w:t xml:space="preserve">投标联系人： 王建坤      联系电话： </w:t>
      </w:r>
      <w:r>
        <w:rPr>
          <w:rFonts w:asciiTheme="minorEastAsia" w:hAnsiTheme="minorEastAsia"/>
          <w:sz w:val="22"/>
        </w:rPr>
        <w:t>8</w:t>
      </w:r>
      <w:r>
        <w:rPr>
          <w:rFonts w:hint="eastAsia" w:asciiTheme="minorEastAsia" w:hAnsiTheme="minorEastAsia"/>
          <w:sz w:val="22"/>
        </w:rPr>
        <w:t xml:space="preserve">6665003   </w:t>
      </w:r>
    </w:p>
    <w:p>
      <w:pPr>
        <w:widowControl/>
        <w:adjustRightInd w:val="0"/>
        <w:snapToGrid w:val="0"/>
        <w:spacing w:line="340" w:lineRule="exact"/>
        <w:ind w:firstLine="440" w:firstLineChars="200"/>
        <w:rPr>
          <w:rFonts w:asciiTheme="minorEastAsia" w:hAnsiTheme="minorEastAsia"/>
          <w:bCs/>
          <w:sz w:val="22"/>
        </w:rPr>
      </w:pPr>
      <w:r>
        <w:rPr>
          <w:rFonts w:hint="eastAsia" w:asciiTheme="minorEastAsia" w:hAnsiTheme="minorEastAsia"/>
          <w:bCs/>
          <w:sz w:val="22"/>
        </w:rPr>
        <w:t>招标监督人： 陈洲         联系电话： 86665009</w:t>
      </w:r>
    </w:p>
    <w:p>
      <w:pPr>
        <w:pStyle w:val="48"/>
        <w:rPr>
          <w:rFonts w:asciiTheme="minorEastAsia" w:hAnsiTheme="minorEastAsia"/>
          <w:bCs w:val="0"/>
          <w:sz w:val="22"/>
          <w:szCs w:val="22"/>
        </w:rPr>
      </w:pPr>
    </w:p>
    <w:p/>
    <w:p/>
    <w:p/>
    <w:p/>
    <w:p/>
    <w:p/>
    <w:p/>
    <w:p/>
    <w:p/>
    <w:p/>
    <w:p/>
    <w:p/>
    <w:p/>
    <w:p/>
    <w:p>
      <w:pPr>
        <w:pStyle w:val="48"/>
        <w:tabs>
          <w:tab w:val="left" w:pos="3960"/>
        </w:tabs>
        <w:jc w:val="both"/>
      </w:pPr>
      <w:r>
        <w:tab/>
      </w:r>
    </w:p>
    <w:p>
      <w:pPr>
        <w:pStyle w:val="48"/>
      </w:pPr>
      <w:bookmarkStart w:id="1" w:name="_Toc448097402"/>
      <w:bookmarkStart w:id="2" w:name="_Toc448097403"/>
      <w:r>
        <w:t>第</w:t>
      </w:r>
      <w:r>
        <w:rPr>
          <w:rFonts w:hint="eastAsia"/>
        </w:rPr>
        <w:t>二</w:t>
      </w:r>
      <w:r>
        <w:t>章  投标</w:t>
      </w:r>
      <w:r>
        <w:rPr>
          <w:rFonts w:hint="eastAsia"/>
        </w:rPr>
        <w:t>人须知及评标办法</w:t>
      </w:r>
      <w:bookmarkEnd w:id="1"/>
      <w:bookmarkEnd w:id="2"/>
    </w:p>
    <w:p>
      <w:pPr>
        <w:pStyle w:val="32"/>
        <w:spacing w:line="240" w:lineRule="auto"/>
        <w:jc w:val="center"/>
        <w:rPr>
          <w:b/>
          <w:sz w:val="28"/>
          <w:szCs w:val="28"/>
        </w:rPr>
      </w:pPr>
      <w:r>
        <w:rPr>
          <w:rFonts w:hint="eastAsia"/>
          <w:b/>
          <w:sz w:val="28"/>
          <w:szCs w:val="28"/>
        </w:rPr>
        <w:t>投标人须知前附表</w:t>
      </w:r>
    </w:p>
    <w:tbl>
      <w:tblPr>
        <w:tblStyle w:val="52"/>
        <w:tblW w:w="94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Arial"/>
                <w:kern w:val="0"/>
                <w:sz w:val="22"/>
              </w:rPr>
              <w:t>药品仓储基地3#库屋面维修项目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建设地点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91"/>
                <w:rFonts w:hint="eastAsia"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cs="Calibri" w:asciiTheme="minorEastAsia" w:hAnsiTheme="minorEastAsia"/>
                <w:kern w:val="0"/>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cs="Calibri" w:asciiTheme="minorEastAsia" w:hAnsiTheme="minorEastAsia"/>
                <w:kern w:val="0"/>
                <w:sz w:val="22"/>
              </w:rPr>
              <w:t>详见招标公告</w:t>
            </w:r>
            <w:r>
              <w:rPr>
                <w:rFonts w:hint="eastAsia" w:cs="Calibri" w:asciiTheme="minorEastAsia" w:hAnsiTheme="minorEastAsia"/>
                <w:kern w:val="0"/>
                <w:sz w:val="22"/>
              </w:rPr>
              <w:t>“</w:t>
            </w:r>
            <w:r>
              <w:rPr>
                <w:rFonts w:hint="eastAsia" w:cs="黑体" w:asciiTheme="minorEastAsia" w:hAnsiTheme="minorEastAsia"/>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工期</w:t>
            </w:r>
            <w:r>
              <w:rPr>
                <w:rFonts w:hint="eastAsia" w:ascii="宋体" w:hAnsi="宋体" w:cs="Calibri"/>
                <w:kern w:val="0"/>
                <w:sz w:val="22"/>
              </w:rPr>
              <w:t>要求</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合同签订后</w:t>
            </w:r>
            <w:r>
              <w:rPr>
                <w:rFonts w:hint="eastAsia" w:ascii="宋体" w:hAnsi="宋体"/>
                <w:sz w:val="22"/>
                <w:u w:val="single"/>
              </w:rPr>
              <w:t>20</w:t>
            </w:r>
            <w:r>
              <w:rPr>
                <w:rFonts w:hint="eastAsia"/>
                <w:sz w:val="22"/>
              </w:rPr>
              <w:t>个日历天</w:t>
            </w:r>
            <w:r>
              <w:rPr>
                <w:rFonts w:hint="eastAsia" w:ascii="宋体" w:hAnsi="宋体" w:cs="Calibri"/>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hint="eastAsia" w:cs="Calibri" w:asciiTheme="minorEastAsia" w:hAnsiTheme="minorEastAsia"/>
                <w:kern w:val="0"/>
                <w:sz w:val="22"/>
              </w:rPr>
              <w:t>质量要求</w:t>
            </w:r>
          </w:p>
        </w:tc>
        <w:tc>
          <w:tcPr>
            <w:tcW w:w="6487" w:type="dxa"/>
            <w:vAlign w:val="center"/>
          </w:tcPr>
          <w:p>
            <w:pPr>
              <w:autoSpaceDE w:val="0"/>
              <w:autoSpaceDN w:val="0"/>
              <w:adjustRightInd w:val="0"/>
              <w:snapToGrid w:val="0"/>
              <w:rPr>
                <w:rFonts w:asciiTheme="minorEastAsia" w:hAnsiTheme="minorEastAsia"/>
                <w:color w:val="000000"/>
                <w:sz w:val="22"/>
              </w:rPr>
            </w:pPr>
            <w:r>
              <w:rPr>
                <w:rFonts w:hint="eastAsia" w:hAnsi="宋体" w:cs="宋体"/>
                <w:sz w:val="22"/>
              </w:rPr>
              <w:t>符合合同要求且一次验收合格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1.</w:t>
            </w:r>
            <w:r>
              <w:rPr>
                <w:rFonts w:hint="eastAsia" w:cs="Calibri" w:asciiTheme="minorEastAsia" w:hAnsiTheme="minorEastAsia"/>
                <w:kern w:val="0"/>
                <w:sz w:val="22"/>
              </w:rPr>
              <w:t>9</w:t>
            </w:r>
            <w:r>
              <w:rPr>
                <w:rFonts w:cs="Calibri" w:asciiTheme="minorEastAsia" w:hAnsiTheme="minorEastAsia"/>
                <w:kern w:val="0"/>
                <w:sz w:val="22"/>
              </w:rPr>
              <w:t>.1</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踏勘现场</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□不组织</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sym w:font="Wingdings" w:char="F0FE"/>
            </w:r>
            <w:r>
              <w:rPr>
                <w:rFonts w:cs="Calibri" w:asciiTheme="minorEastAsia" w:hAnsiTheme="minorEastAsia"/>
                <w:kern w:val="0"/>
                <w:sz w:val="22"/>
              </w:rPr>
              <w:t>组织，踏勘时间：</w:t>
            </w:r>
            <w:r>
              <w:rPr>
                <w:rFonts w:hint="eastAsia" w:cs="Calibri" w:asciiTheme="minorEastAsia" w:hAnsiTheme="minorEastAsia"/>
                <w:kern w:val="0"/>
                <w:sz w:val="22"/>
              </w:rPr>
              <w:t>2019年11月28日  上午</w:t>
            </w:r>
            <w:r>
              <w:rPr>
                <w:rFonts w:cs="Calibri" w:asciiTheme="minorEastAsia" w:hAnsiTheme="minorEastAsia"/>
                <w:kern w:val="0"/>
                <w:sz w:val="22"/>
              </w:rPr>
              <w:t>9</w:t>
            </w:r>
            <w:r>
              <w:rPr>
                <w:rFonts w:hint="eastAsia" w:cs="Calibri" w:asciiTheme="minorEastAsia" w:hAnsiTheme="minorEastAsia"/>
                <w:kern w:val="0"/>
                <w:sz w:val="22"/>
              </w:rPr>
              <w:t>:30点</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踏勘集中地点：</w:t>
            </w:r>
            <w:r>
              <w:rPr>
                <w:rFonts w:hint="eastAsia" w:cs="Calibri" w:asciiTheme="minorEastAsia" w:hAnsiTheme="minorEastAsia"/>
                <w:kern w:val="0"/>
                <w:sz w:val="22"/>
              </w:rPr>
              <w:t>杭州萧山机场内药品仓储基地</w:t>
            </w:r>
            <w:r>
              <w:rPr>
                <w:rFonts w:cs="Calibri" w:asciiTheme="minorEastAsia" w:hAnsiTheme="minorEastAsia"/>
                <w:kern w:val="0"/>
                <w:sz w:val="22"/>
              </w:rPr>
              <w:t xml:space="preserve"> </w:t>
            </w:r>
          </w:p>
          <w:p>
            <w:pPr>
              <w:rPr>
                <w:rFonts w:ascii="宋体" w:hAnsi="宋体" w:cs="宋体"/>
                <w:sz w:val="22"/>
              </w:rPr>
            </w:pPr>
            <w:r>
              <w:rPr>
                <w:rFonts w:hint="eastAsia" w:ascii="宋体" w:hAnsi="宋体" w:cs="宋体"/>
                <w:sz w:val="22"/>
              </w:rPr>
              <w:t>联系人：王建坤       0571-</w:t>
            </w:r>
            <w:r>
              <w:rPr>
                <w:rFonts w:ascii="宋体" w:hAnsi="宋体" w:cs="宋体"/>
                <w:sz w:val="22"/>
              </w:rPr>
              <w:t>8</w:t>
            </w:r>
            <w:r>
              <w:rPr>
                <w:rFonts w:hint="eastAsia" w:ascii="宋体" w:hAnsi="宋体" w:cs="宋体"/>
                <w:sz w:val="22"/>
              </w:rPr>
              <w:t>6665003</w:t>
            </w:r>
          </w:p>
          <w:p>
            <w:pPr>
              <w:autoSpaceDE w:val="0"/>
              <w:autoSpaceDN w:val="0"/>
              <w:adjustRightInd w:val="0"/>
              <w:snapToGrid w:val="0"/>
              <w:rPr>
                <w:rFonts w:cs="Calibri" w:asciiTheme="minorEastAsia" w:hAnsiTheme="minorEastAsia"/>
                <w:kern w:val="0"/>
                <w:sz w:val="22"/>
              </w:rPr>
            </w:pPr>
            <w:r>
              <w:rPr>
                <w:rFonts w:hint="eastAsia" w:ascii="宋体" w:hAnsi="宋体" w:cs="Arial"/>
                <w:sz w:val="22"/>
              </w:rPr>
              <w:t>（</w:t>
            </w:r>
            <w:r>
              <w:rPr>
                <w:rFonts w:hint="eastAsia" w:ascii="宋体" w:hAnsi="宋体" w:cs="Arial"/>
                <w:b/>
                <w:sz w:val="22"/>
              </w:rPr>
              <w:t>由于未参加现场踏勘引起的报价失误等责任由投标人自负</w:t>
            </w:r>
            <w:r>
              <w:rPr>
                <w:rFonts w:hint="eastAsia" w:ascii="宋体" w:hAnsi="宋体" w:cs="Arial"/>
                <w:sz w:val="22"/>
              </w:rPr>
              <w:t>）</w:t>
            </w:r>
            <w:r>
              <w:rPr>
                <w:rFonts w:cs="Calibri" w:asciiTheme="minorEastAsia" w:hAnsiTheme="minorEastAsia"/>
                <w:kern w:val="0"/>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1.</w:t>
            </w:r>
            <w:r>
              <w:rPr>
                <w:rFonts w:hint="eastAsia" w:cs="Calibri" w:asciiTheme="minorEastAsia" w:hAnsiTheme="minorEastAsia"/>
                <w:kern w:val="0"/>
                <w:sz w:val="22"/>
              </w:rPr>
              <w:t>10</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投标预备会</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sym w:font="Wingdings" w:char="F0FE"/>
            </w:r>
            <w:r>
              <w:rPr>
                <w:rFonts w:cs="Calibri" w:asciiTheme="minorEastAsia" w:hAnsiTheme="minorEastAsia"/>
                <w:kern w:val="0"/>
                <w:sz w:val="22"/>
              </w:rPr>
              <w:t>不召开</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□召开，召开时间：</w:t>
            </w:r>
            <w:r>
              <w:rPr>
                <w:rFonts w:hint="eastAsia" w:cs="Calibri" w:asciiTheme="minorEastAsia" w:hAnsiTheme="minorEastAsia"/>
                <w:kern w:val="0"/>
                <w:sz w:val="22"/>
              </w:rPr>
              <w:t xml:space="preserve">  年 月  日 上午 </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召开地点：</w:t>
            </w:r>
          </w:p>
          <w:p>
            <w:pPr>
              <w:autoSpaceDE w:val="0"/>
              <w:autoSpaceDN w:val="0"/>
              <w:adjustRightInd w:val="0"/>
              <w:snapToGrid w:val="0"/>
              <w:rPr>
                <w:rFonts w:cs="Calibri" w:asciiTheme="minorEastAsia" w:hAnsiTheme="minorEastAsia"/>
                <w:kern w:val="0"/>
                <w:sz w:val="22"/>
              </w:rPr>
            </w:pPr>
            <w:r>
              <w:rPr>
                <w:rFonts w:hint="eastAsia" w:cs="Calibri" w:asciiTheme="minorEastAsia" w:hAnsiTheme="minorEastAsia"/>
                <w:kern w:val="0"/>
                <w:sz w:val="22"/>
              </w:rPr>
              <w:t>要求：意向投标者必须参加</w:t>
            </w:r>
          </w:p>
          <w:p>
            <w:pPr>
              <w:autoSpaceDE w:val="0"/>
              <w:autoSpaceDN w:val="0"/>
              <w:adjustRightInd w:val="0"/>
              <w:snapToGrid w:val="0"/>
              <w:rPr>
                <w:rFonts w:cs="Calibri" w:asciiTheme="minorEastAsia" w:hAnsiTheme="minorEastAsia"/>
                <w:kern w:val="0"/>
                <w:sz w:val="22"/>
              </w:rPr>
            </w:pPr>
            <w:r>
              <w:rPr>
                <w:rFonts w:hint="eastAsia" w:ascii="宋体" w:hAnsi="宋体" w:cs="Arial"/>
                <w:sz w:val="22"/>
              </w:rPr>
              <w:t>（</w:t>
            </w:r>
            <w:r>
              <w:rPr>
                <w:rFonts w:hint="eastAsia" w:ascii="宋体" w:hAnsi="宋体" w:cs="Arial"/>
                <w:b/>
                <w:sz w:val="22"/>
              </w:rPr>
              <w:t>由于未参加投标预备会引起的报价失误等责任由投标人自负</w:t>
            </w:r>
            <w:r>
              <w:rPr>
                <w:rFonts w:hint="eastAsia" w:ascii="宋体" w:hAnsi="宋体" w:cs="Arial"/>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201</w:t>
            </w:r>
            <w:r>
              <w:rPr>
                <w:rFonts w:hint="eastAsia" w:cs="Calibri" w:asciiTheme="minorEastAsia" w:hAnsiTheme="minorEastAsia"/>
                <w:kern w:val="0"/>
                <w:sz w:val="22"/>
              </w:rPr>
              <w:t>9</w:t>
            </w:r>
            <w:r>
              <w:rPr>
                <w:rFonts w:cs="Calibri" w:asciiTheme="minorEastAsia" w:hAnsiTheme="minorEastAsia"/>
                <w:kern w:val="0"/>
                <w:sz w:val="22"/>
              </w:rPr>
              <w:t>年</w:t>
            </w:r>
            <w:r>
              <w:rPr>
                <w:rFonts w:hint="eastAsia" w:cs="Calibri" w:asciiTheme="minorEastAsia" w:hAnsiTheme="minorEastAsia"/>
                <w:kern w:val="0"/>
                <w:sz w:val="22"/>
              </w:rPr>
              <w:t>11</w:t>
            </w:r>
            <w:r>
              <w:rPr>
                <w:rFonts w:cs="Calibri" w:asciiTheme="minorEastAsia" w:hAnsiTheme="minorEastAsia"/>
                <w:kern w:val="0"/>
                <w:sz w:val="22"/>
              </w:rPr>
              <w:t>月</w:t>
            </w:r>
            <w:r>
              <w:rPr>
                <w:rFonts w:hint="eastAsia" w:cs="Calibri" w:asciiTheme="minorEastAsia" w:hAnsiTheme="minorEastAsia"/>
                <w:kern w:val="0"/>
                <w:sz w:val="22"/>
              </w:rPr>
              <w:t>29</w:t>
            </w:r>
            <w:r>
              <w:rPr>
                <w:rFonts w:cs="Calibri" w:asciiTheme="minorEastAsia" w:hAnsiTheme="minorEastAsia"/>
                <w:kern w:val="0"/>
                <w:sz w:val="22"/>
              </w:rPr>
              <w:t>日16：30前，以E-mail及书面（传真）形式提交给招标</w:t>
            </w:r>
            <w:r>
              <w:rPr>
                <w:rFonts w:hint="eastAsia" w:cs="Calibri" w:asciiTheme="minorEastAsia" w:hAnsiTheme="minorEastAsia"/>
                <w:kern w:val="0"/>
                <w:sz w:val="22"/>
              </w:rPr>
              <w:t>人</w:t>
            </w:r>
            <w:r>
              <w:rPr>
                <w:rFonts w:cs="Calibri" w:asciiTheme="minorEastAsia" w:hAnsiTheme="minorEastAsia"/>
                <w:kern w:val="0"/>
                <w:sz w:val="22"/>
              </w:rPr>
              <w:t>（邮箱：317716755</w:t>
            </w:r>
            <w:r>
              <w:rPr>
                <w:rFonts w:hint="eastAsia" w:cs="Calibri" w:asciiTheme="minorEastAsia" w:hAnsiTheme="minorEastAsia"/>
                <w:kern w:val="0"/>
                <w:sz w:val="22"/>
              </w:rPr>
              <w:t>@qq.com</w:t>
            </w:r>
            <w:r>
              <w:rPr>
                <w:rFonts w:cs="Calibri" w:asciiTheme="minorEastAsia" w:hAnsiTheme="minorEastAsia"/>
                <w:kern w:val="0"/>
                <w:sz w:val="22"/>
              </w:rPr>
              <w:t>，联系人：</w:t>
            </w:r>
            <w:r>
              <w:rPr>
                <w:rFonts w:hint="eastAsia" w:cs="Calibri" w:asciiTheme="minorEastAsia" w:hAnsiTheme="minorEastAsia"/>
                <w:kern w:val="0"/>
                <w:sz w:val="22"/>
              </w:rPr>
              <w:t>王建坤</w:t>
            </w:r>
            <w:r>
              <w:rPr>
                <w:rFonts w:cs="Calibri" w:asciiTheme="minorEastAsia" w:hAnsiTheme="minorEastAsia"/>
                <w:kern w:val="0"/>
                <w:sz w:val="22"/>
              </w:rPr>
              <w:t>）投标人必须在规定时间前提出对招标文件的疑问，否则招标人有权拒绝接收和拒绝回答未在截止时间前提出的疑问。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cs="Calibri" w:asciiTheme="minorEastAsia" w:hAnsiTheme="minorEastAsia"/>
                <w:b/>
                <w:kern w:val="0"/>
                <w:sz w:val="22"/>
              </w:rPr>
            </w:pPr>
            <w:r>
              <w:rPr>
                <w:rFonts w:hint="eastAsia" w:cs="Arial" w:asciiTheme="minorEastAsia" w:hAnsiTheme="minorEastAsia"/>
                <w:kern w:val="0"/>
                <w:sz w:val="22"/>
              </w:rPr>
              <w:t>2019年12月</w:t>
            </w:r>
            <w:r>
              <w:rPr>
                <w:rFonts w:hint="eastAsia" w:cs="Arial" w:asciiTheme="minorEastAsia" w:hAnsiTheme="minorEastAsia"/>
                <w:kern w:val="0"/>
                <w:sz w:val="22"/>
                <w:lang w:val="en-US" w:eastAsia="zh-CN"/>
              </w:rPr>
              <w:t>6</w:t>
            </w:r>
            <w:r>
              <w:rPr>
                <w:rFonts w:hint="eastAsia" w:cs="Arial" w:asciiTheme="minorEastAsia" w:hAnsiTheme="minorEastAsia"/>
                <w:kern w:val="0"/>
                <w:sz w:val="22"/>
              </w:rPr>
              <w:t>日上午9时00分（北京时间）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w:t>
            </w:r>
            <w:bookmarkStart w:id="3" w:name="_Toc236586447"/>
            <w:bookmarkStart w:id="4" w:name="_Toc226175287"/>
            <w:r>
              <w:rPr>
                <w:rFonts w:hint="eastAsia" w:ascii="宋体" w:hAnsi="宋体" w:cs="Calibri"/>
                <w:kern w:val="0"/>
                <w:sz w:val="22"/>
              </w:rPr>
              <w:t>对招标文件的修改将以补充公告的形式发布，所有获得招标文件的投标人应自行关注网站公告，招标人不再一一通知。投标人因自身贻误行为导致投标失败的，责任自负。</w:t>
            </w:r>
            <w:bookmarkEnd w:id="3"/>
            <w:bookmarkEnd w:id="4"/>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rPr>
            </w:pPr>
            <w:r>
              <w:rPr>
                <w:rFonts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b/>
                <w:kern w:val="0"/>
                <w:sz w:val="22"/>
              </w:rPr>
              <w:t>投标文件封面（或扉页）、投标函以及各类报价表</w:t>
            </w:r>
            <w:r>
              <w:rPr>
                <w:rFonts w:cs="Calibri" w:asciiTheme="minorEastAsia" w:hAnsiTheme="minorEastAsia"/>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w:t>
            </w:r>
            <w:r>
              <w:rPr>
                <w:rFonts w:hint="eastAsia" w:ascii="宋体" w:hAnsi="宋体" w:cs="Calibri"/>
                <w:kern w:val="0"/>
                <w:sz w:val="22"/>
                <w:u w:val="single"/>
              </w:rPr>
              <w:t>等</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招标人的地址：</w:t>
            </w:r>
            <w:r>
              <w:rPr>
                <w:rFonts w:hint="eastAsia" w:asciiTheme="minorEastAsia" w:hAnsiTheme="minorEastAsia"/>
                <w:sz w:val="22"/>
                <w:u w:val="single"/>
              </w:rPr>
              <w:t>杭州萧山国际机场内</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招标人名称：</w:t>
            </w:r>
            <w:r>
              <w:rPr>
                <w:rFonts w:hint="eastAsia" w:cs="Calibri" w:asciiTheme="minorEastAsia" w:hAnsiTheme="minorEastAsia"/>
                <w:kern w:val="0"/>
                <w:sz w:val="22"/>
                <w:u w:val="single"/>
              </w:rPr>
              <w:t>浙江航空开发有限责任公司</w:t>
            </w:r>
          </w:p>
          <w:p>
            <w:pPr>
              <w:autoSpaceDE w:val="0"/>
              <w:autoSpaceDN w:val="0"/>
              <w:adjustRightInd w:val="0"/>
              <w:snapToGrid w:val="0"/>
              <w:rPr>
                <w:rFonts w:cs="Calibri" w:asciiTheme="minorEastAsia" w:hAnsiTheme="minorEastAsia"/>
                <w:kern w:val="0"/>
                <w:sz w:val="22"/>
              </w:rPr>
            </w:pPr>
            <w:r>
              <w:rPr>
                <w:rFonts w:hint="eastAsia" w:cs="宋体" w:asciiTheme="minorEastAsia" w:hAnsiTheme="minorEastAsia"/>
                <w:sz w:val="22"/>
              </w:rPr>
              <w:t>项目名称：</w:t>
            </w:r>
            <w:r>
              <w:rPr>
                <w:rFonts w:hint="eastAsia" w:asciiTheme="minorEastAsia" w:hAnsiTheme="minorEastAsia"/>
                <w:bCs/>
                <w:sz w:val="22"/>
                <w:u w:val="single"/>
              </w:rPr>
              <w:t>药品仓储基地3#库屋面维修项目</w:t>
            </w:r>
            <w:r>
              <w:rPr>
                <w:rFonts w:hint="eastAsia" w:cs="宋体" w:asciiTheme="minorEastAsia" w:hAnsiTheme="minorEastAsia"/>
                <w:sz w:val="22"/>
              </w:rPr>
              <w:t>投标文件</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在</w:t>
            </w:r>
            <w:r>
              <w:rPr>
                <w:rFonts w:cs="Calibri" w:asciiTheme="minorEastAsia" w:hAnsiTheme="minorEastAsia"/>
                <w:kern w:val="0"/>
                <w:sz w:val="22"/>
                <w:u w:val="single"/>
              </w:rPr>
              <w:t xml:space="preserve">     </w:t>
            </w:r>
            <w:r>
              <w:rPr>
                <w:rFonts w:cs="Calibri" w:asciiTheme="minorEastAsia" w:hAnsiTheme="minorEastAsia"/>
                <w:kern w:val="0"/>
                <w:sz w:val="22"/>
              </w:rPr>
              <w:t>年</w:t>
            </w:r>
            <w:r>
              <w:rPr>
                <w:rFonts w:cs="Calibri" w:asciiTheme="minorEastAsia" w:hAnsiTheme="minorEastAsia"/>
                <w:kern w:val="0"/>
                <w:sz w:val="22"/>
                <w:u w:val="single"/>
              </w:rPr>
              <w:t xml:space="preserve">  </w:t>
            </w:r>
            <w:r>
              <w:rPr>
                <w:rFonts w:cs="Calibri" w:asciiTheme="minorEastAsia" w:hAnsiTheme="minorEastAsia"/>
                <w:kern w:val="0"/>
                <w:sz w:val="22"/>
              </w:rPr>
              <w:t>月</w:t>
            </w:r>
            <w:r>
              <w:rPr>
                <w:rFonts w:cs="Calibri" w:asciiTheme="minorEastAsia" w:hAnsiTheme="minorEastAsia"/>
                <w:kern w:val="0"/>
                <w:sz w:val="22"/>
                <w:u w:val="single"/>
              </w:rPr>
              <w:t xml:space="preserve">  </w:t>
            </w:r>
            <w:r>
              <w:rPr>
                <w:rFonts w:cs="Calibri" w:asciiTheme="minorEastAsia" w:hAnsiTheme="minorEastAsia"/>
                <w:kern w:val="0"/>
                <w:sz w:val="22"/>
              </w:rPr>
              <w:t>日</w:t>
            </w:r>
            <w:r>
              <w:rPr>
                <w:rFonts w:cs="Calibri" w:asciiTheme="minorEastAsia" w:hAnsiTheme="minorEastAsia"/>
                <w:kern w:val="0"/>
                <w:sz w:val="22"/>
                <w:u w:val="single"/>
              </w:rPr>
              <w:t xml:space="preserve">  </w:t>
            </w:r>
            <w:r>
              <w:rPr>
                <w:rFonts w:cs="Calibri" w:asciiTheme="minorEastAsia" w:hAnsiTheme="minorEastAsia"/>
                <w:kern w:val="0"/>
                <w:sz w:val="22"/>
              </w:rPr>
              <w:t>时</w:t>
            </w:r>
            <w:r>
              <w:rPr>
                <w:rFonts w:cs="Calibri" w:asciiTheme="minorEastAsia" w:hAnsiTheme="minorEastAsia"/>
                <w:kern w:val="0"/>
                <w:sz w:val="22"/>
                <w:u w:val="single"/>
              </w:rPr>
              <w:t xml:space="preserve">  </w:t>
            </w:r>
            <w:r>
              <w:rPr>
                <w:rFonts w:cs="Calibri" w:asciiTheme="minorEastAsia" w:hAnsiTheme="minorEastAsia"/>
                <w:kern w:val="0"/>
                <w:sz w:val="22"/>
              </w:rPr>
              <w:t>分（即开标时间）前不得开启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cs="Calibri" w:asciiTheme="minorEastAsia" w:hAnsiTheme="minorEastAsia"/>
                <w:kern w:val="0"/>
                <w:sz w:val="22"/>
              </w:rPr>
            </w:pPr>
            <w:r>
              <w:rPr>
                <w:rFonts w:hint="eastAsia" w:asciiTheme="minorEastAsia" w:hAnsiTheme="minorEastAsia"/>
                <w:b/>
                <w:sz w:val="22"/>
              </w:rPr>
              <w:t>杭州萧山国际机场航空货站A区A1223室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（1）密封情况检查：由投标人或者其集体推选的代表检查投标文件的密封情况。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（2）开标顺序：按照后送达先开的顺序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评标委员会构成</w:t>
            </w:r>
            <w:r>
              <w:rPr>
                <w:rFonts w:hint="eastAsia" w:cs="Calibri" w:asciiTheme="minorEastAsia" w:hAnsiTheme="minorEastAsia"/>
                <w:kern w:val="0"/>
                <w:sz w:val="22"/>
              </w:rPr>
              <w:t>：3</w:t>
            </w:r>
            <w:r>
              <w:rPr>
                <w:rFonts w:hint="eastAsia" w:asciiTheme="minorEastAsia" w:hAnsiTheme="minorEastAsia"/>
                <w:sz w:val="22"/>
              </w:rPr>
              <w:t>人及以上单数</w:t>
            </w:r>
          </w:p>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评标专家确定方式：评标委员会成员招标人自行组建。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w:t>
            </w:r>
            <w:r>
              <w:rPr>
                <w:rFonts w:hint="eastAsia" w:ascii="宋体" w:hAnsi="宋体" w:cs="Calibri"/>
                <w:kern w:val="0"/>
                <w:sz w:val="22"/>
              </w:rPr>
              <w:t>2</w:t>
            </w:r>
            <w:r>
              <w:rPr>
                <w:rFonts w:ascii="宋体" w:hAnsi="宋体" w:cs="Calibri"/>
                <w:kern w:val="0"/>
                <w:sz w:val="22"/>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设计</w:t>
            </w:r>
            <w:r>
              <w:rPr>
                <w:rFonts w:ascii="宋体" w:hAnsi="宋体" w:cs="Calibri"/>
                <w:kern w:val="0"/>
                <w:sz w:val="22"/>
              </w:rPr>
              <w:t>费、履约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的形式：</w:t>
            </w:r>
            <w:r>
              <w:rPr>
                <w:rFonts w:hint="eastAsia" w:ascii="宋体" w:hAnsi="宋体"/>
                <w:sz w:val="22"/>
              </w:rPr>
              <w:t>支票、银行汇票或电汇</w:t>
            </w:r>
          </w:p>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的金额：</w:t>
            </w: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w:t>
            </w:r>
            <w:r>
              <w:rPr>
                <w:rFonts w:ascii="宋体" w:hAnsi="宋体" w:cs="Calibri"/>
                <w:kern w:val="0"/>
                <w:sz w:val="22"/>
              </w:rPr>
              <w:t>1</w:t>
            </w:r>
          </w:p>
        </w:tc>
        <w:tc>
          <w:tcPr>
            <w:tcW w:w="2004" w:type="dxa"/>
            <w:shd w:val="clear" w:color="auto" w:fill="auto"/>
            <w:vAlign w:val="center"/>
          </w:tcPr>
          <w:p>
            <w:pPr>
              <w:pStyle w:val="47"/>
              <w:rPr>
                <w:rFonts w:cs="Calibri" w:asciiTheme="minorEastAsia" w:hAnsiTheme="minorEastAsia" w:eastAsiaTheme="minorEastAsia"/>
                <w:sz w:val="22"/>
                <w:szCs w:val="22"/>
              </w:rPr>
            </w:pPr>
            <w:r>
              <w:rPr>
                <w:rFonts w:cs="Calibri" w:asciiTheme="minorEastAsia" w:hAnsiTheme="minorEastAsia" w:eastAsiaTheme="minorEastAsia"/>
                <w:sz w:val="22"/>
                <w:szCs w:val="22"/>
              </w:rPr>
              <w:t>其他</w:t>
            </w:r>
          </w:p>
        </w:tc>
        <w:tc>
          <w:tcPr>
            <w:tcW w:w="6487" w:type="dxa"/>
            <w:shd w:val="clear" w:color="auto" w:fill="FFFFFF"/>
            <w:vAlign w:val="center"/>
          </w:tcPr>
          <w:p>
            <w:pPr>
              <w:adjustRightInd w:val="0"/>
              <w:snapToGrid w:val="0"/>
              <w:rPr>
                <w:rFonts w:cs="Calibri" w:asciiTheme="minorEastAsia" w:hAnsiTheme="minorEastAsia"/>
                <w:snapToGrid w:val="0"/>
                <w:kern w:val="0"/>
                <w:sz w:val="22"/>
              </w:rPr>
            </w:pPr>
            <w:r>
              <w:rPr>
                <w:rFonts w:cs="Calibri" w:asciiTheme="minorEastAsia" w:hAnsiTheme="minorEastAsia"/>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cs="Calibri" w:asciiTheme="minorEastAsia" w:hAnsiTheme="minorEastAsia"/>
                <w:snapToGrid w:val="0"/>
                <w:kern w:val="0"/>
                <w:sz w:val="22"/>
              </w:rPr>
            </w:pPr>
            <w:r>
              <w:rPr>
                <w:rFonts w:cs="Calibri" w:asciiTheme="minorEastAsia" w:hAnsiTheme="minorEastAsia"/>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w:t>
            </w:r>
            <w:r>
              <w:rPr>
                <w:rFonts w:ascii="宋体" w:hAnsi="宋体" w:cs="Calibri"/>
                <w:kern w:val="0"/>
                <w:sz w:val="22"/>
              </w:rPr>
              <w:t>2</w:t>
            </w:r>
          </w:p>
        </w:tc>
        <w:tc>
          <w:tcPr>
            <w:tcW w:w="2004" w:type="dxa"/>
            <w:shd w:val="clear" w:color="auto" w:fill="auto"/>
            <w:vAlign w:val="center"/>
          </w:tcPr>
          <w:p>
            <w:pPr>
              <w:pStyle w:val="47"/>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pPr>
        <w:autoSpaceDE w:val="0"/>
        <w:autoSpaceDN w:val="0"/>
        <w:adjustRightInd w:val="0"/>
        <w:snapToGrid w:val="0"/>
        <w:spacing w:line="400" w:lineRule="exact"/>
        <w:rPr>
          <w:b/>
        </w:rPr>
      </w:pPr>
      <w:bookmarkStart w:id="5" w:name="_Toc26216"/>
    </w:p>
    <w:p>
      <w:pPr>
        <w:autoSpaceDE w:val="0"/>
        <w:autoSpaceDN w:val="0"/>
        <w:adjustRightInd w:val="0"/>
        <w:snapToGrid w:val="0"/>
        <w:spacing w:line="360" w:lineRule="exact"/>
        <w:rPr>
          <w:rFonts w:cs="Calibri" w:asciiTheme="minorEastAsia" w:hAnsiTheme="minorEastAsia"/>
          <w:b/>
          <w:bCs/>
          <w:kern w:val="0"/>
          <w:sz w:val="22"/>
        </w:rPr>
      </w:pPr>
      <w:r>
        <w:rPr>
          <w:b/>
        </w:rPr>
        <w:br w:type="page"/>
      </w:r>
      <w:bookmarkEnd w:id="5"/>
      <w:r>
        <w:rPr>
          <w:rFonts w:cs="Calibri" w:asciiTheme="minorEastAsia" w:hAnsiTheme="minorEastAsia"/>
          <w:b/>
          <w:bCs/>
          <w:kern w:val="0"/>
          <w:sz w:val="22"/>
        </w:rPr>
        <w:t>1.</w:t>
      </w:r>
      <w:r>
        <w:rPr>
          <w:rFonts w:hint="eastAsia" w:cs="Calibri" w:asciiTheme="minorEastAsia" w:hAnsiTheme="minorEastAsia"/>
          <w:b/>
          <w:bCs/>
          <w:kern w:val="0"/>
          <w:sz w:val="22"/>
        </w:rPr>
        <w:t xml:space="preserve"> </w:t>
      </w:r>
      <w:r>
        <w:rPr>
          <w:rFonts w:cs="Calibri" w:asciiTheme="minorEastAsia" w:hAnsiTheme="minorEastAsia"/>
          <w:b/>
          <w:bCs/>
          <w:kern w:val="0"/>
          <w:sz w:val="22"/>
        </w:rPr>
        <w:t>总则</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1.1 项目概况</w:t>
      </w:r>
    </w:p>
    <w:p>
      <w:pPr>
        <w:adjustRightInd w:val="0"/>
        <w:snapToGrid w:val="0"/>
        <w:spacing w:line="360" w:lineRule="exact"/>
        <w:ind w:firstLine="440"/>
        <w:rPr>
          <w:rFonts w:cs="Calibri" w:asciiTheme="minorEastAsia" w:hAnsiTheme="minorEastAsia"/>
          <w:color w:val="000000"/>
          <w:kern w:val="0"/>
          <w:sz w:val="22"/>
        </w:rPr>
      </w:pPr>
      <w:r>
        <w:rPr>
          <w:rFonts w:cs="Calibri" w:asciiTheme="minorEastAsia" w:hAnsiTheme="minorEastAsia"/>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1.1.2项目建设地点见投标人须知前附表</w:t>
      </w:r>
      <w:r>
        <w:rPr>
          <w:rFonts w:cs="Calibri" w:asciiTheme="minorEastAsia" w:hAnsiTheme="minorEastAsia"/>
          <w:color w:val="000000"/>
          <w:sz w:val="22"/>
        </w:rPr>
        <w:t>。</w:t>
      </w:r>
    </w:p>
    <w:p>
      <w:pPr>
        <w:autoSpaceDE w:val="0"/>
        <w:autoSpaceDN w:val="0"/>
        <w:adjustRightInd w:val="0"/>
        <w:snapToGrid w:val="0"/>
        <w:spacing w:line="360" w:lineRule="exact"/>
        <w:rPr>
          <w:rFonts w:cs="Calibri" w:asciiTheme="minorEastAsia" w:hAnsiTheme="minorEastAsia"/>
          <w:b/>
          <w:bCs/>
          <w:kern w:val="0"/>
          <w:sz w:val="22"/>
        </w:rPr>
      </w:pPr>
      <w:bookmarkStart w:id="6" w:name="_Toc9136"/>
      <w:r>
        <w:rPr>
          <w:rFonts w:cs="Calibri" w:asciiTheme="minorEastAsia" w:hAnsiTheme="minorEastAsia"/>
          <w:b/>
          <w:bCs/>
          <w:kern w:val="0"/>
          <w:sz w:val="22"/>
        </w:rPr>
        <w:t>1.</w:t>
      </w:r>
      <w:r>
        <w:rPr>
          <w:rFonts w:hint="eastAsia" w:cs="Calibri" w:asciiTheme="minorEastAsia" w:hAnsiTheme="minorEastAsia"/>
          <w:b/>
          <w:bCs/>
          <w:kern w:val="0"/>
          <w:sz w:val="22"/>
        </w:rPr>
        <w:t>2</w:t>
      </w:r>
      <w:r>
        <w:rPr>
          <w:rFonts w:cs="Calibri" w:asciiTheme="minorEastAsia" w:hAnsiTheme="minorEastAsia"/>
          <w:b/>
          <w:bCs/>
          <w:kern w:val="0"/>
          <w:sz w:val="22"/>
        </w:rPr>
        <w:t xml:space="preserve"> 资金来源</w:t>
      </w:r>
      <w:bookmarkEnd w:id="6"/>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7" w:name="_Toc10673"/>
      <w:r>
        <w:rPr>
          <w:rFonts w:cs="Calibri" w:asciiTheme="minorEastAsia" w:hAnsiTheme="minorEastAsia"/>
          <w:b/>
          <w:bCs/>
          <w:kern w:val="0"/>
          <w:sz w:val="22"/>
        </w:rPr>
        <w:t>1.</w:t>
      </w:r>
      <w:r>
        <w:rPr>
          <w:rFonts w:hint="eastAsia" w:cs="Calibri" w:asciiTheme="minorEastAsia" w:hAnsiTheme="minorEastAsia"/>
          <w:b/>
          <w:bCs/>
          <w:kern w:val="0"/>
          <w:sz w:val="22"/>
        </w:rPr>
        <w:t>3</w:t>
      </w:r>
      <w:r>
        <w:rPr>
          <w:rFonts w:cs="Calibri" w:asciiTheme="minorEastAsia" w:hAnsiTheme="minorEastAsia"/>
          <w:b/>
          <w:bCs/>
          <w:kern w:val="0"/>
          <w:sz w:val="22"/>
        </w:rPr>
        <w:t xml:space="preserve"> 招标</w:t>
      </w:r>
      <w:bookmarkEnd w:id="7"/>
      <w:r>
        <w:rPr>
          <w:rFonts w:hint="eastAsia" w:cs="Calibri" w:asciiTheme="minorEastAsia" w:hAnsiTheme="minorEastAsia"/>
          <w:b/>
          <w:bCs/>
          <w:kern w:val="0"/>
          <w:sz w:val="22"/>
        </w:rPr>
        <w:t>内容</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8" w:name="_Toc718"/>
      <w:r>
        <w:rPr>
          <w:rFonts w:cs="Calibri" w:asciiTheme="minorEastAsia" w:hAnsiTheme="minorEastAsia"/>
          <w:b/>
          <w:bCs/>
          <w:kern w:val="0"/>
          <w:sz w:val="22"/>
        </w:rPr>
        <w:t>1.</w:t>
      </w:r>
      <w:r>
        <w:rPr>
          <w:rFonts w:hint="eastAsia" w:cs="Calibri" w:asciiTheme="minorEastAsia" w:hAnsiTheme="minorEastAsia"/>
          <w:b/>
          <w:bCs/>
          <w:kern w:val="0"/>
          <w:sz w:val="22"/>
        </w:rPr>
        <w:t>4</w:t>
      </w:r>
      <w:r>
        <w:rPr>
          <w:rFonts w:cs="Calibri" w:asciiTheme="minorEastAsia" w:hAnsiTheme="minorEastAsia"/>
          <w:b/>
          <w:bCs/>
          <w:kern w:val="0"/>
          <w:sz w:val="22"/>
        </w:rPr>
        <w:t xml:space="preserve"> 招标方式</w:t>
      </w:r>
      <w:bookmarkEnd w:id="8"/>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9" w:name="_Toc9161"/>
      <w:r>
        <w:rPr>
          <w:rFonts w:cs="Calibri" w:asciiTheme="minorEastAsia" w:hAnsiTheme="minorEastAsia"/>
          <w:b/>
          <w:bCs/>
          <w:kern w:val="0"/>
          <w:sz w:val="22"/>
        </w:rPr>
        <w:t>1.</w:t>
      </w:r>
      <w:r>
        <w:rPr>
          <w:rFonts w:hint="eastAsia" w:cs="Calibri" w:asciiTheme="minorEastAsia" w:hAnsiTheme="minorEastAsia"/>
          <w:b/>
          <w:bCs/>
          <w:kern w:val="0"/>
          <w:sz w:val="22"/>
        </w:rPr>
        <w:t xml:space="preserve">5 </w:t>
      </w:r>
      <w:r>
        <w:rPr>
          <w:rFonts w:cs="Calibri" w:asciiTheme="minorEastAsia" w:hAnsiTheme="minorEastAsia"/>
          <w:b/>
          <w:bCs/>
          <w:kern w:val="0"/>
          <w:sz w:val="22"/>
        </w:rPr>
        <w:t>资格审查</w:t>
      </w:r>
      <w:bookmarkEnd w:id="9"/>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10" w:name="_Toc13012"/>
      <w:r>
        <w:rPr>
          <w:rFonts w:cs="Calibri" w:asciiTheme="minorEastAsia" w:hAnsiTheme="minorEastAsia"/>
          <w:b/>
          <w:bCs/>
          <w:kern w:val="0"/>
          <w:sz w:val="22"/>
        </w:rPr>
        <w:t>1.</w:t>
      </w:r>
      <w:r>
        <w:rPr>
          <w:rFonts w:hint="eastAsia" w:cs="Calibri" w:asciiTheme="minorEastAsia" w:hAnsiTheme="minorEastAsia"/>
          <w:b/>
          <w:bCs/>
          <w:kern w:val="0"/>
          <w:sz w:val="22"/>
        </w:rPr>
        <w:t>6</w:t>
      </w:r>
      <w:r>
        <w:rPr>
          <w:rFonts w:cs="Calibri" w:asciiTheme="minorEastAsia" w:hAnsiTheme="minorEastAsia"/>
          <w:b/>
          <w:bCs/>
          <w:kern w:val="0"/>
          <w:sz w:val="22"/>
        </w:rPr>
        <w:t xml:space="preserve"> 投标人资质条件、能力和信誉</w:t>
      </w:r>
      <w:bookmarkEnd w:id="10"/>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11" w:name="_Toc2796"/>
      <w:r>
        <w:rPr>
          <w:rFonts w:cs="Calibri" w:asciiTheme="minorEastAsia" w:hAnsiTheme="minorEastAsia"/>
          <w:b/>
          <w:bCs/>
          <w:kern w:val="0"/>
          <w:sz w:val="22"/>
        </w:rPr>
        <w:t>1.</w:t>
      </w:r>
      <w:r>
        <w:rPr>
          <w:rFonts w:hint="eastAsia" w:cs="Calibri" w:asciiTheme="minorEastAsia" w:hAnsiTheme="minorEastAsia"/>
          <w:b/>
          <w:bCs/>
          <w:kern w:val="0"/>
          <w:sz w:val="22"/>
        </w:rPr>
        <w:t>7</w:t>
      </w:r>
      <w:r>
        <w:rPr>
          <w:rFonts w:cs="Calibri" w:asciiTheme="minorEastAsia" w:hAnsiTheme="minorEastAsia"/>
          <w:b/>
          <w:bCs/>
          <w:kern w:val="0"/>
          <w:sz w:val="22"/>
        </w:rPr>
        <w:t xml:space="preserve"> 工期</w:t>
      </w:r>
      <w:bookmarkEnd w:id="11"/>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r>
        <w:rPr>
          <w:rFonts w:hint="eastAsia" w:cs="Calibri" w:asciiTheme="minorEastAsia" w:hAnsiTheme="minorEastAsia"/>
          <w:b/>
          <w:bCs/>
          <w:kern w:val="0"/>
          <w:sz w:val="22"/>
        </w:rPr>
        <w:t>1.8 质量要求</w:t>
      </w:r>
    </w:p>
    <w:p>
      <w:pPr>
        <w:adjustRightInd w:val="0"/>
        <w:snapToGrid w:val="0"/>
        <w:spacing w:line="360" w:lineRule="exact"/>
        <w:ind w:firstLine="440"/>
        <w:rPr>
          <w:rFonts w:cs="Calibri" w:asciiTheme="minorEastAsia" w:hAnsiTheme="minorEastAsia"/>
          <w:color w:val="000000"/>
          <w:sz w:val="22"/>
        </w:rPr>
      </w:pPr>
      <w:bookmarkStart w:id="12" w:name="_Toc13907"/>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w:t>
      </w:r>
      <w:r>
        <w:rPr>
          <w:rFonts w:hint="eastAsia" w:cs="Calibri" w:asciiTheme="minorEastAsia" w:hAnsiTheme="minorEastAsia"/>
          <w:b/>
          <w:bCs/>
          <w:kern w:val="0"/>
          <w:sz w:val="22"/>
        </w:rPr>
        <w:t>9</w:t>
      </w:r>
      <w:r>
        <w:rPr>
          <w:rFonts w:cs="Calibri" w:asciiTheme="minorEastAsia" w:hAnsiTheme="minorEastAsia"/>
          <w:b/>
          <w:bCs/>
          <w:kern w:val="0"/>
          <w:sz w:val="22"/>
        </w:rPr>
        <w:t xml:space="preserve"> 踏勘现场</w:t>
      </w:r>
      <w:bookmarkEnd w:id="12"/>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sz w:val="22"/>
        </w:rPr>
        <w:t>1.</w:t>
      </w:r>
      <w:r>
        <w:rPr>
          <w:rFonts w:hint="eastAsia" w:cs="Calibri" w:asciiTheme="minorEastAsia" w:hAnsiTheme="minorEastAsia"/>
          <w:sz w:val="22"/>
        </w:rPr>
        <w:t>9</w:t>
      </w:r>
      <w:r>
        <w:rPr>
          <w:rFonts w:cs="Calibri" w:asciiTheme="minorEastAsia" w:hAnsiTheme="minorEastAsia"/>
          <w:sz w:val="22"/>
        </w:rPr>
        <w:t>.1</w:t>
      </w:r>
      <w:r>
        <w:rPr>
          <w:rFonts w:cs="Calibri" w:asciiTheme="minorEastAsia" w:hAnsiTheme="minorEastAsia"/>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.2 投标人踏勘现场发生的费用自理。</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.3 投标人自行负责在踏勘现场中所发生的人员伤亡和财产损失。</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cs="Calibri" w:asciiTheme="minorEastAsia" w:hAnsiTheme="minorEastAsia"/>
          <w:b/>
          <w:bCs/>
          <w:kern w:val="0"/>
          <w:sz w:val="22"/>
        </w:rPr>
      </w:pPr>
      <w:bookmarkStart w:id="13" w:name="_Toc4199"/>
      <w:r>
        <w:rPr>
          <w:rFonts w:cs="Calibri" w:asciiTheme="minorEastAsia" w:hAnsiTheme="minorEastAsia"/>
          <w:b/>
          <w:bCs/>
          <w:kern w:val="0"/>
          <w:sz w:val="22"/>
        </w:rPr>
        <w:t>1.</w:t>
      </w:r>
      <w:r>
        <w:rPr>
          <w:rFonts w:hint="eastAsia" w:cs="Calibri" w:asciiTheme="minorEastAsia" w:hAnsiTheme="minorEastAsia"/>
          <w:b/>
          <w:bCs/>
          <w:kern w:val="0"/>
          <w:sz w:val="22"/>
        </w:rPr>
        <w:t>10</w:t>
      </w:r>
      <w:r>
        <w:rPr>
          <w:rFonts w:cs="Calibri" w:asciiTheme="minorEastAsia" w:hAnsiTheme="minorEastAsia"/>
          <w:b/>
          <w:bCs/>
          <w:kern w:val="0"/>
          <w:sz w:val="22"/>
        </w:rPr>
        <w:t xml:space="preserve"> 投标预备会</w:t>
      </w:r>
      <w:bookmarkEnd w:id="13"/>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14" w:name="_Toc4584"/>
      <w:r>
        <w:rPr>
          <w:rFonts w:cs="Calibri" w:asciiTheme="minorEastAsia" w:hAnsiTheme="minorEastAsia"/>
          <w:b/>
          <w:bCs/>
          <w:kern w:val="0"/>
          <w:sz w:val="22"/>
        </w:rPr>
        <w:t>1.1</w:t>
      </w:r>
      <w:r>
        <w:rPr>
          <w:rFonts w:hint="eastAsia" w:cs="Calibri" w:asciiTheme="minorEastAsia" w:hAnsiTheme="minorEastAsia"/>
          <w:b/>
          <w:bCs/>
          <w:kern w:val="0"/>
          <w:sz w:val="22"/>
        </w:rPr>
        <w:t>1</w:t>
      </w:r>
      <w:r>
        <w:rPr>
          <w:rFonts w:cs="Calibri" w:asciiTheme="minorEastAsia" w:hAnsiTheme="minorEastAsia"/>
          <w:b/>
          <w:bCs/>
          <w:kern w:val="0"/>
          <w:sz w:val="22"/>
        </w:rPr>
        <w:t xml:space="preserve"> 分包</w:t>
      </w:r>
      <w:bookmarkEnd w:id="14"/>
    </w:p>
    <w:p>
      <w:pPr>
        <w:adjustRightInd w:val="0"/>
        <w:snapToGrid w:val="0"/>
        <w:spacing w:line="360" w:lineRule="exact"/>
        <w:ind w:firstLine="440"/>
        <w:rPr>
          <w:rFonts w:cs="Calibri" w:asciiTheme="minorEastAsia" w:hAnsiTheme="minorEastAsia"/>
          <w:color w:val="000000"/>
          <w:sz w:val="22"/>
        </w:rPr>
      </w:pPr>
      <w:bookmarkStart w:id="15" w:name="_Toc3996"/>
      <w:r>
        <w:rPr>
          <w:rFonts w:cs="Calibri" w:asciiTheme="minorEastAsia" w:hAnsiTheme="minorEastAsia"/>
          <w:color w:val="000000"/>
          <w:sz w:val="22"/>
        </w:rPr>
        <w:t>本项目</w:t>
      </w:r>
      <w:r>
        <w:rPr>
          <w:rFonts w:hint="eastAsia" w:cs="Calibri" w:asciiTheme="minorEastAsia" w:hAnsiTheme="minorEastAsia"/>
          <w:color w:val="000000"/>
          <w:sz w:val="22"/>
        </w:rPr>
        <w:t>不</w:t>
      </w:r>
      <w:r>
        <w:rPr>
          <w:rFonts w:cs="Calibri" w:asciiTheme="minorEastAsia" w:hAnsiTheme="minorEastAsia"/>
          <w:color w:val="000000"/>
          <w:sz w:val="22"/>
        </w:rPr>
        <w:t>允许分包。</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1.1</w:t>
      </w:r>
      <w:r>
        <w:rPr>
          <w:rFonts w:hint="eastAsia" w:cs="Calibri" w:asciiTheme="minorEastAsia" w:hAnsiTheme="minorEastAsia"/>
          <w:b/>
          <w:bCs/>
          <w:kern w:val="0"/>
          <w:sz w:val="22"/>
        </w:rPr>
        <w:t>2</w:t>
      </w:r>
      <w:r>
        <w:rPr>
          <w:rFonts w:cs="Calibri" w:asciiTheme="minorEastAsia" w:hAnsiTheme="minorEastAsia"/>
          <w:b/>
          <w:bCs/>
          <w:kern w:val="0"/>
          <w:sz w:val="22"/>
        </w:rPr>
        <w:t xml:space="preserve"> 投标费用</w:t>
      </w:r>
      <w:bookmarkEnd w:id="1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投标人在投标过程中的一切费用，不论中标与否，均由投标人自理。</w:t>
      </w:r>
    </w:p>
    <w:p>
      <w:pPr>
        <w:autoSpaceDE w:val="0"/>
        <w:autoSpaceDN w:val="0"/>
        <w:adjustRightInd w:val="0"/>
        <w:snapToGrid w:val="0"/>
        <w:spacing w:line="360" w:lineRule="exact"/>
        <w:rPr>
          <w:rFonts w:cs="Calibri" w:asciiTheme="minorEastAsia" w:hAnsiTheme="minorEastAsia"/>
          <w:b/>
          <w:bCs/>
          <w:kern w:val="0"/>
          <w:sz w:val="22"/>
        </w:rPr>
      </w:pPr>
      <w:bookmarkStart w:id="16" w:name="_Toc143421657"/>
      <w:bookmarkStart w:id="17" w:name="_Toc15241"/>
      <w:r>
        <w:rPr>
          <w:rFonts w:cs="Calibri" w:asciiTheme="minorEastAsia" w:hAnsiTheme="minorEastAsia"/>
          <w:b/>
          <w:bCs/>
          <w:kern w:val="0"/>
          <w:sz w:val="22"/>
        </w:rPr>
        <w:t>2.招标文件</w:t>
      </w:r>
      <w:bookmarkEnd w:id="16"/>
      <w:bookmarkEnd w:id="17"/>
    </w:p>
    <w:p>
      <w:pPr>
        <w:autoSpaceDE w:val="0"/>
        <w:autoSpaceDN w:val="0"/>
        <w:adjustRightInd w:val="0"/>
        <w:snapToGrid w:val="0"/>
        <w:spacing w:line="360" w:lineRule="exact"/>
        <w:rPr>
          <w:rFonts w:cs="Calibri" w:asciiTheme="minorEastAsia" w:hAnsiTheme="minorEastAsia"/>
          <w:b/>
          <w:bCs/>
          <w:kern w:val="0"/>
          <w:sz w:val="22"/>
        </w:rPr>
      </w:pPr>
      <w:bookmarkStart w:id="18" w:name="_Toc1426"/>
      <w:r>
        <w:rPr>
          <w:rFonts w:cs="Calibri" w:asciiTheme="minorEastAsia" w:hAnsiTheme="minorEastAsia"/>
          <w:b/>
          <w:bCs/>
          <w:kern w:val="0"/>
          <w:sz w:val="22"/>
        </w:rPr>
        <w:t>2.1 招标文件的组成</w:t>
      </w:r>
      <w:bookmarkEnd w:id="18"/>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r>
        <w:rPr>
          <w:rFonts w:hint="eastAsia" w:ascii="宋体" w:hAnsi="宋体" w:cs="Calibri"/>
          <w:kern w:val="0"/>
          <w:sz w:val="22"/>
        </w:rPr>
        <w:t>及评标办法</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）合同条款</w:t>
      </w:r>
      <w:r>
        <w:rPr>
          <w:rFonts w:hint="eastAsia" w:ascii="宋体" w:hAnsi="宋体" w:cs="Calibri"/>
          <w:kern w:val="0"/>
          <w:sz w:val="22"/>
        </w:rPr>
        <w:t>及格式</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4</w:t>
      </w:r>
      <w:r>
        <w:rPr>
          <w:rFonts w:ascii="宋体" w:hAnsi="宋体" w:cs="Calibri"/>
          <w:kern w:val="0"/>
          <w:sz w:val="22"/>
        </w:rPr>
        <w:t>）</w:t>
      </w:r>
      <w:r>
        <w:rPr>
          <w:rFonts w:hint="eastAsia" w:ascii="宋体" w:hAnsi="宋体" w:cs="Calibri"/>
          <w:kern w:val="0"/>
          <w:sz w:val="22"/>
        </w:rPr>
        <w:t>参考工程量清单</w:t>
      </w:r>
    </w:p>
    <w:p>
      <w:pPr>
        <w:adjustRightInd w:val="0"/>
        <w:snapToGrid w:val="0"/>
        <w:spacing w:line="360" w:lineRule="exact"/>
        <w:ind w:firstLine="440"/>
        <w:rPr>
          <w:rFonts w:ascii="宋体" w:hAnsi="宋体" w:cs="Calibri"/>
          <w:kern w:val="0"/>
          <w:sz w:val="22"/>
        </w:rPr>
      </w:pPr>
      <w:r>
        <w:rPr>
          <w:rFonts w:ascii="宋体" w:hAnsi="宋体" w:cs="Calibri"/>
          <w:kern w:val="0"/>
          <w:sz w:val="22"/>
        </w:rPr>
        <w:t>（5）投标文件格式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cs="Calibri" w:asciiTheme="minorEastAsia" w:hAnsiTheme="minorEastAsia"/>
          <w:b/>
          <w:bCs/>
          <w:kern w:val="0"/>
          <w:sz w:val="22"/>
        </w:rPr>
      </w:pPr>
      <w:bookmarkStart w:id="19" w:name="_Toc18230"/>
      <w:r>
        <w:rPr>
          <w:rFonts w:cs="Calibri" w:asciiTheme="minorEastAsia" w:hAnsiTheme="minorEastAsia"/>
          <w:b/>
          <w:bCs/>
          <w:kern w:val="0"/>
          <w:sz w:val="22"/>
        </w:rPr>
        <w:t>2.2 招标文件的澄清</w:t>
      </w:r>
      <w:bookmarkEnd w:id="19"/>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2.2.2</w:t>
      </w:r>
      <w:r>
        <w:rPr>
          <w:rFonts w:hint="eastAsia" w:cs="Calibri" w:asciiTheme="minorEastAsia" w:hAnsiTheme="minorEastAsia"/>
          <w:kern w:val="0"/>
          <w:sz w:val="22"/>
        </w:rPr>
        <w:t>招标人将视情况采用补充公告的方式予以澄清。</w:t>
      </w:r>
    </w:p>
    <w:p>
      <w:pPr>
        <w:autoSpaceDE w:val="0"/>
        <w:autoSpaceDN w:val="0"/>
        <w:adjustRightInd w:val="0"/>
        <w:snapToGrid w:val="0"/>
        <w:spacing w:line="360" w:lineRule="exact"/>
        <w:rPr>
          <w:rFonts w:cs="Calibri" w:asciiTheme="minorEastAsia" w:hAnsiTheme="minorEastAsia"/>
          <w:b/>
          <w:bCs/>
          <w:kern w:val="0"/>
          <w:sz w:val="22"/>
        </w:rPr>
      </w:pPr>
      <w:bookmarkStart w:id="20" w:name="_Toc18303"/>
      <w:r>
        <w:rPr>
          <w:rFonts w:cs="Calibri" w:asciiTheme="minorEastAsia" w:hAnsiTheme="minorEastAsia"/>
          <w:b/>
          <w:bCs/>
          <w:kern w:val="0"/>
          <w:sz w:val="22"/>
        </w:rPr>
        <w:t>2.3 招标文件的修改</w:t>
      </w:r>
      <w:bookmarkEnd w:id="20"/>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2.3.1</w:t>
      </w:r>
      <w:r>
        <w:rPr>
          <w:rFonts w:hint="eastAsia" w:cs="Calibri" w:asciiTheme="minorEastAsia" w:hAnsiTheme="minor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ascii="宋体" w:hAnsi="宋体" w:cs="Calibri"/>
          <w:sz w:val="22"/>
        </w:rPr>
      </w:pPr>
      <w:r>
        <w:rPr>
          <w:rFonts w:cs="Calibri" w:asciiTheme="minorEastAsia" w:hAnsiTheme="minorEastAsia"/>
          <w:color w:val="000000"/>
          <w:sz w:val="22"/>
        </w:rPr>
        <w:t>2.3.2</w:t>
      </w:r>
      <w:r>
        <w:rPr>
          <w:rFonts w:hint="eastAsia" w:cs="Calibri" w:asciiTheme="minorEastAsia" w:hAnsiTheme="minorEastAsia"/>
          <w:color w:val="000000"/>
          <w:sz w:val="22"/>
        </w:rPr>
        <w:t>招标文件的修改为招标文件的组成部分，对投标人有约束力。</w:t>
      </w:r>
    </w:p>
    <w:p>
      <w:pPr>
        <w:autoSpaceDE w:val="0"/>
        <w:autoSpaceDN w:val="0"/>
        <w:adjustRightInd w:val="0"/>
        <w:snapToGrid w:val="0"/>
        <w:spacing w:line="360" w:lineRule="exact"/>
        <w:rPr>
          <w:rFonts w:ascii="宋体" w:hAnsi="宋体" w:cs="Calibri"/>
          <w:b/>
          <w:bCs/>
          <w:kern w:val="0"/>
          <w:sz w:val="22"/>
        </w:rPr>
      </w:pPr>
      <w:bookmarkStart w:id="21" w:name="_Toc143421658"/>
      <w:bookmarkStart w:id="22" w:name="_Toc18870"/>
      <w:r>
        <w:rPr>
          <w:rFonts w:ascii="宋体" w:hAnsi="宋体" w:cs="Calibri"/>
          <w:b/>
          <w:bCs/>
          <w:kern w:val="0"/>
          <w:sz w:val="22"/>
        </w:rPr>
        <w:t>3.投标文件</w:t>
      </w:r>
      <w:bookmarkEnd w:id="21"/>
      <w:bookmarkEnd w:id="22"/>
    </w:p>
    <w:p>
      <w:pPr>
        <w:autoSpaceDE w:val="0"/>
        <w:autoSpaceDN w:val="0"/>
        <w:adjustRightInd w:val="0"/>
        <w:snapToGrid w:val="0"/>
        <w:spacing w:line="360" w:lineRule="exact"/>
        <w:rPr>
          <w:rFonts w:ascii="宋体" w:hAnsi="宋体" w:cs="Calibri"/>
          <w:b/>
          <w:bCs/>
          <w:kern w:val="0"/>
          <w:sz w:val="22"/>
        </w:rPr>
      </w:pPr>
      <w:bookmarkStart w:id="23" w:name="_Toc461"/>
      <w:r>
        <w:rPr>
          <w:rFonts w:ascii="宋体" w:hAnsi="宋体" w:cs="Calibri"/>
          <w:b/>
          <w:bCs/>
          <w:kern w:val="0"/>
          <w:sz w:val="22"/>
        </w:rPr>
        <w:t>3.1 投标文件的语言和计量单位</w:t>
      </w:r>
      <w:bookmarkEnd w:id="23"/>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w:t>
      </w:r>
      <w:r>
        <w:rPr>
          <w:rFonts w:hint="eastAsia" w:ascii="宋体" w:hAnsi="宋体" w:cs="Calibri"/>
          <w:kern w:val="0"/>
          <w:sz w:val="22"/>
        </w:rPr>
        <w:t>施工</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4" w:name="_Toc1411"/>
      <w:r>
        <w:rPr>
          <w:rFonts w:ascii="宋体" w:hAnsi="宋体" w:cs="Calibri"/>
          <w:b/>
          <w:bCs/>
          <w:kern w:val="0"/>
          <w:sz w:val="22"/>
        </w:rPr>
        <w:t>3.2 投标文件的组成</w:t>
      </w:r>
      <w:bookmarkEnd w:id="24"/>
    </w:p>
    <w:p>
      <w:pPr>
        <w:adjustRightInd w:val="0"/>
        <w:snapToGrid w:val="0"/>
        <w:spacing w:line="360" w:lineRule="exact"/>
        <w:ind w:firstLine="440"/>
        <w:rPr>
          <w:rFonts w:ascii="宋体" w:hAnsi="宋体" w:cs="Calibri"/>
          <w:sz w:val="22"/>
        </w:rPr>
      </w:pPr>
      <w:bookmarkStart w:id="25" w:name="_Toc32225"/>
      <w:r>
        <w:rPr>
          <w:rFonts w:ascii="宋体" w:hAnsi="宋体" w:cs="Calibri"/>
          <w:sz w:val="22"/>
        </w:rPr>
        <w:t>3.2.1投标函；</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w:t>
      </w:r>
      <w:r>
        <w:rPr>
          <w:rFonts w:hint="eastAsia" w:cs="Calibri" w:asciiTheme="minorEastAsia" w:hAnsiTheme="minorEastAsia"/>
          <w:color w:val="000000"/>
          <w:sz w:val="22"/>
        </w:rPr>
        <w:t>2</w:t>
      </w:r>
      <w:r>
        <w:rPr>
          <w:rFonts w:cs="Calibri" w:asciiTheme="minorEastAsia" w:hAnsiTheme="minorEastAsia"/>
          <w:color w:val="000000"/>
          <w:sz w:val="22"/>
        </w:rPr>
        <w:t>法定代表人资格证明书；</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w:t>
      </w:r>
      <w:r>
        <w:rPr>
          <w:rFonts w:hint="eastAsia" w:cs="Calibri" w:asciiTheme="minorEastAsia" w:hAnsiTheme="minorEastAsia"/>
          <w:color w:val="000000"/>
          <w:sz w:val="22"/>
        </w:rPr>
        <w:t>3</w:t>
      </w:r>
      <w:r>
        <w:rPr>
          <w:rFonts w:cs="Calibri" w:asciiTheme="minorEastAsia" w:hAnsiTheme="minorEastAsia"/>
          <w:color w:val="000000"/>
          <w:sz w:val="22"/>
        </w:rPr>
        <w:t>授权委托书；</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w:t>
      </w:r>
      <w:r>
        <w:rPr>
          <w:rFonts w:hint="eastAsia" w:cs="Calibri" w:asciiTheme="minorEastAsia" w:hAnsiTheme="minorEastAsia"/>
          <w:color w:val="000000"/>
          <w:sz w:val="22"/>
        </w:rPr>
        <w:t>4已标价工程量清单</w:t>
      </w:r>
      <w:r>
        <w:rPr>
          <w:rFonts w:cs="Calibri" w:asciiTheme="minorEastAsia" w:hAnsiTheme="minorEastAsia"/>
          <w:color w:val="000000"/>
          <w:sz w:val="22"/>
        </w:rPr>
        <w:t>；</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3.2.5</w:t>
      </w:r>
      <w:r>
        <w:rPr>
          <w:rFonts w:hint="eastAsia" w:cs="Calibri" w:asciiTheme="minorEastAsia" w:hAnsiTheme="minorEastAsia"/>
          <w:color w:val="000000"/>
          <w:sz w:val="22"/>
        </w:rPr>
        <w:t>施工组织设计；</w:t>
      </w:r>
    </w:p>
    <w:p>
      <w:pPr>
        <w:adjustRightInd w:val="0"/>
        <w:snapToGrid w:val="0"/>
        <w:spacing w:line="360" w:lineRule="exact"/>
        <w:ind w:firstLine="440"/>
        <w:rPr>
          <w:rFonts w:cs="Calibri" w:asciiTheme="minorEastAsia" w:hAnsiTheme="minorEastAsia"/>
          <w:color w:val="000000"/>
          <w:sz w:val="22"/>
        </w:rPr>
      </w:pPr>
      <w:r>
        <w:rPr>
          <w:rFonts w:hint="eastAsia" w:cs="Calibri" w:asciiTheme="minorEastAsia" w:hAnsiTheme="minorEastAsia"/>
          <w:color w:val="000000"/>
          <w:sz w:val="22"/>
        </w:rPr>
        <w:t>3.2.6 项目管理机构</w:t>
      </w:r>
    </w:p>
    <w:p>
      <w:pPr>
        <w:adjustRightInd w:val="0"/>
        <w:snapToGrid w:val="0"/>
        <w:spacing w:line="360" w:lineRule="exact"/>
        <w:ind w:firstLine="440"/>
        <w:rPr>
          <w:rFonts w:cs="Calibri" w:asciiTheme="minorEastAsia" w:hAnsiTheme="minorEastAsia"/>
          <w:color w:val="000000"/>
          <w:sz w:val="22"/>
        </w:rPr>
      </w:pPr>
      <w:r>
        <w:rPr>
          <w:rFonts w:hint="eastAsia" w:cs="Calibri" w:asciiTheme="minorEastAsia" w:hAnsiTheme="minorEastAsia"/>
          <w:color w:val="000000"/>
          <w:sz w:val="22"/>
        </w:rPr>
        <w:t>3.2.7 资格审查资料：包括投标人有效的营业执照、资质证书、安全生产许可证及三类人员证书、业绩证明材料等复印件，拟派项目经理职称证书、执业（或注册）证书复印件。</w:t>
      </w:r>
    </w:p>
    <w:p>
      <w:pPr>
        <w:adjustRightInd w:val="0"/>
        <w:snapToGrid w:val="0"/>
        <w:spacing w:line="360" w:lineRule="exact"/>
        <w:ind w:firstLine="440"/>
        <w:rPr>
          <w:rFonts w:ascii="宋体" w:hAnsi="宋体" w:cs="宋体"/>
          <w:sz w:val="22"/>
        </w:rPr>
      </w:pPr>
      <w:r>
        <w:rPr>
          <w:rFonts w:hint="eastAsia" w:ascii="宋体" w:hAnsi="宋体" w:cs="宋体"/>
          <w:sz w:val="22"/>
        </w:rPr>
        <w:t>3.2.8</w:t>
      </w:r>
      <w:r>
        <w:rPr>
          <w:rFonts w:hint="eastAsia" w:cs="Arial" w:asciiTheme="minorEastAsia" w:hAnsiTheme="minorEastAsia"/>
          <w:color w:val="000000"/>
          <w:sz w:val="22"/>
        </w:rPr>
        <w:t>投标人认为</w:t>
      </w:r>
      <w:r>
        <w:rPr>
          <w:rFonts w:cs="Arial" w:asciiTheme="minorEastAsia" w:hAnsiTheme="minorEastAsia"/>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5"/>
    </w:p>
    <w:p>
      <w:pPr>
        <w:adjustRightInd w:val="0"/>
        <w:snapToGrid w:val="0"/>
        <w:spacing w:line="360" w:lineRule="exact"/>
        <w:ind w:firstLine="440"/>
        <w:rPr>
          <w:rFonts w:ascii="宋体" w:hAnsi="宋体" w:cs="宋体"/>
          <w:sz w:val="22"/>
        </w:rPr>
      </w:pPr>
      <w:bookmarkStart w:id="26" w:name="_Toc13307"/>
      <w:r>
        <w:rPr>
          <w:rFonts w:hint="eastAsia" w:ascii="宋体" w:hAnsi="宋体" w:cs="宋体"/>
          <w:sz w:val="22"/>
        </w:rPr>
        <w:t>3.3.1投标人应按第六章“投标文件格式”的要求填写相应表格并报价。</w:t>
      </w:r>
    </w:p>
    <w:p>
      <w:pPr>
        <w:adjustRightInd w:val="0"/>
        <w:snapToGrid w:val="0"/>
        <w:spacing w:line="360" w:lineRule="exact"/>
        <w:ind w:firstLine="440"/>
        <w:rPr>
          <w:rFonts w:ascii="宋体" w:hAnsi="宋体" w:cs="宋体"/>
          <w:sz w:val="22"/>
        </w:rPr>
      </w:pPr>
      <w:r>
        <w:rPr>
          <w:rFonts w:hint="eastAsia" w:ascii="宋体" w:hAnsi="宋体" w:cs="宋体"/>
          <w:sz w:val="22"/>
        </w:rPr>
        <w:t>3.3.2本工程各项取费标准及相关调整系数，根据《浙江省建设工程施工取费定额》（2010版）及浙江省现行的相关文件规定，请投标人在投标报价中，按照上述文件精神执行。</w:t>
      </w:r>
    </w:p>
    <w:p>
      <w:pPr>
        <w:adjustRightInd w:val="0"/>
        <w:snapToGrid w:val="0"/>
        <w:spacing w:line="360" w:lineRule="exact"/>
        <w:ind w:firstLine="440"/>
        <w:rPr>
          <w:rFonts w:ascii="宋体" w:hAnsi="宋体" w:cs="宋体"/>
          <w:b/>
          <w:sz w:val="22"/>
        </w:rPr>
      </w:pPr>
      <w:r>
        <w:rPr>
          <w:rFonts w:hint="eastAsia" w:ascii="宋体" w:hAnsi="宋体" w:cs="宋体"/>
          <w:sz w:val="22"/>
        </w:rPr>
        <w:t>3.3.3招标文件提供的工程量清单为参考清单，投标人根据招标文件要求和参考清单自行编制投标报价。</w:t>
      </w:r>
    </w:p>
    <w:p>
      <w:pPr>
        <w:adjustRightInd w:val="0"/>
        <w:snapToGrid w:val="0"/>
        <w:spacing w:line="360" w:lineRule="exact"/>
        <w:ind w:firstLine="440"/>
        <w:rPr>
          <w:rFonts w:ascii="宋体" w:hAnsi="宋体" w:cs="宋体"/>
          <w:sz w:val="22"/>
        </w:rPr>
      </w:pPr>
      <w:r>
        <w:rPr>
          <w:rFonts w:hint="eastAsia" w:ascii="宋体" w:hAnsi="宋体" w:cs="宋体"/>
          <w:sz w:val="22"/>
        </w:rPr>
        <w:t>3.3.4</w:t>
      </w:r>
      <w:r>
        <w:rPr>
          <w:rFonts w:hint="eastAsia" w:ascii="宋体" w:hAnsi="宋体" w:cs="宋体"/>
          <w:b/>
          <w:sz w:val="22"/>
        </w:rPr>
        <w:t>本工程为固定总价合同（计日工除外）</w:t>
      </w:r>
      <w:r>
        <w:rPr>
          <w:rFonts w:hint="eastAsia" w:ascii="宋体" w:hAnsi="宋体" w:cs="宋体"/>
          <w:sz w:val="22"/>
        </w:rPr>
        <w:t>。本项目投标人应充分考虑施工现场的实际情况、市场风险及自身承受能力进行报价。投标人根据本工程特点及施工技术规范、施工工艺要求，组织并测算为完成本项目所必须采取的工艺及措施，在分部分项工程量清单、措施项目清单、其他项目清单中进行报价。投标人对上述内容的漏报或者少报，视作对本工程的优惠。一旦中标，总价包干。在项目实施过程中，发包人不对承包人提出的任何工程量清单、价格变更要求进行总价调整，投标报价即为结算价。</w:t>
      </w:r>
    </w:p>
    <w:p>
      <w:pPr>
        <w:adjustRightInd w:val="0"/>
        <w:snapToGrid w:val="0"/>
        <w:spacing w:line="360" w:lineRule="exact"/>
        <w:ind w:firstLine="440"/>
        <w:rPr>
          <w:rFonts w:ascii="宋体" w:hAnsi="宋体" w:cs="宋体"/>
          <w:sz w:val="22"/>
        </w:rPr>
      </w:pPr>
      <w:r>
        <w:rPr>
          <w:rFonts w:hint="eastAsia" w:ascii="宋体" w:hAnsi="宋体" w:cs="宋体"/>
          <w:sz w:val="22"/>
        </w:rPr>
        <w:t>3.3.5投标报价中应包含国家有关部门和地方政府规定交纳的“规费”，其包括工程排污费、社会保障费、住房公积金、危险作业意外伤害保险；农民工工伤保险等。</w:t>
      </w:r>
    </w:p>
    <w:p>
      <w:pPr>
        <w:adjustRightInd w:val="0"/>
        <w:snapToGrid w:val="0"/>
        <w:spacing w:line="360" w:lineRule="exact"/>
        <w:ind w:firstLine="440"/>
        <w:rPr>
          <w:rFonts w:ascii="宋体" w:hAnsi="宋体" w:cs="宋体"/>
          <w:sz w:val="22"/>
        </w:rPr>
      </w:pPr>
      <w:r>
        <w:rPr>
          <w:rFonts w:hint="eastAsia" w:ascii="宋体" w:hAnsi="宋体" w:cs="宋体"/>
          <w:sz w:val="22"/>
        </w:rPr>
        <w:t xml:space="preserve">3.3.6 </w:t>
      </w:r>
      <w:r>
        <w:rPr>
          <w:rFonts w:hint="eastAsia" w:ascii="宋体" w:hAnsi="宋体" w:cs="宋体"/>
          <w:b/>
          <w:sz w:val="22"/>
        </w:rPr>
        <w:t>计日工单价最高限价150元/工日。</w:t>
      </w:r>
    </w:p>
    <w:p>
      <w:pPr>
        <w:adjustRightInd w:val="0"/>
        <w:snapToGrid w:val="0"/>
        <w:spacing w:line="360" w:lineRule="exact"/>
        <w:ind w:firstLine="440"/>
        <w:rPr>
          <w:rFonts w:ascii="宋体" w:hAnsi="宋体" w:cs="宋体"/>
          <w:sz w:val="22"/>
        </w:rPr>
      </w:pPr>
      <w:r>
        <w:rPr>
          <w:rFonts w:hint="eastAsia" w:ascii="宋体" w:hAnsi="宋体" w:cs="宋体"/>
          <w:sz w:val="22"/>
        </w:rPr>
        <w:t>3.3.7工程量清单中的报价，均应以人民币元为单位，最终以人民币办理结算。</w:t>
      </w:r>
    </w:p>
    <w:p>
      <w:pPr>
        <w:adjustRightInd w:val="0"/>
        <w:snapToGrid w:val="0"/>
        <w:spacing w:line="360" w:lineRule="exact"/>
        <w:ind w:firstLine="440"/>
        <w:rPr>
          <w:rFonts w:ascii="宋体" w:hAnsi="宋体" w:cs="宋体"/>
          <w:sz w:val="22"/>
        </w:rPr>
      </w:pPr>
      <w:r>
        <w:rPr>
          <w:rFonts w:hint="eastAsia" w:ascii="宋体" w:hAnsi="宋体" w:cs="宋体"/>
          <w:sz w:val="22"/>
        </w:rPr>
        <w:t>3.3.8投标人应充分考虑以下各项风险因素可能导致发生或增加的费用，并计入投标报价中，不报视作优惠：</w:t>
      </w:r>
    </w:p>
    <w:p>
      <w:pPr>
        <w:adjustRightInd w:val="0"/>
        <w:snapToGrid w:val="0"/>
        <w:spacing w:line="360" w:lineRule="exact"/>
        <w:ind w:firstLine="440"/>
        <w:rPr>
          <w:rFonts w:ascii="宋体" w:hAnsi="宋体" w:cs="宋体"/>
          <w:sz w:val="22"/>
        </w:rPr>
      </w:pPr>
      <w:r>
        <w:rPr>
          <w:rFonts w:ascii="宋体" w:hAnsi="宋体" w:cs="宋体"/>
          <w:sz w:val="22"/>
        </w:rPr>
        <w:t>a</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6"/>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7" w:name="_Toc30464"/>
      <w:r>
        <w:rPr>
          <w:rFonts w:ascii="宋体" w:hAnsi="宋体" w:cs="Calibri"/>
          <w:b/>
          <w:bCs/>
          <w:kern w:val="0"/>
          <w:sz w:val="22"/>
        </w:rPr>
        <w:t>3.5 投标保证金</w:t>
      </w:r>
      <w:bookmarkEnd w:id="27"/>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cs="Calibri" w:asciiTheme="minorEastAsia" w:hAnsiTheme="minorEastAsia"/>
          <w:color w:val="000000"/>
          <w:kern w:val="0"/>
          <w:sz w:val="22"/>
        </w:rPr>
        <w:t>中标人在收到中标通知书后，</w:t>
      </w:r>
      <w:r>
        <w:rPr>
          <w:rFonts w:cs="Calibri" w:asciiTheme="minorEastAsia" w:hAnsiTheme="minorEastAsia"/>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8" w:name="_Toc29989"/>
      <w:r>
        <w:rPr>
          <w:rFonts w:ascii="宋体" w:hAnsi="宋体" w:cs="Calibri"/>
          <w:b/>
          <w:bCs/>
          <w:kern w:val="0"/>
          <w:sz w:val="22"/>
        </w:rPr>
        <w:t>3.6 投标文件的编制</w:t>
      </w:r>
      <w:bookmarkEnd w:id="28"/>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工期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投标文件应对招标文件有关工期、投标有效期、招标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9" w:name="_Toc143421659"/>
    </w:p>
    <w:p>
      <w:pPr>
        <w:autoSpaceDE w:val="0"/>
        <w:autoSpaceDN w:val="0"/>
        <w:adjustRightInd w:val="0"/>
        <w:snapToGrid w:val="0"/>
        <w:spacing w:line="360" w:lineRule="exact"/>
        <w:rPr>
          <w:rFonts w:ascii="宋体" w:hAnsi="宋体" w:cs="Calibri"/>
          <w:b/>
          <w:bCs/>
          <w:kern w:val="0"/>
          <w:sz w:val="22"/>
        </w:rPr>
      </w:pPr>
      <w:bookmarkStart w:id="30" w:name="_Toc32652"/>
      <w:r>
        <w:rPr>
          <w:rFonts w:ascii="宋体" w:hAnsi="宋体" w:cs="Calibri"/>
          <w:b/>
          <w:bCs/>
          <w:kern w:val="0"/>
          <w:sz w:val="22"/>
        </w:rPr>
        <w:t>4.投标</w:t>
      </w:r>
      <w:bookmarkEnd w:id="29"/>
      <w:bookmarkEnd w:id="30"/>
    </w:p>
    <w:p>
      <w:pPr>
        <w:autoSpaceDE w:val="0"/>
        <w:autoSpaceDN w:val="0"/>
        <w:adjustRightInd w:val="0"/>
        <w:snapToGrid w:val="0"/>
        <w:spacing w:line="360" w:lineRule="exact"/>
        <w:rPr>
          <w:rFonts w:ascii="宋体" w:hAnsi="宋体" w:cs="Calibri"/>
          <w:b/>
          <w:bCs/>
          <w:kern w:val="0"/>
          <w:sz w:val="22"/>
        </w:rPr>
      </w:pPr>
      <w:bookmarkStart w:id="31" w:name="_Toc649"/>
      <w:r>
        <w:rPr>
          <w:rFonts w:ascii="宋体" w:hAnsi="宋体" w:cs="Calibri"/>
          <w:b/>
          <w:bCs/>
          <w:kern w:val="0"/>
          <w:sz w:val="22"/>
        </w:rPr>
        <w:t>4.1 投标文件的密封和标识</w:t>
      </w:r>
      <w:bookmarkEnd w:id="31"/>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32" w:name="_Toc16616"/>
      <w:r>
        <w:rPr>
          <w:rFonts w:ascii="宋体" w:hAnsi="宋体" w:cs="Calibri"/>
          <w:b/>
          <w:bCs/>
          <w:kern w:val="0"/>
          <w:sz w:val="22"/>
        </w:rPr>
        <w:t xml:space="preserve">4.2 投标文件的递交 </w:t>
      </w:r>
      <w:bookmarkEnd w:id="32"/>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3" w:name="_Toc26099"/>
      <w:r>
        <w:rPr>
          <w:rFonts w:ascii="宋体" w:hAnsi="宋体" w:cs="Calibri"/>
          <w:b/>
          <w:bCs/>
          <w:kern w:val="0"/>
          <w:sz w:val="22"/>
        </w:rPr>
        <w:t>4.3 投标文件的修改和撤回</w:t>
      </w:r>
      <w:bookmarkEnd w:id="33"/>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4" w:name="_Toc29641"/>
      <w:r>
        <w:rPr>
          <w:rFonts w:ascii="宋体" w:hAnsi="宋体" w:cs="Calibri"/>
          <w:b/>
          <w:bCs/>
          <w:kern w:val="0"/>
          <w:sz w:val="22"/>
        </w:rPr>
        <w:t>5.开标</w:t>
      </w:r>
      <w:bookmarkEnd w:id="34"/>
    </w:p>
    <w:p>
      <w:pPr>
        <w:autoSpaceDE w:val="0"/>
        <w:autoSpaceDN w:val="0"/>
        <w:adjustRightInd w:val="0"/>
        <w:snapToGrid w:val="0"/>
        <w:spacing w:line="360" w:lineRule="exact"/>
        <w:rPr>
          <w:rFonts w:ascii="宋体" w:hAnsi="宋体" w:cs="Calibri"/>
          <w:b/>
          <w:bCs/>
          <w:kern w:val="0"/>
          <w:sz w:val="22"/>
        </w:rPr>
      </w:pPr>
      <w:bookmarkStart w:id="35" w:name="_Toc15123"/>
      <w:r>
        <w:rPr>
          <w:rFonts w:ascii="宋体" w:hAnsi="宋体" w:cs="Calibri"/>
          <w:b/>
          <w:bCs/>
          <w:kern w:val="0"/>
          <w:sz w:val="22"/>
        </w:rPr>
        <w:t>5.1 开标时间和地点</w:t>
      </w:r>
      <w:bookmarkEnd w:id="35"/>
    </w:p>
    <w:p>
      <w:pPr>
        <w:adjustRightInd w:val="0"/>
        <w:snapToGrid w:val="0"/>
        <w:spacing w:line="360" w:lineRule="exact"/>
        <w:ind w:firstLine="440"/>
        <w:rPr>
          <w:rFonts w:ascii="宋体" w:hAnsi="宋体" w:cs="Calibri"/>
          <w:sz w:val="22"/>
        </w:rPr>
      </w:pPr>
      <w:r>
        <w:rPr>
          <w:rFonts w:ascii="宋体" w:hAnsi="宋体" w:cs="Calibri"/>
          <w:sz w:val="22"/>
        </w:rPr>
        <w:t>5.1.1招标人在投标人须知规定的投标截止时间（开标时间）和地点公开开标，并邀请所有投标人的法定代表人或其委托代理人准时参加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6" w:name="_Toc7101"/>
      <w:r>
        <w:rPr>
          <w:rFonts w:ascii="宋体" w:hAnsi="宋体" w:cs="Calibri"/>
          <w:b/>
          <w:bCs/>
          <w:kern w:val="0"/>
          <w:sz w:val="22"/>
        </w:rPr>
        <w:t>5.2 开标程序</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按照宣布的开标顺序当众开标，公布投标人名称、投标保证金的递交情况、投标报价、工期</w:t>
      </w:r>
      <w:r>
        <w:rPr>
          <w:rFonts w:hint="eastAsia" w:ascii="宋体" w:hAnsi="宋体" w:cs="Calibri"/>
          <w:sz w:val="22"/>
        </w:rPr>
        <w:t>、质量目标</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7" w:name="_Toc31578"/>
      <w:r>
        <w:rPr>
          <w:rFonts w:ascii="宋体" w:hAnsi="宋体" w:cs="Calibri"/>
          <w:b/>
          <w:bCs/>
          <w:kern w:val="0"/>
          <w:sz w:val="22"/>
        </w:rPr>
        <w:t>6.评标</w:t>
      </w:r>
      <w:bookmarkEnd w:id="37"/>
    </w:p>
    <w:p>
      <w:pPr>
        <w:autoSpaceDE w:val="0"/>
        <w:autoSpaceDN w:val="0"/>
        <w:adjustRightInd w:val="0"/>
        <w:snapToGrid w:val="0"/>
        <w:spacing w:line="360" w:lineRule="exact"/>
        <w:rPr>
          <w:rFonts w:ascii="宋体" w:hAnsi="宋体" w:cs="Calibri"/>
          <w:b/>
          <w:bCs/>
          <w:kern w:val="0"/>
          <w:sz w:val="22"/>
        </w:rPr>
      </w:pPr>
      <w:bookmarkStart w:id="38" w:name="_Toc10279"/>
      <w:r>
        <w:rPr>
          <w:rFonts w:ascii="宋体" w:hAnsi="宋体" w:cs="Calibri"/>
          <w:b/>
          <w:bCs/>
          <w:kern w:val="0"/>
          <w:sz w:val="22"/>
        </w:rPr>
        <w:t>6.1 评标委员会</w:t>
      </w:r>
      <w:bookmarkEnd w:id="38"/>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9" w:name="_Toc3460"/>
      <w:r>
        <w:rPr>
          <w:rFonts w:ascii="宋体" w:hAnsi="宋体" w:cs="Calibri"/>
          <w:b/>
          <w:bCs/>
          <w:kern w:val="0"/>
          <w:sz w:val="22"/>
        </w:rPr>
        <w:t>6.2 评标原则</w:t>
      </w:r>
      <w:bookmarkEnd w:id="39"/>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40" w:name="_Toc24237"/>
      <w:r>
        <w:rPr>
          <w:rFonts w:hint="eastAsia" w:ascii="宋体" w:hAnsi="宋体" w:cs="Calibri"/>
          <w:b/>
          <w:bCs/>
          <w:kern w:val="0"/>
          <w:sz w:val="22"/>
        </w:rPr>
        <w:t>6.3 评标办法（综合</w:t>
      </w:r>
      <w:r>
        <w:rPr>
          <w:rFonts w:ascii="宋体" w:hAnsi="宋体" w:cs="Calibri"/>
          <w:b/>
          <w:bCs/>
          <w:kern w:val="0"/>
          <w:sz w:val="22"/>
        </w:rPr>
        <w:t>评</w:t>
      </w:r>
      <w:r>
        <w:rPr>
          <w:rFonts w:hint="eastAsia" w:ascii="宋体" w:hAnsi="宋体" w:cs="Calibri"/>
          <w:b/>
          <w:bCs/>
          <w:kern w:val="0"/>
          <w:sz w:val="22"/>
        </w:rPr>
        <w:t>估</w:t>
      </w:r>
      <w:r>
        <w:rPr>
          <w:rFonts w:ascii="宋体" w:hAnsi="宋体" w:cs="Calibri"/>
          <w:b/>
          <w:bCs/>
          <w:kern w:val="0"/>
          <w:sz w:val="22"/>
        </w:rPr>
        <w:t>法</w:t>
      </w:r>
      <w:r>
        <w:rPr>
          <w:rFonts w:hint="eastAsia" w:ascii="宋体" w:hAnsi="宋体" w:cs="Calibri"/>
          <w:b/>
          <w:bCs/>
          <w:kern w:val="0"/>
          <w:sz w:val="22"/>
        </w:rPr>
        <w:t>）</w:t>
      </w:r>
    </w:p>
    <w:p>
      <w:pPr>
        <w:adjustRightInd w:val="0"/>
        <w:snapToGrid w:val="0"/>
        <w:spacing w:line="360" w:lineRule="exact"/>
        <w:ind w:firstLine="440"/>
        <w:rPr>
          <w:rFonts w:ascii="宋体" w:hAnsi="宋体" w:cs="Calibri"/>
          <w:kern w:val="0"/>
          <w:sz w:val="22"/>
        </w:rPr>
      </w:pPr>
      <w:r>
        <w:rPr>
          <w:rFonts w:hint="eastAsia" w:ascii="宋体" w:hAnsi="宋体" w:cs="Calibri"/>
          <w:b/>
          <w:kern w:val="0"/>
          <w:sz w:val="22"/>
        </w:rPr>
        <w:t>如所有投标单位的报价均偏高，招标人将有可能否决所有投标重新招标。</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6.4评标程序</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6.4.1初步评审</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 xml:space="preserve"> （1）评标委员会依据下表规定的初步评审标准对投标文件进行初步评审，有一项不符合评审标准的，作废标处理。</w:t>
      </w:r>
    </w:p>
    <w:tbl>
      <w:tblPr>
        <w:tblStyle w:val="52"/>
        <w:tblW w:w="962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86"/>
        <w:gridCol w:w="983"/>
        <w:gridCol w:w="2550"/>
        <w:gridCol w:w="540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669" w:type="dxa"/>
            <w:gridSpan w:val="2"/>
            <w:tcBorders>
              <w:top w:val="single" w:color="auto" w:sz="4" w:space="0"/>
              <w:bottom w:val="single" w:color="auto" w:sz="4" w:space="0"/>
              <w:right w:val="single" w:color="auto" w:sz="4" w:space="0"/>
            </w:tcBorders>
            <w:vAlign w:val="center"/>
          </w:tcPr>
          <w:p>
            <w:pPr>
              <w:snapToGrid w:val="0"/>
              <w:jc w:val="center"/>
              <w:rPr>
                <w:rFonts w:asciiTheme="minorEastAsia" w:hAnsiTheme="minorEastAsia"/>
                <w:b/>
                <w:sz w:val="22"/>
              </w:rPr>
            </w:pPr>
            <w:r>
              <w:rPr>
                <w:rFonts w:hint="eastAsia" w:asciiTheme="minorEastAsia" w:hAnsiTheme="minorEastAsia"/>
                <w:b/>
                <w:sz w:val="22"/>
              </w:rPr>
              <w:t>序</w:t>
            </w:r>
            <w:r>
              <w:rPr>
                <w:rFonts w:asciiTheme="minorEastAsia" w:hAnsiTheme="minorEastAsia"/>
                <w:b/>
                <w:sz w:val="22"/>
              </w:rPr>
              <w:t>号</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b/>
                <w:sz w:val="22"/>
              </w:rPr>
            </w:pPr>
            <w:r>
              <w:rPr>
                <w:rFonts w:asciiTheme="minorEastAsia" w:hAnsiTheme="minorEastAsia"/>
                <w:b/>
                <w:sz w:val="22"/>
              </w:rPr>
              <w:t>评审因素</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b/>
                <w:sz w:val="22"/>
              </w:rPr>
            </w:pPr>
            <w:r>
              <w:rPr>
                <w:rFonts w:asciiTheme="minorEastAsia" w:hAnsiTheme="minorEastAsia"/>
                <w:b/>
                <w:sz w:val="22"/>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1</w:t>
            </w:r>
          </w:p>
        </w:tc>
        <w:tc>
          <w:tcPr>
            <w:tcW w:w="983"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形式评审标准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投标人名称</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与营业执照、资质证书</w:t>
            </w:r>
            <w:r>
              <w:rPr>
                <w:rFonts w:hint="eastAsia" w:asciiTheme="minorEastAsia" w:hAnsiTheme="minorEastAsia"/>
                <w:sz w:val="22"/>
              </w:rPr>
              <w:t>、安全生产许可证</w:t>
            </w:r>
            <w:r>
              <w:rPr>
                <w:rFonts w:asciiTheme="minorEastAsia" w:hAnsiTheme="minorEastAsia"/>
                <w:sz w:val="22"/>
              </w:rPr>
              <w:t>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投标函签字盖章</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有法定代表人或其委托代理人签字或加盖单位章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投标文件格式</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w:t>
            </w:r>
            <w:r>
              <w:rPr>
                <w:rFonts w:hint="eastAsia" w:asciiTheme="minorEastAsia" w:hAnsiTheme="minorEastAsia"/>
                <w:sz w:val="22"/>
              </w:rPr>
              <w:t>招标文件</w:t>
            </w:r>
            <w:r>
              <w:rPr>
                <w:rFonts w:asciiTheme="minorEastAsia" w:hAnsiTheme="minorEastAsia"/>
                <w:sz w:val="22"/>
              </w:rPr>
              <w:t>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报价唯一</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2</w:t>
            </w:r>
          </w:p>
        </w:tc>
        <w:tc>
          <w:tcPr>
            <w:tcW w:w="983"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资格评审标准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投标人</w:t>
            </w:r>
            <w:r>
              <w:rPr>
                <w:rFonts w:asciiTheme="minorEastAsia" w:hAnsiTheme="minorEastAsia"/>
                <w:sz w:val="22"/>
              </w:rPr>
              <w:t>资质等级</w:t>
            </w:r>
            <w:r>
              <w:rPr>
                <w:rFonts w:hint="eastAsia" w:asciiTheme="minorEastAsia" w:hAnsiTheme="minorEastAsia"/>
                <w:sz w:val="22"/>
              </w:rPr>
              <w:t>和业绩要求</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tcPr>
          <w:p>
            <w:pPr>
              <w:snapToGrid w:val="0"/>
              <w:jc w:val="center"/>
              <w:rPr>
                <w:rFonts w:asciiTheme="minorEastAsia" w:hAnsiTheme="minorEastAsia"/>
                <w:sz w:val="22"/>
              </w:rPr>
            </w:pPr>
            <w:r>
              <w:rPr>
                <w:rFonts w:hint="eastAsia" w:asciiTheme="minorEastAsia" w:hAnsiTheme="minorEastAsia"/>
                <w:sz w:val="22"/>
              </w:rPr>
              <w:t>安全生产许可证及三类人员证书</w:t>
            </w:r>
          </w:p>
        </w:tc>
        <w:tc>
          <w:tcPr>
            <w:tcW w:w="5409" w:type="dxa"/>
            <w:tcBorders>
              <w:top w:val="single" w:color="auto" w:sz="4" w:space="0"/>
              <w:left w:val="single" w:color="auto" w:sz="4" w:space="0"/>
              <w:bottom w:val="single" w:color="auto" w:sz="4" w:space="0"/>
              <w:right w:val="single" w:color="auto" w:sz="4" w:space="0"/>
            </w:tcBorders>
          </w:tcPr>
          <w:p>
            <w:pPr>
              <w:snapToGrid w:val="0"/>
              <w:rPr>
                <w:rFonts w:asciiTheme="minorEastAsia" w:hAnsiTheme="minorEastAsia"/>
                <w:sz w:val="22"/>
              </w:rPr>
            </w:pPr>
            <w:r>
              <w:rPr>
                <w:rFonts w:hint="eastAsia" w:asciiTheme="minorEastAsia" w:hAnsiTheme="minorEastAsia"/>
                <w:sz w:val="22"/>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项目经理</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restart"/>
            <w:tcBorders>
              <w:top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3</w:t>
            </w:r>
          </w:p>
        </w:tc>
        <w:tc>
          <w:tcPr>
            <w:tcW w:w="983" w:type="dxa"/>
            <w:vMerge w:val="restart"/>
            <w:tcBorders>
              <w:top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响应性评审</w:t>
            </w:r>
          </w:p>
          <w:p>
            <w:pPr>
              <w:snapToGrid w:val="0"/>
              <w:jc w:val="center"/>
              <w:rPr>
                <w:rFonts w:asciiTheme="minorEastAsia" w:hAnsiTheme="minorEastAsia"/>
                <w:sz w:val="22"/>
              </w:rPr>
            </w:pPr>
            <w:r>
              <w:rPr>
                <w:rFonts w:asciiTheme="minorEastAsia" w:hAnsiTheme="minorEastAsia"/>
                <w:sz w:val="22"/>
              </w:rPr>
              <w:t>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投标报价</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3</w:t>
            </w:r>
            <w:r>
              <w:rPr>
                <w:rFonts w:asciiTheme="minorEastAsia" w:hAnsiTheme="minorEastAsia"/>
                <w:sz w:val="22"/>
              </w:rPr>
              <w:t>.</w:t>
            </w:r>
            <w:r>
              <w:rPr>
                <w:rFonts w:hint="eastAsia" w:asciiTheme="minorEastAsia" w:hAnsiTheme="minorEastAsia"/>
                <w:sz w:val="22"/>
              </w:rPr>
              <w:t>3</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top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投标内容</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第1.</w:t>
            </w:r>
            <w:r>
              <w:rPr>
                <w:rFonts w:hint="eastAsia" w:asciiTheme="minorEastAsia" w:hAnsiTheme="minorEastAsia"/>
                <w:sz w:val="22"/>
              </w:rPr>
              <w:t>3</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工期</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1.7</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工程质量</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1.8</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权利义务</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w:t>
            </w:r>
            <w:r>
              <w:rPr>
                <w:rFonts w:hint="eastAsia" w:asciiTheme="minorEastAsia" w:hAnsiTheme="minorEastAsia"/>
                <w:sz w:val="22"/>
              </w:rPr>
              <w:t>三</w:t>
            </w:r>
            <w:r>
              <w:rPr>
                <w:rFonts w:asciiTheme="minorEastAsia" w:hAnsiTheme="minorEastAsia"/>
                <w:sz w:val="22"/>
              </w:rPr>
              <w:t>章“合同条款及格式”规定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已标价工程量清单</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3.3</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restart"/>
            <w:tcBorders>
              <w:top w:val="single" w:color="auto" w:sz="4" w:space="0"/>
              <w:right w:val="single" w:color="auto" w:sz="4" w:space="0"/>
            </w:tcBorders>
            <w:vAlign w:val="center"/>
          </w:tcPr>
          <w:p>
            <w:pPr>
              <w:snapToGrid w:val="0"/>
              <w:ind w:firstLine="120"/>
              <w:rPr>
                <w:rFonts w:asciiTheme="minorEastAsia" w:hAnsiTheme="minorEastAsia"/>
                <w:sz w:val="22"/>
              </w:rPr>
            </w:pPr>
            <w:r>
              <w:rPr>
                <w:rFonts w:asciiTheme="minorEastAsia" w:hAnsiTheme="minorEastAsia"/>
                <w:sz w:val="22"/>
              </w:rPr>
              <w:t>.4</w:t>
            </w:r>
          </w:p>
        </w:tc>
        <w:tc>
          <w:tcPr>
            <w:tcW w:w="983" w:type="dxa"/>
            <w:vMerge w:val="restart"/>
            <w:tcBorders>
              <w:top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施工组织设计评审标准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质量管理体系与措施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安全管理体系与措施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环境保护管理体系与措施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jc w:val="center"/>
              <w:rPr>
                <w:rFonts w:asciiTheme="minorEastAsia" w:hAnsiTheme="minorEastAsia"/>
                <w:sz w:val="22"/>
              </w:rPr>
            </w:pPr>
            <w:r>
              <w:rPr>
                <w:rFonts w:asciiTheme="minorEastAsia" w:hAnsiTheme="minorEastAsia"/>
                <w:sz w:val="22"/>
              </w:rPr>
              <w:t>工程进度计划与措施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资源配备计划</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bl>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（2）投标人有以下情形之一的，其投标作废标处理：</w:t>
      </w:r>
    </w:p>
    <w:p>
      <w:pPr>
        <w:adjustRightInd w:val="0"/>
        <w:snapToGrid w:val="0"/>
        <w:spacing w:line="360" w:lineRule="exact"/>
        <w:ind w:firstLine="440"/>
        <w:rPr>
          <w:rFonts w:ascii="宋体" w:hAnsi="宋体" w:cs="Calibri"/>
          <w:kern w:val="0"/>
          <w:sz w:val="22"/>
        </w:rPr>
      </w:pPr>
      <w:r>
        <w:rPr>
          <w:rFonts w:ascii="宋体" w:hAnsi="宋体" w:cs="Calibri"/>
          <w:kern w:val="0"/>
          <w:sz w:val="22"/>
        </w:rPr>
        <w:t>a</w:t>
      </w:r>
      <w:r>
        <w:rPr>
          <w:rFonts w:hint="eastAsia" w:ascii="宋体" w:hAnsi="宋体" w:cs="Calibri"/>
          <w:kern w:val="0"/>
          <w:sz w:val="22"/>
        </w:rPr>
        <w:t>.串通投标或弄虚作假或有其他违法行为的；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 xml:space="preserve">b.不按评标委员会要求澄清、说明或补正的。 </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（3）投标报价有算术错误的，评标委员会按以下原则对投标报价进行修正，修正的价格经投标人书面确认后具有约束力。投标人不接受修正价格的，其投标作废标处理。</w:t>
      </w:r>
    </w:p>
    <w:p>
      <w:pPr>
        <w:adjustRightInd w:val="0"/>
        <w:snapToGrid w:val="0"/>
        <w:spacing w:line="360" w:lineRule="exact"/>
        <w:ind w:firstLine="440"/>
        <w:rPr>
          <w:rFonts w:ascii="宋体" w:hAnsi="宋体" w:cs="Calibri"/>
          <w:kern w:val="0"/>
          <w:sz w:val="22"/>
        </w:rPr>
      </w:pPr>
      <w:r>
        <w:rPr>
          <w:rFonts w:ascii="宋体" w:hAnsi="宋体" w:cs="Calibri"/>
          <w:kern w:val="0"/>
          <w:sz w:val="22"/>
        </w:rPr>
        <w:t>a</w:t>
      </w:r>
      <w:r>
        <w:rPr>
          <w:rFonts w:hint="eastAsia" w:ascii="宋体" w:hAnsi="宋体" w:cs="Calibri"/>
          <w:kern w:val="0"/>
          <w:sz w:val="22"/>
        </w:rPr>
        <w:t>.投标文件中的大写金额与小写金额不一致的，以大写金额为准；</w:t>
      </w:r>
    </w:p>
    <w:p>
      <w:pPr>
        <w:adjustRightInd w:val="0"/>
        <w:snapToGrid w:val="0"/>
        <w:spacing w:line="360" w:lineRule="exact"/>
        <w:ind w:firstLine="440"/>
        <w:rPr>
          <w:rFonts w:ascii="宋体" w:hAnsi="宋体" w:cs="Calibri"/>
          <w:kern w:val="0"/>
          <w:sz w:val="22"/>
        </w:rPr>
      </w:pPr>
      <w:r>
        <w:rPr>
          <w:rFonts w:ascii="宋体" w:hAnsi="宋体" w:cs="Calibri"/>
          <w:kern w:val="0"/>
          <w:sz w:val="22"/>
        </w:rPr>
        <w:t>b</w:t>
      </w:r>
      <w:r>
        <w:rPr>
          <w:rFonts w:hint="eastAsia" w:ascii="宋体" w:hAnsi="宋体" w:cs="Calibri"/>
          <w:kern w:val="0"/>
          <w:sz w:val="22"/>
        </w:rPr>
        <w:t>.总价金额与依据单价计算出的结果不一致的，以单价金额为准修正总价，但单价金额小数点有明显错误的除外。</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6.4.2 详细评审</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 xml:space="preserve"> 如商务报价中有以下情况之一的，按商务审查不合格处理：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（1）投标人未按招标文件规定要求进行报价，拒绝修正不平衡报价，拒绝提供报价分析说明和证明材料的；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（2）评标委员会认定属投标人自身原因有重大漏项的；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（3）投标报价明显低于其他投标报价，使其投标报价可能低于其成本的，并投标人不能合理说明或者不能提供相应证明材料的；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（4）如所有投标人的报价均偏高，招标人将重新组织招标。</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经评审后的有效标少于3家时，如果评标委员会认定其投标仍具有竞争性，可继续进行评审；否则，评标委员会可否决所有投标，本次招标失败，招标人将依法组织重新招标。</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6.4.3 投标文件的澄清和补正</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（1）在评标过程中，评标委员会可以书面形式要求投标人对所提交的投标文件中不明确的内容进行书面澄清或说明，或者对细微偏差进行补 。评标委员会不接受投标人主动提出的澄清、说明或补正。</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（2）澄清、说明和补正不得改变投标文件的实质性内容（算术性错误修正的除外）。投标人的书面澄清、说明和补正属于投标文件的组成部分。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（3）评标委员会对投标人提交的澄清、说明或补正有疑问的，可以要求投标人进一步澄清、说明或补正，直至满足评标委员会的要求。</w:t>
      </w:r>
    </w:p>
    <w:p>
      <w:pPr>
        <w:autoSpaceDE w:val="0"/>
        <w:autoSpaceDN w:val="0"/>
        <w:adjustRightInd w:val="0"/>
        <w:snapToGrid w:val="0"/>
        <w:spacing w:line="360" w:lineRule="exact"/>
        <w:rPr>
          <w:rFonts w:ascii="宋体" w:hAnsi="宋体" w:cs="Calibri"/>
          <w:b/>
          <w:bCs/>
          <w:kern w:val="0"/>
          <w:sz w:val="22"/>
        </w:rPr>
      </w:pPr>
      <w:bookmarkStart w:id="41" w:name="_Toc152042374"/>
      <w:bookmarkStart w:id="42" w:name="_Toc246392117"/>
      <w:bookmarkStart w:id="43" w:name="_Toc179632615"/>
      <w:bookmarkStart w:id="44" w:name="_Toc152045597"/>
      <w:bookmarkStart w:id="45" w:name="_Toc144974564"/>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w:t>
      </w:r>
      <w:r>
        <w:rPr>
          <w:rFonts w:ascii="宋体" w:hAnsi="宋体" w:cs="Calibri"/>
          <w:b/>
          <w:bCs/>
          <w:kern w:val="0"/>
          <w:sz w:val="22"/>
        </w:rPr>
        <w:t>4</w:t>
      </w:r>
      <w:r>
        <w:rPr>
          <w:rFonts w:hint="eastAsia" w:ascii="宋体" w:hAnsi="宋体" w:cs="Calibri"/>
          <w:b/>
          <w:bCs/>
          <w:kern w:val="0"/>
          <w:sz w:val="22"/>
        </w:rPr>
        <w:t>评分细则</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1、商务分：</w:t>
      </w:r>
      <w:r>
        <w:rPr>
          <w:rFonts w:ascii="宋体" w:hAnsi="宋体" w:cs="Calibri"/>
          <w:kern w:val="0"/>
          <w:sz w:val="22"/>
        </w:rPr>
        <w:t>20</w:t>
      </w:r>
      <w:r>
        <w:rPr>
          <w:rFonts w:hint="eastAsia" w:ascii="宋体" w:hAnsi="宋体" w:cs="Calibri"/>
          <w:kern w:val="0"/>
          <w:sz w:val="22"/>
        </w:rPr>
        <w:t>-</w:t>
      </w:r>
      <w:r>
        <w:rPr>
          <w:rFonts w:ascii="宋体" w:hAnsi="宋体" w:cs="Calibri"/>
          <w:kern w:val="0"/>
          <w:sz w:val="22"/>
        </w:rPr>
        <w:t>70</w:t>
      </w:r>
      <w:r>
        <w:rPr>
          <w:rFonts w:hint="eastAsia" w:ascii="宋体" w:hAnsi="宋体" w:cs="Calibri"/>
          <w:kern w:val="0"/>
          <w:sz w:val="22"/>
        </w:rPr>
        <w:t>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商务标评审应以报价口径范围一致的投标评标价为依据，投标评标价应在最终报价的基础上，按照招标文件约定的因素和方法进行计算。凡属招标文件的原因造成报价口径范围不一致的，应调整投标人报价，但因投标人自身失误造成多算、少算、漏算的，不得调整。</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（2）投标文件的商务评分为报价计算得分70分，由评标委员会指定专人计算并复核。</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与基准价相等的为满分70分。投标总价每高于基准价1%，扣1分。投标总价每低于基准价1%，扣0.5分。此项分值由评标委员会统一计算打分。</w:t>
      </w:r>
    </w:p>
    <w:p>
      <w:pPr>
        <w:adjustRightInd w:val="0"/>
        <w:snapToGrid w:val="0"/>
        <w:spacing w:line="360" w:lineRule="exact"/>
        <w:rPr>
          <w:rFonts w:ascii="宋体" w:hAnsi="宋体" w:cs="Calibri"/>
          <w:kern w:val="0"/>
          <w:sz w:val="22"/>
        </w:rPr>
      </w:pPr>
      <w:r>
        <w:rPr>
          <w:rFonts w:hint="eastAsia" w:ascii="宋体" w:hAnsi="宋体" w:cs="Calibri"/>
          <w:kern w:val="0"/>
          <w:sz w:val="22"/>
        </w:rPr>
        <w:t>评分时保留小数2位，计算评分值时保留小数2位。报价得分不足</w:t>
      </w:r>
      <w:r>
        <w:rPr>
          <w:rFonts w:ascii="宋体" w:hAnsi="宋体" w:cs="Calibri"/>
          <w:kern w:val="0"/>
          <w:sz w:val="22"/>
        </w:rPr>
        <w:t>20</w:t>
      </w:r>
      <w:r>
        <w:rPr>
          <w:rFonts w:hint="eastAsia" w:ascii="宋体" w:hAnsi="宋体" w:cs="Calibri"/>
          <w:kern w:val="0"/>
          <w:sz w:val="22"/>
        </w:rPr>
        <w:t>分，给</w:t>
      </w:r>
      <w:r>
        <w:rPr>
          <w:rFonts w:ascii="宋体" w:hAnsi="宋体" w:cs="Calibri"/>
          <w:kern w:val="0"/>
          <w:sz w:val="22"/>
        </w:rPr>
        <w:t>20</w:t>
      </w:r>
      <w:r>
        <w:rPr>
          <w:rFonts w:hint="eastAsia" w:ascii="宋体" w:hAnsi="宋体" w:cs="Calibri"/>
          <w:kern w:val="0"/>
          <w:sz w:val="22"/>
        </w:rPr>
        <w:t>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2、投标文件的技术标评审   12-</w:t>
      </w:r>
      <w:r>
        <w:rPr>
          <w:rFonts w:ascii="宋体" w:hAnsi="宋体" w:cs="Calibri"/>
          <w:kern w:val="0"/>
          <w:sz w:val="22"/>
        </w:rPr>
        <w:t>30</w:t>
      </w:r>
      <w:r>
        <w:rPr>
          <w:rFonts w:hint="eastAsia" w:ascii="宋体" w:hAnsi="宋体" w:cs="Calibri"/>
          <w:kern w:val="0"/>
          <w:sz w:val="22"/>
        </w:rPr>
        <w:t>分</w:t>
      </w:r>
    </w:p>
    <w:tbl>
      <w:tblPr>
        <w:tblStyle w:val="52"/>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7"/>
        <w:gridCol w:w="1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b/>
                <w:sz w:val="22"/>
              </w:rPr>
            </w:pPr>
            <w:r>
              <w:rPr>
                <w:rFonts w:hint="eastAsia" w:ascii="宋体" w:hAnsi="宋体" w:eastAsia="宋体" w:cs="宋体"/>
                <w:b/>
                <w:sz w:val="22"/>
                <w:lang w:bidi="ar"/>
              </w:rPr>
              <w:t>评定项目</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b/>
                <w:sz w:val="22"/>
              </w:rPr>
            </w:pPr>
            <w:r>
              <w:rPr>
                <w:rFonts w:hint="eastAsia" w:ascii="宋体" w:hAnsi="宋体" w:eastAsia="宋体" w:cs="宋体"/>
                <w:b/>
                <w:sz w:val="22"/>
                <w:lang w:bidi="ar"/>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施工现场总平布置的合理性</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rPr>
            </w:pPr>
            <w:r>
              <w:rPr>
                <w:rFonts w:hint="eastAsia" w:ascii="宋体" w:hAnsi="宋体" w:eastAsia="宋体" w:cs="宋体"/>
                <w:sz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施工质量的控制和检验手段是否科学、可靠；</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snapToGrid w:val="0"/>
              <w:jc w:val="center"/>
              <w:rPr>
                <w:rFonts w:ascii="宋体" w:hAnsi="宋体" w:eastAsia="宋体" w:cs="宋体"/>
                <w:sz w:val="22"/>
              </w:rPr>
            </w:pPr>
            <w:r>
              <w:rPr>
                <w:rFonts w:hint="eastAsia" w:ascii="宋体" w:hAnsi="宋体" w:eastAsia="宋体" w:cs="宋体"/>
                <w:sz w:val="22"/>
                <w:lang w:bidi="ar"/>
              </w:rPr>
              <w:t>2—4分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施工进度网络计划、关键节点的技术保证措施是否具有针对性和可行性</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center"/>
              <w:rPr>
                <w:rFonts w:ascii="宋体" w:hAnsi="宋体" w:eastAsia="宋体" w:cs="宋体"/>
                <w:sz w:val="22"/>
                <w:szCs w:val="22"/>
              </w:rPr>
            </w:pPr>
            <w:r>
              <w:rPr>
                <w:rFonts w:hint="eastAsia" w:ascii="宋体" w:hAnsi="宋体" w:eastAsia="宋体" w:cs="宋体"/>
                <w:sz w:val="22"/>
                <w:szCs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工期承诺及组织保证措施的可行性、合理性</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center"/>
              <w:rPr>
                <w:rFonts w:ascii="宋体" w:hAnsi="宋体" w:eastAsia="宋体" w:cs="宋体"/>
                <w:sz w:val="22"/>
                <w:szCs w:val="22"/>
              </w:rPr>
            </w:pPr>
            <w:r>
              <w:rPr>
                <w:rFonts w:hint="eastAsia" w:ascii="宋体" w:hAnsi="宋体" w:eastAsia="宋体" w:cs="宋体"/>
                <w:sz w:val="22"/>
                <w:szCs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原材料、半成品、外购件的质量保证措施是否可靠</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snapToGrid w:val="0"/>
              <w:jc w:val="center"/>
              <w:rPr>
                <w:rFonts w:ascii="宋体" w:hAnsi="宋体" w:eastAsia="宋体" w:cs="宋体"/>
                <w:sz w:val="22"/>
              </w:rPr>
            </w:pPr>
            <w:r>
              <w:rPr>
                <w:rFonts w:hint="eastAsia" w:ascii="宋体" w:hAnsi="宋体" w:eastAsia="宋体" w:cs="宋体"/>
                <w:sz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施工机具和检验仪器的投入是否能够满足工程质量和进度的要求</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b/>
                <w:sz w:val="22"/>
              </w:rPr>
            </w:pPr>
            <w:r>
              <w:rPr>
                <w:rFonts w:hint="eastAsia" w:ascii="宋体" w:hAnsi="宋体" w:eastAsia="宋体" w:cs="宋体"/>
                <w:sz w:val="22"/>
                <w:lang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highlight w:val="yellow"/>
              </w:rPr>
            </w:pPr>
            <w:r>
              <w:rPr>
                <w:rFonts w:hint="eastAsia" w:ascii="宋体" w:hAnsi="宋体" w:eastAsia="宋体" w:cs="宋体"/>
                <w:sz w:val="22"/>
                <w:szCs w:val="22"/>
                <w:lang w:bidi="ar"/>
              </w:rPr>
              <w:t>各专业工种的配置和劳动力的投入是否能满足工程的需要</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highlight w:val="yellow"/>
              </w:rPr>
            </w:pPr>
            <w:r>
              <w:rPr>
                <w:rFonts w:hint="eastAsia" w:ascii="宋体" w:hAnsi="宋体" w:eastAsia="宋体" w:cs="宋体"/>
                <w:sz w:val="22"/>
                <w:lang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工程关键部位的施工方案及保证措施是否具有针对性、科学合理</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highlight w:val="yellow"/>
              </w:rPr>
            </w:pPr>
            <w:r>
              <w:rPr>
                <w:rFonts w:hint="eastAsia" w:ascii="宋体" w:hAnsi="宋体" w:eastAsia="宋体" w:cs="宋体"/>
                <w:sz w:val="22"/>
                <w:lang w:bidi="ar"/>
              </w:rPr>
              <w:t>2—4分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安全、文明施工及市政、市容、环保、消防等的保证措施是否科学、合理、到位</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highlight w:val="yellow"/>
              </w:rPr>
            </w:pPr>
            <w:r>
              <w:rPr>
                <w:rFonts w:hint="eastAsia" w:ascii="宋体" w:hAnsi="宋体" w:eastAsia="宋体" w:cs="宋体"/>
                <w:sz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6"/>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项目班子配备力量及合理性、技术管理人员专业配置的全面合理性</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rPr>
                <w:rFonts w:ascii="宋体" w:hAnsi="宋体" w:eastAsia="宋体" w:cs="宋体"/>
                <w:sz w:val="22"/>
              </w:rPr>
            </w:pPr>
            <w:r>
              <w:rPr>
                <w:rFonts w:hint="eastAsia" w:ascii="宋体" w:hAnsi="宋体" w:eastAsia="宋体" w:cs="宋体"/>
                <w:sz w:val="22"/>
                <w:lang w:bidi="ar"/>
              </w:rPr>
              <w:t>1—3分</w:t>
            </w:r>
          </w:p>
        </w:tc>
      </w:tr>
    </w:tbl>
    <w:p>
      <w:pPr>
        <w:adjustRightInd w:val="0"/>
        <w:snapToGrid w:val="0"/>
        <w:spacing w:line="360" w:lineRule="exact"/>
        <w:ind w:firstLine="550" w:firstLineChars="250"/>
        <w:rPr>
          <w:rFonts w:ascii="宋体" w:hAnsi="宋体" w:cs="Calibri"/>
          <w:kern w:val="0"/>
          <w:sz w:val="22"/>
        </w:rPr>
      </w:pPr>
    </w:p>
    <w:p>
      <w:pPr>
        <w:adjustRightInd w:val="0"/>
        <w:snapToGrid w:val="0"/>
        <w:spacing w:line="360" w:lineRule="exact"/>
        <w:ind w:firstLine="440"/>
        <w:rPr>
          <w:rFonts w:ascii="宋体" w:hAnsi="宋体" w:cs="Calibri"/>
          <w:b/>
          <w:bCs/>
          <w:kern w:val="0"/>
          <w:sz w:val="22"/>
          <w:u w:val="single"/>
        </w:rPr>
      </w:pPr>
      <w:r>
        <w:rPr>
          <w:rFonts w:hint="eastAsia" w:ascii="宋体" w:hAnsi="宋体" w:cs="Calibri"/>
          <w:b/>
          <w:bCs/>
          <w:kern w:val="0"/>
          <w:sz w:val="22"/>
        </w:rPr>
        <w:t>本次招标设置投标控制价：</w:t>
      </w:r>
      <w:r>
        <w:rPr>
          <w:rFonts w:hint="eastAsia" w:ascii="宋体" w:hAnsi="宋体" w:cs="Calibri"/>
          <w:b/>
          <w:bCs/>
          <w:kern w:val="0"/>
          <w:sz w:val="22"/>
          <w:u w:val="single"/>
        </w:rPr>
        <w:t>18万元。</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如所有投标单位的报价均偏高，招标人将有可能否决所有投标重新招标。</w:t>
      </w:r>
    </w:p>
    <w:p>
      <w:pPr>
        <w:autoSpaceDE w:val="0"/>
        <w:autoSpaceDN w:val="0"/>
        <w:adjustRightInd w:val="0"/>
        <w:snapToGrid w:val="0"/>
        <w:spacing w:line="360" w:lineRule="exact"/>
        <w:rPr>
          <w:rFonts w:ascii="宋体" w:hAnsi="宋体" w:cs="Calibri"/>
          <w:b/>
          <w:bCs/>
          <w:kern w:val="0"/>
          <w:sz w:val="22"/>
        </w:rPr>
      </w:pP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w:t>
      </w:r>
      <w:r>
        <w:rPr>
          <w:rFonts w:ascii="宋体" w:hAnsi="宋体" w:cs="Calibri"/>
          <w:b/>
          <w:bCs/>
          <w:kern w:val="0"/>
          <w:sz w:val="22"/>
        </w:rPr>
        <w:t>5</w:t>
      </w:r>
      <w:r>
        <w:rPr>
          <w:rFonts w:hint="eastAsia" w:ascii="宋体" w:hAnsi="宋体" w:cs="Calibri"/>
          <w:b/>
          <w:bCs/>
          <w:kern w:val="0"/>
          <w:sz w:val="22"/>
        </w:rPr>
        <w:t>评标结果</w:t>
      </w:r>
      <w:bookmarkEnd w:id="41"/>
      <w:bookmarkEnd w:id="42"/>
      <w:bookmarkEnd w:id="43"/>
      <w:bookmarkEnd w:id="44"/>
      <w:bookmarkEnd w:id="45"/>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（1）能够满足招标文件的实质性要求，并且综合得分第一、第二的投标人，推荐为第一、第二中标候选人。</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（2）评标委员会完成评标后，应当向招标人提交书面评标报告。招标人收到评标报告后，进行评标结果公示，公示期3天。</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w:t>
      </w:r>
      <w:r>
        <w:rPr>
          <w:rFonts w:ascii="宋体" w:hAnsi="宋体" w:cs="Calibri"/>
          <w:kern w:val="0"/>
          <w:sz w:val="22"/>
        </w:rPr>
        <w:t>招标人将确定评标委员会推荐的</w:t>
      </w:r>
      <w:r>
        <w:rPr>
          <w:rFonts w:hint="eastAsia" w:ascii="宋体" w:hAnsi="宋体" w:cs="Calibri"/>
          <w:kern w:val="0"/>
          <w:sz w:val="22"/>
        </w:rPr>
        <w:t>第一</w:t>
      </w:r>
      <w:r>
        <w:rPr>
          <w:rFonts w:ascii="宋体" w:hAnsi="宋体" w:cs="Calibri"/>
          <w:kern w:val="0"/>
          <w:sz w:val="22"/>
        </w:rPr>
        <w:t>中标候选人为中标人。</w:t>
      </w:r>
      <w:r>
        <w:rPr>
          <w:rFonts w:hint="eastAsia" w:ascii="宋体" w:hAnsi="宋体" w:cs="Calibri"/>
          <w:kern w:val="0"/>
          <w:sz w:val="22"/>
        </w:rPr>
        <w:t>第一</w:t>
      </w:r>
      <w:r>
        <w:rPr>
          <w:rFonts w:ascii="宋体" w:hAnsi="宋体" w:cs="Calibri"/>
          <w:kern w:val="0"/>
          <w:sz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ascii="宋体" w:hAnsi="宋体" w:cs="Calibri"/>
          <w:kern w:val="0"/>
          <w:sz w:val="22"/>
        </w:rPr>
        <w:t>或</w:t>
      </w:r>
      <w:r>
        <w:rPr>
          <w:rFonts w:ascii="宋体" w:hAnsi="宋体" w:cs="Calibri"/>
          <w:kern w:val="0"/>
          <w:sz w:val="22"/>
        </w:rPr>
        <w:t>重新招标。</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（4）</w:t>
      </w:r>
      <w:r>
        <w:rPr>
          <w:rFonts w:ascii="宋体" w:hAnsi="宋体" w:cs="Calibri"/>
          <w:kern w:val="0"/>
          <w:sz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（5）</w:t>
      </w:r>
      <w:r>
        <w:rPr>
          <w:rFonts w:ascii="宋体" w:hAnsi="宋体" w:cs="Calibri"/>
          <w:kern w:val="0"/>
          <w:sz w:val="22"/>
        </w:rPr>
        <w:t>如发生投诉争议等情况时，经查实中标候选人存在违法、违规行为，不符合中标条件，且该行为在评标时是无法发现和确认的，招标人可以在其他中标候选人中按照推荐的排序确定中标人</w:t>
      </w:r>
      <w:r>
        <w:rPr>
          <w:rFonts w:hint="eastAsia" w:ascii="宋体" w:hAnsi="宋体" w:cs="Calibri"/>
          <w:kern w:val="0"/>
          <w:sz w:val="22"/>
        </w:rPr>
        <w:t>或</w:t>
      </w:r>
      <w:r>
        <w:rPr>
          <w:rFonts w:ascii="宋体" w:hAnsi="宋体" w:cs="Calibri"/>
          <w:kern w:val="0"/>
          <w:sz w:val="22"/>
        </w:rPr>
        <w:t>重新招标。</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（6）招标人对评标、定标结果不负责解释。</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7.合同授予</w:t>
      </w:r>
    </w:p>
    <w:p>
      <w:pPr>
        <w:autoSpaceDE w:val="0"/>
        <w:autoSpaceDN w:val="0"/>
        <w:adjustRightInd w:val="0"/>
        <w:snapToGrid w:val="0"/>
        <w:spacing w:line="360" w:lineRule="exact"/>
        <w:rPr>
          <w:rFonts w:ascii="宋体" w:hAnsi="宋体" w:cs="Calibri"/>
          <w:b/>
          <w:bCs/>
          <w:kern w:val="0"/>
          <w:sz w:val="22"/>
        </w:rPr>
      </w:pPr>
      <w:bookmarkStart w:id="46" w:name="_Toc18809"/>
      <w:r>
        <w:rPr>
          <w:rFonts w:ascii="宋体" w:hAnsi="宋体" w:cs="Calibri"/>
          <w:b/>
          <w:bCs/>
          <w:kern w:val="0"/>
          <w:sz w:val="22"/>
        </w:rPr>
        <w:t>7.1 定标方式</w:t>
      </w:r>
      <w:bookmarkEnd w:id="46"/>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7" w:name="_Toc14573"/>
      <w:r>
        <w:rPr>
          <w:rFonts w:ascii="宋体" w:hAnsi="宋体" w:cs="Calibri"/>
          <w:b/>
          <w:bCs/>
          <w:kern w:val="0"/>
          <w:sz w:val="22"/>
        </w:rPr>
        <w:t>7.2 中标通知</w:t>
      </w:r>
      <w:bookmarkEnd w:id="47"/>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在投标人须知第3.4款规定的投标有效期内，招标人以书面形式向中标人发出中标通知书，同时将中标结果通知未中标的投标人。</w:t>
      </w:r>
    </w:p>
    <w:p>
      <w:pPr>
        <w:autoSpaceDE w:val="0"/>
        <w:autoSpaceDN w:val="0"/>
        <w:adjustRightInd w:val="0"/>
        <w:snapToGrid w:val="0"/>
        <w:spacing w:line="360" w:lineRule="exact"/>
        <w:rPr>
          <w:rFonts w:ascii="宋体" w:hAnsi="宋体" w:cs="Calibri"/>
          <w:b/>
          <w:bCs/>
          <w:kern w:val="0"/>
          <w:sz w:val="22"/>
        </w:rPr>
      </w:pPr>
      <w:bookmarkStart w:id="48" w:name="_Toc27132"/>
      <w:r>
        <w:rPr>
          <w:rFonts w:ascii="宋体" w:hAnsi="宋体" w:cs="Calibri"/>
          <w:b/>
          <w:bCs/>
          <w:kern w:val="0"/>
          <w:sz w:val="22"/>
        </w:rPr>
        <w:t>7.3 履约</w:t>
      </w:r>
      <w:r>
        <w:rPr>
          <w:rFonts w:hint="eastAsia" w:ascii="宋体" w:hAnsi="宋体" w:cs="Calibri"/>
          <w:b/>
          <w:bCs/>
          <w:kern w:val="0"/>
          <w:sz w:val="22"/>
        </w:rPr>
        <w:t>保证金</w:t>
      </w:r>
      <w:bookmarkEnd w:id="48"/>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9" w:name="_Toc27581"/>
      <w:r>
        <w:rPr>
          <w:rFonts w:ascii="宋体" w:hAnsi="宋体" w:cs="Calibri"/>
          <w:b/>
          <w:bCs/>
          <w:kern w:val="0"/>
          <w:sz w:val="22"/>
        </w:rPr>
        <w:t>7.4 签订合同</w:t>
      </w:r>
      <w:bookmarkEnd w:id="49"/>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50" w:name="_Toc11806"/>
      <w:bookmarkStart w:id="51" w:name="_Toc220123241"/>
      <w:bookmarkStart w:id="52" w:name="_Toc219809801"/>
      <w:r>
        <w:rPr>
          <w:rFonts w:ascii="宋体" w:hAnsi="宋体" w:cs="Calibri"/>
          <w:kern w:val="0"/>
          <w:sz w:val="22"/>
        </w:rPr>
        <w:t>.4.1招标人和中标人应当自中标通知书发出之日起30个工作日内订立书面</w:t>
      </w:r>
      <w:r>
        <w:rPr>
          <w:rFonts w:hint="eastAsia" w:ascii="宋体" w:hAnsi="宋体" w:cs="Calibri"/>
          <w:kern w:val="0"/>
          <w:sz w:val="22"/>
        </w:rPr>
        <w:t>施工合同</w:t>
      </w:r>
      <w:r>
        <w:rPr>
          <w:rFonts w:ascii="宋体" w:hAnsi="宋体" w:cs="Calibri"/>
          <w:kern w:val="0"/>
          <w:sz w:val="22"/>
        </w:rPr>
        <w:t>（合同条款按第</w:t>
      </w:r>
      <w:r>
        <w:rPr>
          <w:rFonts w:hint="eastAsia" w:ascii="宋体" w:hAnsi="宋体" w:cs="Calibri"/>
          <w:kern w:val="0"/>
          <w:sz w:val="22"/>
        </w:rPr>
        <w:t>三</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及格式”</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50"/>
      <w:bookmarkEnd w:id="51"/>
      <w:bookmarkEnd w:id="52"/>
    </w:p>
    <w:p>
      <w:pPr>
        <w:autoSpaceDE w:val="0"/>
        <w:autoSpaceDN w:val="0"/>
        <w:adjustRightInd w:val="0"/>
        <w:snapToGrid w:val="0"/>
        <w:spacing w:line="360" w:lineRule="exact"/>
        <w:rPr>
          <w:rFonts w:ascii="宋体" w:hAnsi="宋体" w:cs="Calibri"/>
          <w:b/>
          <w:bCs/>
          <w:kern w:val="0"/>
          <w:sz w:val="22"/>
        </w:rPr>
      </w:pPr>
      <w:bookmarkStart w:id="53" w:name="_Toc219809802"/>
      <w:bookmarkStart w:id="54" w:name="_Toc220123242"/>
      <w:bookmarkStart w:id="55" w:name="_Toc15553"/>
      <w:r>
        <w:rPr>
          <w:rFonts w:ascii="宋体" w:hAnsi="宋体" w:cs="Calibri"/>
          <w:b/>
          <w:bCs/>
          <w:kern w:val="0"/>
          <w:sz w:val="22"/>
        </w:rPr>
        <w:t>8.1 重新招标</w:t>
      </w:r>
      <w:bookmarkEnd w:id="53"/>
      <w:bookmarkEnd w:id="54"/>
      <w:bookmarkEnd w:id="55"/>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56" w:name="_Toc219809803"/>
      <w:bookmarkStart w:id="57" w:name="_Toc220123243"/>
      <w:bookmarkStart w:id="58" w:name="_Toc18806"/>
      <w:r>
        <w:rPr>
          <w:rFonts w:ascii="宋体" w:hAnsi="宋体" w:cs="Calibri"/>
          <w:b/>
          <w:bCs/>
          <w:kern w:val="0"/>
          <w:sz w:val="22"/>
        </w:rPr>
        <w:t>8.2 不再招标</w:t>
      </w:r>
      <w:bookmarkEnd w:id="56"/>
      <w:bookmarkEnd w:id="57"/>
      <w:bookmarkEnd w:id="58"/>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9" w:name="_Toc215941254"/>
      <w:bookmarkStart w:id="60" w:name="_Toc2986"/>
      <w:bookmarkStart w:id="61" w:name="_Toc220123244"/>
      <w:bookmarkStart w:id="62" w:name="_Toc219809804"/>
      <w:r>
        <w:rPr>
          <w:rFonts w:ascii="宋体" w:hAnsi="宋体" w:cs="Calibri"/>
          <w:b/>
          <w:bCs/>
          <w:kern w:val="0"/>
          <w:sz w:val="22"/>
        </w:rPr>
        <w:t>9.纪律和监督</w:t>
      </w:r>
      <w:bookmarkEnd w:id="59"/>
      <w:bookmarkEnd w:id="60"/>
      <w:bookmarkEnd w:id="61"/>
      <w:bookmarkEnd w:id="62"/>
    </w:p>
    <w:p>
      <w:pPr>
        <w:autoSpaceDE w:val="0"/>
        <w:autoSpaceDN w:val="0"/>
        <w:adjustRightInd w:val="0"/>
        <w:snapToGrid w:val="0"/>
        <w:spacing w:line="360" w:lineRule="exact"/>
        <w:rPr>
          <w:rFonts w:ascii="宋体" w:hAnsi="宋体" w:cs="Calibri"/>
          <w:b/>
          <w:bCs/>
          <w:kern w:val="0"/>
          <w:sz w:val="22"/>
        </w:rPr>
      </w:pPr>
      <w:bookmarkStart w:id="63" w:name="_Toc220123245"/>
      <w:bookmarkStart w:id="64" w:name="_Toc219809805"/>
      <w:bookmarkStart w:id="65" w:name="_Toc5509"/>
      <w:r>
        <w:rPr>
          <w:rFonts w:ascii="宋体" w:hAnsi="宋体" w:cs="Calibri"/>
          <w:b/>
          <w:bCs/>
          <w:kern w:val="0"/>
          <w:sz w:val="22"/>
        </w:rPr>
        <w:t>9.1 对招标人的纪律要求</w:t>
      </w:r>
      <w:bookmarkEnd w:id="63"/>
      <w:bookmarkEnd w:id="64"/>
      <w:bookmarkEnd w:id="6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66" w:name="_Toc219809806"/>
      <w:bookmarkStart w:id="67" w:name="_Toc220123246"/>
      <w:bookmarkStart w:id="68" w:name="_Toc10820"/>
      <w:r>
        <w:rPr>
          <w:rFonts w:ascii="宋体" w:hAnsi="宋体" w:cs="Calibri"/>
          <w:b/>
          <w:bCs/>
          <w:kern w:val="0"/>
          <w:sz w:val="22"/>
        </w:rPr>
        <w:t>9.2 对投标人的纪律要求</w:t>
      </w:r>
      <w:bookmarkEnd w:id="66"/>
      <w:bookmarkEnd w:id="67"/>
      <w:bookmarkEnd w:id="68"/>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rPr>
          <w:rFonts w:ascii="宋体" w:hAnsi="宋体" w:cs="Calibri"/>
          <w:b/>
          <w:bCs/>
          <w:kern w:val="0"/>
          <w:sz w:val="22"/>
        </w:rPr>
      </w:pPr>
      <w:bookmarkStart w:id="69" w:name="_Toc220123247"/>
      <w:bookmarkStart w:id="70" w:name="_Toc10756"/>
      <w:bookmarkStart w:id="71" w:name="_Toc219809807"/>
      <w:r>
        <w:rPr>
          <w:rFonts w:ascii="宋体" w:hAnsi="宋体" w:cs="Calibri"/>
          <w:b/>
          <w:bCs/>
          <w:kern w:val="0"/>
          <w:sz w:val="22"/>
        </w:rPr>
        <w:t>9.3 对评标委员会成员的纪律要求</w:t>
      </w:r>
      <w:bookmarkEnd w:id="69"/>
      <w:bookmarkEnd w:id="70"/>
      <w:bookmarkEnd w:id="71"/>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72" w:name="_Toc12792"/>
      <w:bookmarkStart w:id="73" w:name="_Toc219809808"/>
      <w:bookmarkStart w:id="74" w:name="_Toc220123248"/>
      <w:r>
        <w:rPr>
          <w:rFonts w:ascii="宋体" w:hAnsi="宋体" w:cs="Calibri"/>
          <w:b/>
          <w:bCs/>
          <w:kern w:val="0"/>
          <w:sz w:val="22"/>
        </w:rPr>
        <w:t>9.4 对评标活动有关的工作人员的纪律要求</w:t>
      </w:r>
      <w:bookmarkEnd w:id="72"/>
      <w:bookmarkEnd w:id="73"/>
      <w:bookmarkEnd w:id="74"/>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75" w:name="_Toc239"/>
      <w:bookmarkStart w:id="76" w:name="_Toc219809809"/>
      <w:bookmarkStart w:id="77" w:name="_Toc220123249"/>
      <w:r>
        <w:rPr>
          <w:rFonts w:ascii="宋体" w:hAnsi="宋体" w:cs="Calibri"/>
          <w:b/>
          <w:bCs/>
          <w:kern w:val="0"/>
          <w:sz w:val="22"/>
        </w:rPr>
        <w:t>9.5 投诉</w:t>
      </w:r>
      <w:bookmarkEnd w:id="75"/>
      <w:bookmarkEnd w:id="76"/>
      <w:bookmarkEnd w:id="77"/>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8" w:name="_Toc10817"/>
      <w:r>
        <w:rPr>
          <w:rFonts w:ascii="宋体" w:hAnsi="宋体" w:cs="Calibri"/>
          <w:b/>
          <w:bCs/>
          <w:kern w:val="0"/>
          <w:sz w:val="22"/>
        </w:rPr>
        <w:t>10. 需要补充的其他内容</w:t>
      </w:r>
      <w:bookmarkEnd w:id="78"/>
    </w:p>
    <w:p>
      <w:pPr>
        <w:autoSpaceDE w:val="0"/>
        <w:autoSpaceDN w:val="0"/>
        <w:adjustRightInd w:val="0"/>
        <w:snapToGrid w:val="0"/>
        <w:spacing w:line="360" w:lineRule="exact"/>
        <w:ind w:firstLine="440"/>
        <w:jc w:val="left"/>
        <w:rPr>
          <w:rFonts w:cs="Calibri" w:asciiTheme="minorEastAsia" w:hAnsiTheme="minorEastAsia"/>
          <w:color w:val="000000"/>
          <w:sz w:val="22"/>
        </w:rPr>
      </w:pPr>
      <w:r>
        <w:rPr>
          <w:rFonts w:cs="Calibri" w:asciiTheme="minorEastAsia" w:hAnsiTheme="minorEastAsia"/>
          <w:color w:val="000000"/>
          <w:sz w:val="22"/>
        </w:rPr>
        <w:t>需要补充的其他内容：见投标人须知前附表。</w:t>
      </w:r>
    </w:p>
    <w:p>
      <w:pPr>
        <w:spacing w:line="560" w:lineRule="exact"/>
      </w:pPr>
    </w:p>
    <w:p>
      <w:pPr>
        <w:spacing w:line="560" w:lineRule="exact"/>
        <w:jc w:val="center"/>
      </w:pPr>
    </w:p>
    <w:p>
      <w:pPr>
        <w:snapToGrid w:val="0"/>
        <w:spacing w:line="560" w:lineRule="exact"/>
      </w:pPr>
    </w:p>
    <w:p>
      <w:pPr>
        <w:pStyle w:val="48"/>
      </w:pPr>
      <w:r>
        <w:rPr>
          <w:sz w:val="24"/>
        </w:rPr>
        <w:br w:type="page"/>
      </w:r>
      <w:bookmarkStart w:id="79" w:name="_Toc448097404"/>
      <w:r>
        <w:t>第</w:t>
      </w:r>
      <w:r>
        <w:rPr>
          <w:rFonts w:hint="eastAsia"/>
        </w:rPr>
        <w:t>三</w:t>
      </w:r>
      <w:r>
        <w:t xml:space="preserve">章  </w:t>
      </w:r>
      <w:r>
        <w:rPr>
          <w:rFonts w:hint="eastAsia"/>
        </w:rPr>
        <w:t>合同条款及格式</w:t>
      </w:r>
      <w:bookmarkEnd w:id="79"/>
    </w:p>
    <w:p>
      <w:pPr>
        <w:keepNext/>
        <w:keepLines/>
        <w:spacing w:before="120" w:after="120" w:line="400" w:lineRule="exact"/>
        <w:ind w:right="-16"/>
        <w:jc w:val="center"/>
        <w:outlineLvl w:val="0"/>
        <w:rPr>
          <w:rFonts w:ascii="宋体" w:hAnsi="宋体" w:cs="宋体"/>
          <w:b/>
          <w:sz w:val="28"/>
          <w:szCs w:val="20"/>
        </w:rPr>
      </w:pPr>
      <w:bookmarkStart w:id="80" w:name="_Toc448097405"/>
    </w:p>
    <w:p>
      <w:pPr>
        <w:keepNext/>
        <w:keepLines/>
        <w:spacing w:before="120" w:after="120" w:line="400" w:lineRule="exact"/>
        <w:ind w:right="-16"/>
        <w:jc w:val="center"/>
        <w:outlineLvl w:val="0"/>
        <w:rPr>
          <w:rFonts w:ascii="宋体" w:hAnsi="宋体" w:cs="宋体"/>
          <w:b/>
          <w:sz w:val="28"/>
          <w:szCs w:val="20"/>
        </w:rPr>
      </w:pPr>
      <w:r>
        <w:rPr>
          <w:rFonts w:hint="eastAsia" w:ascii="宋体" w:hAnsi="宋体" w:cs="宋体"/>
          <w:b/>
          <w:sz w:val="28"/>
          <w:szCs w:val="20"/>
        </w:rPr>
        <w:t>第一部分  合同协议书</w:t>
      </w:r>
      <w:bookmarkEnd w:id="80"/>
      <w:r>
        <w:rPr>
          <w:rFonts w:hint="eastAsia" w:ascii="宋体" w:hAnsi="宋体" w:cs="宋体"/>
          <w:b/>
          <w:sz w:val="28"/>
          <w:szCs w:val="20"/>
        </w:rPr>
        <w:t>（一）</w:t>
      </w:r>
    </w:p>
    <w:p>
      <w:pPr>
        <w:spacing w:line="400" w:lineRule="exact"/>
        <w:ind w:left="105" w:leftChars="50" w:firstLine="440" w:firstLineChars="200"/>
        <w:jc w:val="left"/>
        <w:rPr>
          <w:rFonts w:asciiTheme="minorEastAsia" w:hAnsiTheme="minorEastAsia"/>
          <w:sz w:val="22"/>
        </w:rPr>
      </w:pPr>
      <w:r>
        <w:rPr>
          <w:rFonts w:hint="eastAsia" w:asciiTheme="minorEastAsia" w:hAnsiTheme="minorEastAsia"/>
          <w:sz w:val="22"/>
        </w:rPr>
        <w:t>浙江航空开发有限责任</w:t>
      </w:r>
      <w:r>
        <w:rPr>
          <w:rFonts w:asciiTheme="minorEastAsia" w:hAnsiTheme="minorEastAsia"/>
          <w:sz w:val="22"/>
        </w:rPr>
        <w:t>公司</w:t>
      </w:r>
      <w:r>
        <w:rPr>
          <w:rFonts w:hint="eastAsia" w:asciiTheme="minorEastAsia" w:hAnsiTheme="minorEastAsia"/>
          <w:sz w:val="22"/>
        </w:rPr>
        <w:t>（以下简称“发包人”）为实施</w:t>
      </w:r>
      <w:r>
        <w:rPr>
          <w:rFonts w:hint="eastAsia" w:asciiTheme="minorEastAsia" w:hAnsiTheme="minorEastAsia"/>
          <w:sz w:val="22"/>
          <w:u w:val="single"/>
        </w:rPr>
        <w:t>药品仓储基地3#库屋面维修</w:t>
      </w:r>
      <w:r>
        <w:rPr>
          <w:rFonts w:asciiTheme="minorEastAsia" w:hAnsiTheme="minorEastAsia"/>
          <w:sz w:val="22"/>
          <w:u w:val="single"/>
        </w:rPr>
        <w:t>项目</w:t>
      </w:r>
      <w:r>
        <w:rPr>
          <w:rFonts w:hint="eastAsia" w:asciiTheme="minorEastAsia" w:hAnsiTheme="minorEastAsia"/>
          <w:sz w:val="22"/>
          <w:u w:val="single"/>
        </w:rPr>
        <w:t xml:space="preserve">工程    </w:t>
      </w:r>
      <w:r>
        <w:rPr>
          <w:rFonts w:hint="eastAsia" w:asciiTheme="minorEastAsia" w:hAnsiTheme="minorEastAsia"/>
          <w:sz w:val="22"/>
        </w:rPr>
        <w:t>，已接受（以下简称“承包人”）对该项目施工的投标。发包人和承包人共同达成如下协议。</w:t>
      </w:r>
    </w:p>
    <w:p>
      <w:pPr>
        <w:spacing w:line="400" w:lineRule="exact"/>
        <w:ind w:firstLine="440" w:firstLineChars="200"/>
        <w:rPr>
          <w:rFonts w:asciiTheme="minorEastAsia" w:hAnsiTheme="minorEastAsia"/>
          <w:sz w:val="22"/>
        </w:rPr>
      </w:pPr>
      <w:bookmarkStart w:id="81" w:name="_Toc152042548"/>
      <w:bookmarkStart w:id="82" w:name="_Toc144974828"/>
      <w:r>
        <w:rPr>
          <w:rFonts w:hint="eastAsia" w:asciiTheme="minorEastAsia" w:hAnsiTheme="minorEastAsia"/>
          <w:sz w:val="22"/>
        </w:rPr>
        <w:t>1. 本协议书与下列文件一起构成合同文件：</w:t>
      </w:r>
      <w:bookmarkEnd w:id="81"/>
      <w:bookmarkEnd w:id="82"/>
    </w:p>
    <w:p>
      <w:pPr>
        <w:spacing w:line="400" w:lineRule="exact"/>
        <w:ind w:firstLine="440" w:firstLineChars="200"/>
        <w:rPr>
          <w:rFonts w:asciiTheme="minorEastAsia" w:hAnsiTheme="minorEastAsia"/>
          <w:sz w:val="22"/>
        </w:rPr>
      </w:pPr>
      <w:r>
        <w:rPr>
          <w:rFonts w:hint="eastAsia" w:asciiTheme="minorEastAsia" w:hAnsiTheme="minorEastAsia"/>
          <w:sz w:val="22"/>
        </w:rPr>
        <w:t>(1)本合同书面（补充）协议以及合同履行中，双方有关工程的洽谈、变更等书面协议或文件；</w:t>
      </w:r>
    </w:p>
    <w:p>
      <w:pPr>
        <w:spacing w:line="400" w:lineRule="exact"/>
        <w:ind w:firstLine="440" w:firstLineChars="200"/>
        <w:rPr>
          <w:rFonts w:asciiTheme="minorEastAsia" w:hAnsiTheme="minorEastAsia"/>
          <w:sz w:val="22"/>
        </w:rPr>
      </w:pPr>
      <w:r>
        <w:rPr>
          <w:rFonts w:hint="eastAsia" w:asciiTheme="minorEastAsia" w:hAnsiTheme="minorEastAsia"/>
          <w:sz w:val="22"/>
        </w:rPr>
        <w:t>（2）本合同协议书（含合同谈判纪要）；</w:t>
      </w:r>
    </w:p>
    <w:p>
      <w:pPr>
        <w:spacing w:line="400" w:lineRule="exact"/>
        <w:ind w:firstLine="440" w:firstLineChars="200"/>
        <w:rPr>
          <w:rFonts w:asciiTheme="minorEastAsia" w:hAnsiTheme="minorEastAsia"/>
          <w:sz w:val="22"/>
        </w:rPr>
      </w:pPr>
      <w:r>
        <w:rPr>
          <w:rFonts w:hint="eastAsia" w:asciiTheme="minorEastAsia" w:hAnsiTheme="minorEastAsia"/>
          <w:sz w:val="22"/>
        </w:rPr>
        <w:t xml:space="preserve">（3）中标通知书； </w:t>
      </w:r>
      <w:r>
        <w:rPr>
          <w:rFonts w:asciiTheme="minorEastAsia" w:hAnsiTheme="minorEastAsia"/>
          <w:sz w:val="22"/>
        </w:rPr>
        <w:t xml:space="preserve"> </w:t>
      </w:r>
    </w:p>
    <w:p>
      <w:pPr>
        <w:spacing w:line="400" w:lineRule="exact"/>
        <w:ind w:firstLine="440" w:firstLineChars="200"/>
        <w:rPr>
          <w:rFonts w:asciiTheme="minorEastAsia" w:hAnsiTheme="minorEastAsia"/>
          <w:sz w:val="22"/>
        </w:rPr>
      </w:pPr>
      <w:r>
        <w:rPr>
          <w:rFonts w:hint="eastAsia" w:asciiTheme="minorEastAsia" w:hAnsiTheme="minorEastAsia"/>
          <w:sz w:val="22"/>
        </w:rPr>
        <w:t>（4）本合同专用条款；</w:t>
      </w:r>
    </w:p>
    <w:p>
      <w:pPr>
        <w:spacing w:line="400" w:lineRule="exact"/>
        <w:ind w:firstLine="440" w:firstLineChars="200"/>
        <w:rPr>
          <w:rFonts w:asciiTheme="minorEastAsia" w:hAnsiTheme="minorEastAsia"/>
          <w:sz w:val="22"/>
        </w:rPr>
      </w:pPr>
      <w:r>
        <w:rPr>
          <w:rFonts w:hint="eastAsia" w:asciiTheme="minorEastAsia" w:hAnsiTheme="minorEastAsia"/>
          <w:sz w:val="22"/>
        </w:rPr>
        <w:t>（5）招标文件及其补充文件（包括询标记录）；</w:t>
      </w:r>
    </w:p>
    <w:p>
      <w:pPr>
        <w:spacing w:line="400" w:lineRule="exact"/>
        <w:ind w:firstLine="440" w:firstLineChars="200"/>
        <w:rPr>
          <w:rFonts w:asciiTheme="minorEastAsia" w:hAnsiTheme="minorEastAsia"/>
          <w:sz w:val="22"/>
        </w:rPr>
      </w:pPr>
      <w:r>
        <w:rPr>
          <w:rFonts w:hint="eastAsia" w:asciiTheme="minorEastAsia" w:hAnsiTheme="minorEastAsia"/>
          <w:sz w:val="22"/>
        </w:rPr>
        <w:t>（6）投标文件及其附件；</w:t>
      </w:r>
    </w:p>
    <w:p>
      <w:pPr>
        <w:spacing w:line="400" w:lineRule="exact"/>
        <w:ind w:firstLine="440" w:firstLineChars="200"/>
        <w:rPr>
          <w:rFonts w:asciiTheme="minorEastAsia" w:hAnsiTheme="minorEastAsia"/>
          <w:sz w:val="22"/>
        </w:rPr>
      </w:pPr>
      <w:r>
        <w:rPr>
          <w:rFonts w:hint="eastAsia" w:asciiTheme="minorEastAsia" w:hAnsiTheme="minorEastAsia"/>
          <w:sz w:val="22"/>
        </w:rPr>
        <w:t>（7）本合同通用条款；</w:t>
      </w:r>
    </w:p>
    <w:p>
      <w:pPr>
        <w:spacing w:line="400" w:lineRule="exact"/>
        <w:ind w:firstLine="440" w:firstLineChars="200"/>
        <w:rPr>
          <w:rFonts w:asciiTheme="minorEastAsia" w:hAnsiTheme="minorEastAsia"/>
          <w:sz w:val="22"/>
        </w:rPr>
      </w:pPr>
      <w:r>
        <w:rPr>
          <w:rFonts w:hint="eastAsia" w:asciiTheme="minorEastAsia" w:hAnsiTheme="minorEastAsia"/>
          <w:sz w:val="22"/>
        </w:rPr>
        <w:t>（8）标准、规范及有关技术文件；</w:t>
      </w:r>
    </w:p>
    <w:p>
      <w:pPr>
        <w:spacing w:line="400" w:lineRule="exact"/>
        <w:ind w:firstLine="440" w:firstLineChars="200"/>
        <w:rPr>
          <w:rFonts w:asciiTheme="minorEastAsia" w:hAnsiTheme="minorEastAsia"/>
          <w:sz w:val="22"/>
        </w:rPr>
      </w:pPr>
      <w:r>
        <w:rPr>
          <w:rFonts w:hint="eastAsia" w:asciiTheme="minorEastAsia" w:hAnsiTheme="minorEastAsia"/>
          <w:sz w:val="22"/>
        </w:rPr>
        <w:t>（9）图纸；</w:t>
      </w:r>
    </w:p>
    <w:p>
      <w:pPr>
        <w:spacing w:line="400" w:lineRule="exact"/>
        <w:ind w:firstLine="440" w:firstLineChars="200"/>
        <w:rPr>
          <w:rFonts w:asciiTheme="minorEastAsia" w:hAnsiTheme="minorEastAsia"/>
          <w:sz w:val="22"/>
        </w:rPr>
      </w:pPr>
      <w:r>
        <w:rPr>
          <w:rFonts w:hint="eastAsia" w:asciiTheme="minorEastAsia" w:hAnsiTheme="minorEastAsia"/>
          <w:sz w:val="22"/>
        </w:rPr>
        <w:t>（10）工程量清单；</w:t>
      </w:r>
    </w:p>
    <w:p>
      <w:pPr>
        <w:spacing w:line="400" w:lineRule="exact"/>
        <w:ind w:firstLine="440" w:firstLineChars="200"/>
        <w:rPr>
          <w:rFonts w:asciiTheme="minorEastAsia" w:hAnsiTheme="minorEastAsia"/>
          <w:sz w:val="22"/>
        </w:rPr>
      </w:pPr>
      <w:r>
        <w:rPr>
          <w:rFonts w:hint="eastAsia" w:asciiTheme="minorEastAsia" w:hAnsiTheme="minorEastAsia"/>
          <w:sz w:val="22"/>
        </w:rPr>
        <w:t>（11）工程报价书。 </w:t>
      </w:r>
    </w:p>
    <w:p>
      <w:pPr>
        <w:spacing w:line="400" w:lineRule="exact"/>
        <w:ind w:firstLine="440" w:firstLineChars="200"/>
        <w:rPr>
          <w:rFonts w:asciiTheme="minorEastAsia" w:hAnsiTheme="minorEastAsia"/>
          <w:sz w:val="22"/>
        </w:rPr>
      </w:pPr>
      <w:bookmarkStart w:id="83" w:name="_Toc144974829"/>
      <w:bookmarkStart w:id="84" w:name="_Toc152042549"/>
      <w:r>
        <w:rPr>
          <w:rFonts w:hint="eastAsia" w:asciiTheme="minorEastAsia" w:hAnsiTheme="minorEastAsia"/>
          <w:sz w:val="22"/>
        </w:rPr>
        <w:t>2. 上述文件互相补充和解释，如有不明确或不一致之处，以合同约定次序在先者为准。</w:t>
      </w:r>
      <w:bookmarkEnd w:id="83"/>
      <w:bookmarkEnd w:id="84"/>
    </w:p>
    <w:p>
      <w:pPr>
        <w:spacing w:line="400" w:lineRule="exact"/>
        <w:ind w:firstLine="440" w:firstLineChars="200"/>
        <w:rPr>
          <w:rFonts w:asciiTheme="minorEastAsia" w:hAnsiTheme="minorEastAsia"/>
          <w:sz w:val="22"/>
        </w:rPr>
      </w:pPr>
      <w:r>
        <w:rPr>
          <w:rFonts w:hint="eastAsia" w:asciiTheme="minorEastAsia" w:hAnsiTheme="minorEastAsia"/>
          <w:sz w:val="22"/>
        </w:rPr>
        <w:t>3. 签约含增值税合同价：人民币（大写）</w:t>
      </w:r>
      <w:r>
        <w:rPr>
          <w:rFonts w:hint="eastAsia" w:asciiTheme="minorEastAsia" w:hAnsiTheme="minorEastAsia"/>
          <w:sz w:val="22"/>
          <w:u w:val="single"/>
        </w:rPr>
        <w:t xml:space="preserve">        </w:t>
      </w:r>
      <w:r>
        <w:rPr>
          <w:rFonts w:hint="eastAsia" w:asciiTheme="minorEastAsia" w:hAnsiTheme="minorEastAsia"/>
          <w:sz w:val="22"/>
        </w:rPr>
        <w:t>元（¥</w:t>
      </w:r>
      <w:r>
        <w:rPr>
          <w:rFonts w:hint="eastAsia" w:asciiTheme="minorEastAsia" w:hAnsiTheme="minorEastAsia"/>
          <w:sz w:val="22"/>
          <w:u w:val="single"/>
        </w:rPr>
        <w:t xml:space="preserve">         </w:t>
      </w:r>
      <w:r>
        <w:rPr>
          <w:rFonts w:hint="eastAsia" w:asciiTheme="minorEastAsia" w:hAnsiTheme="minorEastAsia"/>
          <w:sz w:val="22"/>
        </w:rPr>
        <w:t>元 ），增值税税率</w:t>
      </w:r>
      <w:r>
        <w:rPr>
          <w:rFonts w:asciiTheme="minorEastAsia" w:hAnsiTheme="minorEastAsia"/>
          <w:sz w:val="22"/>
          <w:u w:val="single"/>
        </w:rPr>
        <w:t xml:space="preserve">   </w:t>
      </w:r>
      <w:r>
        <w:rPr>
          <w:rFonts w:hint="eastAsia" w:asciiTheme="minorEastAsia" w:hAnsiTheme="minorEastAsia"/>
          <w:sz w:val="22"/>
          <w:u w:val="single"/>
        </w:rPr>
        <w:t>%</w:t>
      </w:r>
      <w:r>
        <w:rPr>
          <w:rFonts w:hint="eastAsia" w:asciiTheme="minorEastAsia" w:hAnsiTheme="minorEastAsia"/>
          <w:sz w:val="22"/>
        </w:rPr>
        <w:t>，不含增值税合同价人民币（大写）</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rPr>
        <w:t xml:space="preserve"> </w:t>
      </w:r>
      <w:r>
        <w:rPr>
          <w:rFonts w:hint="eastAsia" w:asciiTheme="minorEastAsia" w:hAnsiTheme="minorEastAsia"/>
          <w:sz w:val="22"/>
        </w:rPr>
        <w:t>），税额人民币（大写</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rPr>
        <w:t xml:space="preserve"> </w:t>
      </w:r>
      <w:r>
        <w:rPr>
          <w:rFonts w:hint="eastAsia" w:asciiTheme="minorEastAsia" w:hAnsiTheme="minorEastAsia"/>
          <w:sz w:val="22"/>
        </w:rPr>
        <w:t>）。</w:t>
      </w:r>
    </w:p>
    <w:p>
      <w:pPr>
        <w:spacing w:line="400" w:lineRule="exact"/>
        <w:ind w:firstLine="440" w:firstLineChars="200"/>
        <w:rPr>
          <w:rFonts w:asciiTheme="minorEastAsia" w:hAnsiTheme="minorEastAsia"/>
          <w:sz w:val="22"/>
        </w:rPr>
      </w:pPr>
      <w:r>
        <w:rPr>
          <w:rFonts w:hint="eastAsia" w:asciiTheme="minorEastAsia" w:hAnsiTheme="minorEastAsia"/>
          <w:sz w:val="22"/>
        </w:rPr>
        <w:t>在合同有效期限内，若因国家税收政策调整而引起的增值税税率变化的，应按照国家税收政策调整，合同总金额变更为原合同不含增值税货物或劳务价格与调整后税率计算税额的合计金额。</w:t>
      </w:r>
    </w:p>
    <w:p>
      <w:pPr>
        <w:spacing w:line="400" w:lineRule="exact"/>
        <w:ind w:firstLine="440" w:firstLineChars="200"/>
        <w:rPr>
          <w:rFonts w:asciiTheme="minorEastAsia" w:hAnsiTheme="minorEastAsia"/>
          <w:sz w:val="22"/>
        </w:rPr>
      </w:pPr>
      <w:r>
        <w:rPr>
          <w:rFonts w:hint="eastAsia" w:asciiTheme="minorEastAsia" w:hAnsiTheme="minorEastAsia"/>
          <w:sz w:val="22"/>
        </w:rPr>
        <w:t>4. 承包人项目经理：。</w:t>
      </w:r>
    </w:p>
    <w:p>
      <w:pPr>
        <w:spacing w:line="400" w:lineRule="exact"/>
        <w:ind w:firstLine="440" w:firstLineChars="200"/>
        <w:rPr>
          <w:rFonts w:asciiTheme="minorEastAsia" w:hAnsiTheme="minorEastAsia"/>
          <w:sz w:val="22"/>
        </w:rPr>
      </w:pPr>
      <w:r>
        <w:rPr>
          <w:rFonts w:hint="eastAsia" w:asciiTheme="minorEastAsia" w:hAnsiTheme="minorEastAsia"/>
          <w:sz w:val="22"/>
        </w:rPr>
        <w:t>5. 工程质量符合</w:t>
      </w:r>
      <w:r>
        <w:rPr>
          <w:rFonts w:hint="eastAsia" w:asciiTheme="minorEastAsia" w:hAnsiTheme="minorEastAsia"/>
          <w:sz w:val="22"/>
          <w:u w:val="single"/>
        </w:rPr>
        <w:t xml:space="preserve">  合同约定且达到合格  </w:t>
      </w:r>
      <w:r>
        <w:rPr>
          <w:rFonts w:hint="eastAsia" w:asciiTheme="minorEastAsia" w:hAnsiTheme="minorEastAsia"/>
          <w:sz w:val="22"/>
        </w:rPr>
        <w:t>标准。</w:t>
      </w:r>
    </w:p>
    <w:p>
      <w:pPr>
        <w:spacing w:line="400" w:lineRule="exact"/>
        <w:ind w:firstLine="440" w:firstLineChars="200"/>
        <w:rPr>
          <w:rFonts w:asciiTheme="minorEastAsia" w:hAnsiTheme="minorEastAsia"/>
          <w:sz w:val="22"/>
        </w:rPr>
      </w:pPr>
      <w:r>
        <w:rPr>
          <w:rFonts w:hint="eastAsia" w:asciiTheme="minorEastAsia" w:hAnsiTheme="minorEastAsia"/>
          <w:sz w:val="22"/>
        </w:rPr>
        <w:t>6. 承包人承诺按合同约定承担工程的实施、完成及缺陷修复。</w:t>
      </w:r>
    </w:p>
    <w:p>
      <w:pPr>
        <w:spacing w:line="400" w:lineRule="exact"/>
        <w:ind w:firstLine="440" w:firstLineChars="200"/>
        <w:rPr>
          <w:rFonts w:asciiTheme="minorEastAsia" w:hAnsiTheme="minorEastAsia"/>
          <w:sz w:val="22"/>
        </w:rPr>
      </w:pPr>
      <w:r>
        <w:rPr>
          <w:rFonts w:hint="eastAsia" w:asciiTheme="minorEastAsia" w:hAnsiTheme="minorEastAsia"/>
          <w:sz w:val="22"/>
        </w:rPr>
        <w:t>7. 发包人承诺按合同约定的条件、时间和方式向承包人支付合同价款。</w:t>
      </w:r>
    </w:p>
    <w:p>
      <w:pPr>
        <w:spacing w:line="400" w:lineRule="exact"/>
        <w:ind w:firstLine="440" w:firstLineChars="200"/>
        <w:rPr>
          <w:rFonts w:asciiTheme="minorEastAsia" w:hAnsiTheme="minorEastAsia"/>
          <w:sz w:val="22"/>
        </w:rPr>
      </w:pPr>
      <w:r>
        <w:rPr>
          <w:rFonts w:hint="eastAsia" w:asciiTheme="minorEastAsia" w:hAnsiTheme="minorEastAsia"/>
          <w:sz w:val="22"/>
        </w:rPr>
        <w:t>8. 承包人应按照发包人指示开工，工期为</w:t>
      </w:r>
      <w:r>
        <w:rPr>
          <w:rFonts w:hint="eastAsia" w:asciiTheme="minorEastAsia" w:hAnsiTheme="minorEastAsia"/>
          <w:sz w:val="22"/>
          <w:u w:val="single"/>
        </w:rPr>
        <w:t xml:space="preserve">    </w:t>
      </w:r>
      <w:r>
        <w:rPr>
          <w:rFonts w:hint="eastAsia" w:asciiTheme="minorEastAsia" w:hAnsiTheme="minorEastAsia"/>
          <w:sz w:val="22"/>
        </w:rPr>
        <w:t>日历天。</w:t>
      </w:r>
    </w:p>
    <w:p>
      <w:pPr>
        <w:spacing w:line="400" w:lineRule="exact"/>
        <w:ind w:firstLine="440" w:firstLineChars="200"/>
        <w:rPr>
          <w:rFonts w:asciiTheme="minorEastAsia" w:hAnsiTheme="minorEastAsia"/>
          <w:sz w:val="22"/>
        </w:rPr>
      </w:pPr>
      <w:r>
        <w:rPr>
          <w:rFonts w:hint="eastAsia" w:asciiTheme="minorEastAsia" w:hAnsiTheme="minorEastAsia"/>
          <w:sz w:val="22"/>
        </w:rPr>
        <w:t>9. 本协议书一式陆份，甲方执肆份，乙方执贰份。</w:t>
      </w:r>
    </w:p>
    <w:p>
      <w:pPr>
        <w:spacing w:line="400" w:lineRule="exact"/>
        <w:ind w:firstLine="440" w:firstLineChars="200"/>
        <w:rPr>
          <w:rFonts w:asciiTheme="minorEastAsia" w:hAnsiTheme="minorEastAsia"/>
          <w:sz w:val="22"/>
        </w:rPr>
      </w:pPr>
      <w:bookmarkStart w:id="85" w:name="_Toc152042550"/>
      <w:bookmarkStart w:id="86" w:name="_Toc144974830"/>
      <w:r>
        <w:rPr>
          <w:rFonts w:hint="eastAsia" w:asciiTheme="minorEastAsia" w:hAnsiTheme="minorEastAsia"/>
          <w:sz w:val="22"/>
        </w:rPr>
        <w:t>10. 合同未尽事宜，双方另行签订补充协议。补充协议是合同的组成部分。</w:t>
      </w:r>
      <w:bookmarkEnd w:id="85"/>
      <w:bookmarkEnd w:id="86"/>
    </w:p>
    <w:p>
      <w:pPr>
        <w:spacing w:line="400" w:lineRule="exact"/>
        <w:ind w:firstLine="440" w:firstLineChars="200"/>
        <w:rPr>
          <w:rFonts w:asciiTheme="minorEastAsia" w:hAnsiTheme="minorEastAsia"/>
          <w:sz w:val="22"/>
        </w:rPr>
      </w:pPr>
      <w:r>
        <w:rPr>
          <w:rFonts w:hint="eastAsia" w:asciiTheme="minorEastAsia" w:hAnsiTheme="minorEastAsia"/>
          <w:sz w:val="22"/>
        </w:rPr>
        <w:t>11.合同生效：本合同自双方法定代表人或委托代理人签字盖章之日起生效。</w:t>
      </w:r>
    </w:p>
    <w:p>
      <w:pPr>
        <w:spacing w:line="400" w:lineRule="exact"/>
        <w:ind w:firstLine="440" w:firstLineChars="200"/>
        <w:rPr>
          <w:rFonts w:asciiTheme="minorEastAsia" w:hAnsiTheme="minorEastAsia"/>
          <w:sz w:val="22"/>
        </w:rPr>
      </w:pPr>
    </w:p>
    <w:p>
      <w:pPr>
        <w:spacing w:line="400" w:lineRule="exact"/>
        <w:ind w:firstLine="440" w:firstLineChars="200"/>
        <w:rPr>
          <w:rFonts w:asciiTheme="minorEastAsia" w:hAnsiTheme="minorEastAsia"/>
          <w:sz w:val="22"/>
        </w:rPr>
      </w:pPr>
      <w:r>
        <w:rPr>
          <w:rFonts w:hint="eastAsia" w:asciiTheme="minorEastAsia" w:hAnsiTheme="minorEastAsia"/>
          <w:sz w:val="22"/>
        </w:rPr>
        <w:t>发包人：                （盖单位章）    承包人：                  （盖单位章）</w:t>
      </w:r>
    </w:p>
    <w:p>
      <w:pPr>
        <w:spacing w:line="400" w:lineRule="exact"/>
        <w:ind w:firstLine="440" w:firstLineChars="200"/>
        <w:rPr>
          <w:rFonts w:asciiTheme="minorEastAsia" w:hAnsiTheme="minorEastAsia"/>
          <w:sz w:val="22"/>
        </w:rPr>
      </w:pPr>
      <w:r>
        <w:rPr>
          <w:rFonts w:hint="eastAsia" w:asciiTheme="minorEastAsia" w:hAnsiTheme="minorEastAsia"/>
          <w:sz w:val="22"/>
        </w:rPr>
        <w:t xml:space="preserve">法定代表人或其委托代理人：              法定代表人或其委托代理人：          </w:t>
      </w:r>
    </w:p>
    <w:p>
      <w:pPr>
        <w:keepNext/>
        <w:keepLines/>
        <w:spacing w:before="120" w:after="120" w:line="400" w:lineRule="exact"/>
        <w:ind w:right="-16"/>
        <w:jc w:val="center"/>
        <w:outlineLvl w:val="0"/>
        <w:rPr>
          <w:rFonts w:ascii="宋体" w:hAnsi="宋体" w:cs="宋体"/>
          <w:b/>
          <w:sz w:val="28"/>
          <w:szCs w:val="20"/>
        </w:rPr>
      </w:pPr>
      <w:r>
        <w:rPr>
          <w:szCs w:val="21"/>
        </w:rPr>
        <w:br w:type="page"/>
      </w:r>
      <w:bookmarkStart w:id="87" w:name="_Toc246392119"/>
      <w:bookmarkStart w:id="88" w:name="_Toc448097406"/>
      <w:bookmarkStart w:id="89" w:name="_Toc375636693"/>
      <w:bookmarkStart w:id="90" w:name="_Toc375636694"/>
      <w:bookmarkStart w:id="91" w:name="_Toc152045766"/>
      <w:bookmarkStart w:id="92" w:name="_Toc144974736"/>
      <w:bookmarkStart w:id="93" w:name="_Toc152042545"/>
      <w:r>
        <w:rPr>
          <w:rFonts w:hint="eastAsia" w:ascii="宋体" w:hAnsi="宋体" w:cs="宋体"/>
          <w:b/>
          <w:sz w:val="28"/>
          <w:szCs w:val="20"/>
        </w:rPr>
        <w:t>第二部分  通用合同条款</w:t>
      </w:r>
      <w:bookmarkEnd w:id="87"/>
      <w:bookmarkEnd w:id="88"/>
      <w:bookmarkEnd w:id="89"/>
    </w:p>
    <w:p>
      <w:pPr>
        <w:pStyle w:val="127"/>
        <w:jc w:val="center"/>
        <w:rPr>
          <w:rFonts w:ascii="宋体" w:hAnsi="宋体" w:eastAsia="宋体"/>
          <w:b/>
        </w:rPr>
      </w:pPr>
      <w:r>
        <w:rPr>
          <w:rFonts w:hint="eastAsia" w:ascii="宋体" w:hAnsi="宋体" w:eastAsia="宋体"/>
          <w:b/>
        </w:rPr>
        <w:t>（略）</w:t>
      </w:r>
      <w:r>
        <w:rPr>
          <w:rFonts w:ascii="宋体" w:hAnsi="宋体" w:eastAsia="宋体"/>
          <w:b/>
        </w:rPr>
        <w:br w:type="page"/>
      </w:r>
      <w:r>
        <w:rPr>
          <w:rFonts w:hint="eastAsia" w:ascii="宋体" w:hAnsi="宋体" w:eastAsia="宋体"/>
          <w:b/>
        </w:rPr>
        <w:t>第三部分  专用合同条款</w:t>
      </w:r>
      <w:bookmarkEnd w:id="90"/>
    </w:p>
    <w:bookmarkEnd w:id="91"/>
    <w:bookmarkEnd w:id="92"/>
    <w:bookmarkEnd w:id="93"/>
    <w:p>
      <w:pPr>
        <w:snapToGrid w:val="0"/>
        <w:spacing w:line="360" w:lineRule="exact"/>
        <w:rPr>
          <w:rFonts w:ascii="宋体" w:hAnsi="宋体" w:cs="宋体"/>
          <w:sz w:val="22"/>
        </w:rPr>
      </w:pPr>
      <w:r>
        <w:rPr>
          <w:rFonts w:hint="eastAsia" w:ascii="宋体" w:hAnsi="宋体" w:cs="宋体"/>
          <w:sz w:val="22"/>
        </w:rPr>
        <w:t>1．一般约定</w:t>
      </w:r>
    </w:p>
    <w:p>
      <w:pPr>
        <w:snapToGrid w:val="0"/>
        <w:spacing w:line="360" w:lineRule="exact"/>
        <w:rPr>
          <w:rFonts w:ascii="宋体" w:hAnsi="宋体" w:cs="宋体"/>
          <w:sz w:val="22"/>
        </w:rPr>
      </w:pPr>
      <w:r>
        <w:rPr>
          <w:rFonts w:hint="eastAsia" w:ascii="宋体" w:hAnsi="宋体" w:cs="宋体"/>
          <w:sz w:val="22"/>
        </w:rPr>
        <w:t>1.1 词语定义</w:t>
      </w:r>
    </w:p>
    <w:p>
      <w:pPr>
        <w:snapToGrid w:val="0"/>
        <w:spacing w:line="360" w:lineRule="exact"/>
        <w:ind w:firstLine="440" w:firstLineChars="200"/>
        <w:rPr>
          <w:rFonts w:ascii="宋体" w:hAnsi="宋体" w:cs="宋体"/>
          <w:sz w:val="22"/>
        </w:rPr>
      </w:pPr>
      <w:r>
        <w:rPr>
          <w:rFonts w:hint="eastAsia" w:ascii="宋体" w:hAnsi="宋体" w:cs="宋体"/>
          <w:sz w:val="22"/>
        </w:rPr>
        <w:t>1.1.2 合同当事人和人员</w:t>
      </w:r>
    </w:p>
    <w:p>
      <w:pPr>
        <w:snapToGrid w:val="0"/>
        <w:spacing w:line="360" w:lineRule="exact"/>
        <w:ind w:firstLine="440" w:firstLineChars="200"/>
        <w:rPr>
          <w:rFonts w:ascii="宋体" w:hAnsi="宋体" w:cs="宋体"/>
          <w:sz w:val="22"/>
        </w:rPr>
      </w:pPr>
      <w:r>
        <w:rPr>
          <w:rFonts w:hint="eastAsia" w:ascii="宋体" w:hAnsi="宋体" w:cs="宋体"/>
          <w:sz w:val="22"/>
        </w:rPr>
        <w:t>1.1.2.2 发包人：</w:t>
      </w:r>
      <w:r>
        <w:rPr>
          <w:rFonts w:ascii="宋体" w:hAnsi="宋体" w:cs="宋体"/>
          <w:sz w:val="22"/>
        </w:rPr>
        <w:t xml:space="preserve"> </w:t>
      </w:r>
    </w:p>
    <w:p>
      <w:pPr>
        <w:snapToGrid w:val="0"/>
        <w:spacing w:line="360" w:lineRule="exact"/>
        <w:ind w:firstLine="440" w:firstLineChars="200"/>
        <w:rPr>
          <w:rFonts w:ascii="宋体" w:hAnsi="宋体" w:cs="宋体"/>
          <w:sz w:val="22"/>
        </w:rPr>
      </w:pPr>
      <w:r>
        <w:rPr>
          <w:rFonts w:hint="eastAsia" w:ascii="宋体" w:hAnsi="宋体" w:cs="宋体"/>
          <w:sz w:val="22"/>
        </w:rPr>
        <w:t xml:space="preserve">1.1.2.3 承包人： </w:t>
      </w:r>
    </w:p>
    <w:p>
      <w:pPr>
        <w:snapToGrid w:val="0"/>
        <w:spacing w:line="360" w:lineRule="exact"/>
        <w:ind w:firstLine="440" w:firstLineChars="200"/>
        <w:rPr>
          <w:rFonts w:ascii="宋体" w:hAnsi="宋体" w:cs="宋体"/>
          <w:sz w:val="22"/>
        </w:rPr>
      </w:pPr>
      <w:r>
        <w:rPr>
          <w:rFonts w:hint="eastAsia" w:ascii="宋体" w:hAnsi="宋体" w:cs="宋体"/>
          <w:sz w:val="22"/>
        </w:rPr>
        <w:t>1.1.2.4 承包人项目经理：</w:t>
      </w:r>
    </w:p>
    <w:p>
      <w:pPr>
        <w:snapToGrid w:val="0"/>
        <w:spacing w:line="360" w:lineRule="exact"/>
        <w:ind w:firstLine="440" w:firstLineChars="200"/>
        <w:rPr>
          <w:rFonts w:ascii="宋体" w:hAnsi="宋体" w:cs="宋体"/>
          <w:sz w:val="22"/>
        </w:rPr>
      </w:pPr>
      <w:r>
        <w:rPr>
          <w:rFonts w:hint="eastAsia" w:ascii="宋体" w:hAnsi="宋体" w:cs="宋体"/>
          <w:sz w:val="22"/>
        </w:rPr>
        <w:t>1.1.2.6 监理人：</w:t>
      </w:r>
    </w:p>
    <w:p>
      <w:pPr>
        <w:snapToGrid w:val="0"/>
        <w:spacing w:line="360" w:lineRule="exact"/>
        <w:ind w:firstLine="440" w:firstLineChars="200"/>
        <w:rPr>
          <w:rFonts w:ascii="宋体" w:hAnsi="宋体" w:cs="宋体"/>
          <w:sz w:val="22"/>
        </w:rPr>
      </w:pPr>
      <w:r>
        <w:rPr>
          <w:rFonts w:hint="eastAsia" w:ascii="宋体" w:hAnsi="宋体" w:cs="宋体"/>
          <w:sz w:val="22"/>
        </w:rPr>
        <w:t>1.1.2.7 总监理工程师（总监）：</w:t>
      </w:r>
    </w:p>
    <w:p>
      <w:pPr>
        <w:snapToGrid w:val="0"/>
        <w:spacing w:line="360" w:lineRule="exact"/>
        <w:ind w:firstLine="440" w:firstLineChars="200"/>
        <w:rPr>
          <w:rFonts w:ascii="宋体" w:hAnsi="宋体" w:cs="宋体"/>
          <w:sz w:val="22"/>
        </w:rPr>
      </w:pPr>
      <w:r>
        <w:rPr>
          <w:rFonts w:hint="eastAsia" w:ascii="宋体" w:hAnsi="宋体" w:cs="宋体"/>
          <w:sz w:val="22"/>
        </w:rPr>
        <w:t>1.1.3 工程和设备</w:t>
      </w:r>
    </w:p>
    <w:p>
      <w:pPr>
        <w:snapToGrid w:val="0"/>
        <w:spacing w:line="360" w:lineRule="exact"/>
        <w:ind w:firstLine="440" w:firstLineChars="200"/>
        <w:rPr>
          <w:rFonts w:ascii="宋体" w:hAnsi="宋体" w:cs="宋体"/>
          <w:sz w:val="22"/>
        </w:rPr>
      </w:pPr>
      <w:r>
        <w:rPr>
          <w:rFonts w:hint="eastAsia" w:ascii="宋体" w:hAnsi="宋体" w:cs="宋体"/>
          <w:sz w:val="22"/>
        </w:rPr>
        <w:t>1.1.3.4 工程名称：</w:t>
      </w:r>
    </w:p>
    <w:p>
      <w:pPr>
        <w:snapToGrid w:val="0"/>
        <w:spacing w:line="360" w:lineRule="exact"/>
        <w:ind w:firstLine="440" w:firstLineChars="200"/>
        <w:rPr>
          <w:rFonts w:ascii="宋体" w:hAnsi="宋体" w:cs="宋体"/>
          <w:sz w:val="22"/>
        </w:rPr>
      </w:pPr>
      <w:r>
        <w:rPr>
          <w:rFonts w:hint="eastAsia" w:ascii="宋体" w:hAnsi="宋体" w:cs="宋体"/>
          <w:sz w:val="22"/>
        </w:rPr>
        <w:t>1.1.3.10 永久占地：本工程建筑红线范围内占用的土地。</w:t>
      </w:r>
    </w:p>
    <w:p>
      <w:pPr>
        <w:snapToGrid w:val="0"/>
        <w:spacing w:line="360" w:lineRule="exact"/>
        <w:ind w:firstLine="440" w:firstLineChars="200"/>
        <w:rPr>
          <w:rFonts w:ascii="宋体" w:hAnsi="宋体" w:cs="宋体"/>
          <w:sz w:val="22"/>
        </w:rPr>
      </w:pPr>
      <w:r>
        <w:rPr>
          <w:rFonts w:hint="eastAsia" w:ascii="宋体" w:hAnsi="宋体" w:cs="宋体"/>
          <w:sz w:val="22"/>
        </w:rPr>
        <w:t>1.1.3.11 临时占地：除永久占地外，经发包人确认的施工总平面图内的土地。</w:t>
      </w:r>
    </w:p>
    <w:p>
      <w:pPr>
        <w:snapToGrid w:val="0"/>
        <w:spacing w:line="360" w:lineRule="exact"/>
        <w:ind w:firstLine="440" w:firstLineChars="200"/>
        <w:rPr>
          <w:rFonts w:ascii="宋体" w:hAnsi="宋体" w:cs="宋体"/>
          <w:sz w:val="22"/>
        </w:rPr>
      </w:pPr>
      <w:r>
        <w:rPr>
          <w:rFonts w:hint="eastAsia" w:ascii="宋体" w:hAnsi="宋体" w:cs="宋体"/>
          <w:sz w:val="22"/>
        </w:rPr>
        <w:t>1.1.4 日期</w:t>
      </w:r>
    </w:p>
    <w:p>
      <w:pPr>
        <w:snapToGrid w:val="0"/>
        <w:spacing w:line="360" w:lineRule="exact"/>
        <w:rPr>
          <w:rFonts w:ascii="宋体" w:hAnsi="宋体" w:cs="宋体"/>
          <w:sz w:val="22"/>
        </w:rPr>
      </w:pPr>
      <w:r>
        <w:rPr>
          <w:rFonts w:hint="eastAsia" w:ascii="宋体" w:hAnsi="宋体" w:cs="宋体"/>
          <w:sz w:val="22"/>
        </w:rPr>
        <w:t>1.4 合同文件的优先顺序</w:t>
      </w:r>
    </w:p>
    <w:p>
      <w:pPr>
        <w:snapToGrid w:val="0"/>
        <w:spacing w:line="360" w:lineRule="exact"/>
        <w:ind w:firstLine="440" w:firstLineChars="200"/>
        <w:rPr>
          <w:rFonts w:ascii="宋体" w:hAnsi="宋体" w:cs="宋体"/>
          <w:sz w:val="22"/>
        </w:rPr>
      </w:pPr>
      <w:r>
        <w:rPr>
          <w:rFonts w:hint="eastAsia" w:ascii="宋体" w:hAnsi="宋体" w:cs="宋体"/>
          <w:sz w:val="22"/>
        </w:rPr>
        <w:t>合同文件组成及解释顺序：</w:t>
      </w:r>
    </w:p>
    <w:p>
      <w:pPr>
        <w:snapToGrid w:val="0"/>
        <w:spacing w:line="360" w:lineRule="exact"/>
        <w:ind w:firstLine="440" w:firstLineChars="200"/>
        <w:rPr>
          <w:rFonts w:ascii="宋体" w:hAnsi="宋体" w:cs="宋体"/>
          <w:sz w:val="22"/>
        </w:rPr>
      </w:pPr>
      <w:r>
        <w:rPr>
          <w:rFonts w:hint="eastAsia" w:ascii="宋体" w:hAnsi="宋体" w:cs="宋体"/>
          <w:sz w:val="22"/>
        </w:rPr>
        <w:t xml:space="preserve"> (1)本合同书面（补充）协议以及合同履行中，双方有关工程的洽谈、变更等书面协议或文件；（2）本合同协议书（含合同谈判纪要）；（3）中标通知书；（4）本合同专用条款；（5）招标文件及其补充文件（包括询标记录）（6）投标文件及其附件；（7）本合同通用条款；（8）标准、规范及有关技术文件；（9）图纸；（10）工程量清单；（11）工程报价书。 </w:t>
      </w:r>
    </w:p>
    <w:p>
      <w:pPr>
        <w:snapToGrid w:val="0"/>
        <w:spacing w:line="360" w:lineRule="exact"/>
        <w:rPr>
          <w:rFonts w:ascii="宋体" w:hAnsi="宋体" w:cs="宋体"/>
          <w:sz w:val="22"/>
        </w:rPr>
      </w:pPr>
      <w:r>
        <w:rPr>
          <w:rFonts w:hint="eastAsia" w:ascii="宋体" w:hAnsi="宋体" w:cs="宋体"/>
          <w:sz w:val="22"/>
        </w:rPr>
        <w:t>1.6 图纸和承包人文件</w:t>
      </w:r>
    </w:p>
    <w:p>
      <w:pPr>
        <w:snapToGrid w:val="0"/>
        <w:spacing w:line="360" w:lineRule="exact"/>
        <w:ind w:firstLine="440" w:firstLineChars="200"/>
        <w:rPr>
          <w:rFonts w:ascii="宋体" w:hAnsi="宋体" w:cs="宋体"/>
          <w:sz w:val="22"/>
        </w:rPr>
      </w:pPr>
      <w:r>
        <w:rPr>
          <w:rFonts w:hint="eastAsia" w:ascii="宋体" w:hAnsi="宋体" w:cs="宋体"/>
          <w:sz w:val="22"/>
        </w:rPr>
        <w:t>1.6.1发包人向承包人提供图纸日期和套数：开工前7天内提供施工图8套（包括竣工图使用的图纸4套），不足部分承包人可向发包人提请加晒，费用由承包人自负。标准图集由承包人自备。</w:t>
      </w:r>
    </w:p>
    <w:p>
      <w:pPr>
        <w:snapToGrid w:val="0"/>
        <w:spacing w:line="360" w:lineRule="exact"/>
        <w:ind w:firstLine="440" w:firstLineChars="200"/>
        <w:rPr>
          <w:rFonts w:ascii="宋体" w:hAnsi="宋体" w:cs="宋体"/>
          <w:sz w:val="22"/>
        </w:rPr>
      </w:pPr>
      <w:r>
        <w:rPr>
          <w:rFonts w:hint="eastAsia" w:ascii="宋体" w:hAnsi="宋体" w:cs="宋体"/>
          <w:sz w:val="22"/>
        </w:rPr>
        <w:t>1.6.3 图纸修改图具体签发期限：在该工程或工程相应部位施工前的3天内。</w:t>
      </w:r>
    </w:p>
    <w:p>
      <w:pPr>
        <w:snapToGrid w:val="0"/>
        <w:spacing w:line="360" w:lineRule="exact"/>
        <w:rPr>
          <w:rFonts w:ascii="宋体" w:hAnsi="宋体" w:cs="宋体"/>
          <w:sz w:val="22"/>
        </w:rPr>
      </w:pPr>
      <w:r>
        <w:rPr>
          <w:rFonts w:hint="eastAsia" w:ascii="宋体" w:hAnsi="宋体" w:cs="宋体"/>
          <w:sz w:val="22"/>
        </w:rPr>
        <w:t>1.7联络</w:t>
      </w:r>
    </w:p>
    <w:p>
      <w:pPr>
        <w:snapToGrid w:val="0"/>
        <w:spacing w:line="360" w:lineRule="exact"/>
        <w:ind w:firstLine="440" w:firstLineChars="200"/>
        <w:rPr>
          <w:rFonts w:ascii="宋体" w:hAnsi="宋体" w:cs="宋体"/>
          <w:sz w:val="22"/>
        </w:rPr>
      </w:pPr>
      <w:r>
        <w:rPr>
          <w:rFonts w:hint="eastAsia" w:ascii="宋体" w:hAnsi="宋体" w:cs="宋体"/>
          <w:sz w:val="22"/>
        </w:rPr>
        <w:t>1.7.3 承包人的地址：     邮编：</w:t>
      </w:r>
    </w:p>
    <w:p>
      <w:pPr>
        <w:snapToGrid w:val="0"/>
        <w:spacing w:line="360" w:lineRule="exact"/>
        <w:ind w:firstLine="440" w:firstLineChars="200"/>
        <w:rPr>
          <w:rFonts w:ascii="宋体" w:hAnsi="宋体" w:cs="宋体"/>
          <w:sz w:val="22"/>
        </w:rPr>
      </w:pPr>
      <w:r>
        <w:rPr>
          <w:rFonts w:hint="eastAsia" w:ascii="宋体" w:hAnsi="宋体" w:cs="宋体"/>
          <w:sz w:val="22"/>
        </w:rPr>
        <w:t>1.7.4 发包人的地址：</w:t>
      </w:r>
      <w:r>
        <w:rPr>
          <w:rFonts w:hint="eastAsia" w:ascii="宋体" w:hAnsi="宋体" w:cs="宋体"/>
          <w:sz w:val="22"/>
          <w:u w:val="single"/>
        </w:rPr>
        <w:t>杭州萧山国际机场内</w:t>
      </w:r>
      <w:r>
        <w:rPr>
          <w:rFonts w:hint="eastAsia" w:ascii="宋体" w:hAnsi="宋体" w:cs="宋体"/>
          <w:sz w:val="22"/>
        </w:rPr>
        <w:t xml:space="preserve">            邮编：</w:t>
      </w:r>
      <w:r>
        <w:rPr>
          <w:rFonts w:hint="eastAsia" w:ascii="宋体" w:hAnsi="宋体" w:cs="宋体"/>
          <w:sz w:val="22"/>
          <w:u w:val="single"/>
        </w:rPr>
        <w:t>311207</w:t>
      </w:r>
    </w:p>
    <w:p>
      <w:pPr>
        <w:snapToGrid w:val="0"/>
        <w:spacing w:line="360" w:lineRule="exact"/>
        <w:ind w:firstLine="440" w:firstLineChars="200"/>
        <w:rPr>
          <w:rFonts w:ascii="宋体" w:hAnsi="宋体" w:cs="宋体"/>
          <w:sz w:val="22"/>
        </w:rPr>
      </w:pPr>
      <w:r>
        <w:rPr>
          <w:rFonts w:hint="eastAsia" w:ascii="宋体" w:hAnsi="宋体" w:cs="宋体"/>
          <w:sz w:val="22"/>
        </w:rPr>
        <w:t>1.7.5 如一方拒绝签收另一方通知，另一方以</w:t>
      </w:r>
      <w:r>
        <w:rPr>
          <w:rFonts w:hint="eastAsia" w:ascii="宋体" w:hAnsi="宋体" w:cs="宋体"/>
          <w:sz w:val="22"/>
          <w:u w:val="single"/>
        </w:rPr>
        <w:t xml:space="preserve"> 邮递快件 </w:t>
      </w:r>
      <w:r>
        <w:rPr>
          <w:rFonts w:hint="eastAsia" w:ascii="宋体" w:hAnsi="宋体" w:cs="宋体"/>
          <w:sz w:val="22"/>
        </w:rPr>
        <w:t>方式将通知送至专用条款中指定的地址，视为送达。</w:t>
      </w:r>
    </w:p>
    <w:p>
      <w:pPr>
        <w:snapToGrid w:val="0"/>
        <w:spacing w:line="360" w:lineRule="exact"/>
        <w:rPr>
          <w:rFonts w:ascii="宋体" w:hAnsi="宋体" w:cs="宋体"/>
          <w:sz w:val="22"/>
        </w:rPr>
      </w:pPr>
      <w:r>
        <w:rPr>
          <w:rFonts w:hint="eastAsia" w:ascii="宋体" w:hAnsi="宋体" w:cs="宋体"/>
          <w:sz w:val="22"/>
        </w:rPr>
        <w:t>2．发包人义务</w:t>
      </w:r>
    </w:p>
    <w:p>
      <w:pPr>
        <w:snapToGrid w:val="0"/>
        <w:spacing w:line="360" w:lineRule="exact"/>
        <w:rPr>
          <w:rFonts w:ascii="宋体" w:hAnsi="宋体" w:cs="宋体"/>
          <w:sz w:val="22"/>
        </w:rPr>
      </w:pPr>
      <w:r>
        <w:rPr>
          <w:rFonts w:hint="eastAsia" w:ascii="宋体" w:hAnsi="宋体" w:cs="宋体"/>
          <w:sz w:val="22"/>
        </w:rPr>
        <w:t>2.3 提供施工场地</w:t>
      </w:r>
    </w:p>
    <w:p>
      <w:pPr>
        <w:snapToGrid w:val="0"/>
        <w:spacing w:line="360" w:lineRule="exact"/>
        <w:ind w:firstLine="440" w:firstLineChars="200"/>
        <w:rPr>
          <w:rFonts w:ascii="宋体" w:hAnsi="宋体" w:cs="宋体"/>
          <w:sz w:val="22"/>
        </w:rPr>
      </w:pPr>
      <w:r>
        <w:rPr>
          <w:rFonts w:hint="eastAsia" w:ascii="宋体" w:hAnsi="宋体" w:cs="宋体"/>
          <w:sz w:val="22"/>
        </w:rPr>
        <w:t>施工场地具备施工条件的要求及完成的时间：为开工日期前不少于3天。</w:t>
      </w:r>
    </w:p>
    <w:p>
      <w:pPr>
        <w:snapToGrid w:val="0"/>
        <w:spacing w:line="360" w:lineRule="exact"/>
        <w:ind w:firstLine="440" w:firstLineChars="200"/>
        <w:rPr>
          <w:rFonts w:ascii="宋体" w:hAnsi="宋体" w:cs="宋体"/>
          <w:sz w:val="22"/>
        </w:rPr>
      </w:pPr>
      <w:r>
        <w:rPr>
          <w:rFonts w:hint="eastAsia" w:ascii="宋体" w:hAnsi="宋体" w:cs="宋体"/>
          <w:sz w:val="22"/>
        </w:rPr>
        <w:t>施工场地内地下管线和地下设施等有关资料的提供时间：为开工日期前不少于3天。</w:t>
      </w:r>
    </w:p>
    <w:p>
      <w:pPr>
        <w:snapToGrid w:val="0"/>
        <w:spacing w:line="360" w:lineRule="exact"/>
        <w:rPr>
          <w:rFonts w:ascii="宋体" w:hAnsi="宋体" w:cs="宋体"/>
          <w:sz w:val="22"/>
        </w:rPr>
      </w:pPr>
      <w:r>
        <w:rPr>
          <w:rFonts w:hint="eastAsia" w:ascii="宋体" w:hAnsi="宋体" w:cs="宋体"/>
          <w:sz w:val="22"/>
        </w:rPr>
        <w:t>3．监理人</w:t>
      </w:r>
    </w:p>
    <w:p>
      <w:pPr>
        <w:snapToGrid w:val="0"/>
        <w:spacing w:line="360" w:lineRule="exact"/>
        <w:rPr>
          <w:rFonts w:ascii="宋体" w:hAnsi="宋体" w:cs="宋体"/>
          <w:sz w:val="22"/>
        </w:rPr>
      </w:pPr>
      <w:r>
        <w:rPr>
          <w:rFonts w:hint="eastAsia" w:ascii="宋体" w:hAnsi="宋体" w:cs="宋体"/>
          <w:sz w:val="22"/>
        </w:rPr>
        <w:t>3.1 监理人的职责和权力</w:t>
      </w:r>
    </w:p>
    <w:p>
      <w:pPr>
        <w:snapToGrid w:val="0"/>
        <w:spacing w:line="360" w:lineRule="exact"/>
        <w:ind w:firstLine="440" w:firstLineChars="200"/>
        <w:rPr>
          <w:rFonts w:ascii="宋体" w:hAnsi="宋体" w:cs="宋体"/>
          <w:sz w:val="22"/>
        </w:rPr>
      </w:pPr>
      <w:r>
        <w:rPr>
          <w:rFonts w:hint="eastAsia" w:ascii="宋体" w:hAnsi="宋体" w:cs="宋体"/>
          <w:sz w:val="22"/>
        </w:rPr>
        <w:t>3.1.1 需要经发包人事先批准才能行使的职权：</w:t>
      </w:r>
    </w:p>
    <w:p>
      <w:pPr>
        <w:snapToGrid w:val="0"/>
        <w:spacing w:line="360" w:lineRule="exact"/>
        <w:ind w:firstLine="440" w:firstLineChars="200"/>
        <w:rPr>
          <w:rFonts w:ascii="宋体" w:hAnsi="宋体" w:cs="宋体"/>
          <w:sz w:val="22"/>
        </w:rPr>
      </w:pPr>
      <w:r>
        <w:rPr>
          <w:rFonts w:hint="eastAsia" w:ascii="宋体" w:hAnsi="宋体" w:cs="宋体"/>
          <w:sz w:val="22"/>
        </w:rPr>
        <w:t>（1）影响工期的施工暂停；</w:t>
      </w:r>
    </w:p>
    <w:p>
      <w:pPr>
        <w:snapToGrid w:val="0"/>
        <w:spacing w:line="360" w:lineRule="exact"/>
        <w:ind w:firstLine="440" w:firstLineChars="200"/>
        <w:rPr>
          <w:rFonts w:ascii="宋体" w:hAnsi="宋体" w:cs="宋体"/>
          <w:sz w:val="22"/>
        </w:rPr>
      </w:pPr>
      <w:r>
        <w:rPr>
          <w:rFonts w:hint="eastAsia" w:ascii="宋体" w:hAnsi="宋体" w:cs="宋体"/>
          <w:sz w:val="22"/>
        </w:rPr>
        <w:t>（2）工程变更、设计变更的估价；</w:t>
      </w:r>
    </w:p>
    <w:p>
      <w:pPr>
        <w:snapToGrid w:val="0"/>
        <w:spacing w:line="360" w:lineRule="exact"/>
        <w:ind w:firstLine="440" w:firstLineChars="200"/>
        <w:rPr>
          <w:rFonts w:ascii="宋体" w:hAnsi="宋体" w:cs="宋体"/>
          <w:sz w:val="22"/>
        </w:rPr>
      </w:pPr>
      <w:r>
        <w:rPr>
          <w:rFonts w:hint="eastAsia" w:ascii="宋体" w:hAnsi="宋体" w:cs="宋体"/>
          <w:sz w:val="22"/>
        </w:rPr>
        <w:t>（3）索赔价款的确定和支付；</w:t>
      </w:r>
    </w:p>
    <w:p>
      <w:pPr>
        <w:snapToGrid w:val="0"/>
        <w:spacing w:line="360" w:lineRule="exact"/>
        <w:ind w:firstLine="440" w:firstLineChars="200"/>
        <w:rPr>
          <w:rFonts w:ascii="宋体" w:hAnsi="宋体" w:cs="宋体"/>
          <w:sz w:val="22"/>
        </w:rPr>
      </w:pPr>
      <w:r>
        <w:rPr>
          <w:rFonts w:hint="eastAsia" w:ascii="宋体" w:hAnsi="宋体" w:cs="宋体"/>
          <w:sz w:val="22"/>
        </w:rPr>
        <w:t>（4）涉及改变原设计意图的变更；</w:t>
      </w:r>
    </w:p>
    <w:p>
      <w:pPr>
        <w:snapToGrid w:val="0"/>
        <w:spacing w:line="360" w:lineRule="exact"/>
        <w:ind w:firstLine="440" w:firstLineChars="200"/>
        <w:rPr>
          <w:rFonts w:ascii="宋体" w:hAnsi="宋体" w:cs="宋体"/>
          <w:sz w:val="22"/>
        </w:rPr>
      </w:pPr>
      <w:r>
        <w:rPr>
          <w:rFonts w:hint="eastAsia" w:ascii="宋体" w:hAnsi="宋体" w:cs="宋体"/>
          <w:sz w:val="22"/>
        </w:rPr>
        <w:t>（5）对承包人合同规定的义务提出变更；</w:t>
      </w:r>
    </w:p>
    <w:p>
      <w:pPr>
        <w:snapToGrid w:val="0"/>
        <w:spacing w:line="360" w:lineRule="exact"/>
        <w:ind w:firstLine="440" w:firstLineChars="200"/>
        <w:rPr>
          <w:rFonts w:ascii="宋体" w:hAnsi="宋体" w:cs="宋体"/>
          <w:sz w:val="22"/>
        </w:rPr>
      </w:pPr>
      <w:r>
        <w:rPr>
          <w:rFonts w:hint="eastAsia" w:ascii="宋体" w:hAnsi="宋体" w:cs="宋体"/>
          <w:sz w:val="22"/>
        </w:rPr>
        <w:t>（6）暂估价的确定；</w:t>
      </w:r>
    </w:p>
    <w:p>
      <w:pPr>
        <w:snapToGrid w:val="0"/>
        <w:spacing w:line="360" w:lineRule="exact"/>
        <w:ind w:firstLine="440" w:firstLineChars="200"/>
        <w:rPr>
          <w:rFonts w:ascii="宋体" w:hAnsi="宋体" w:cs="宋体"/>
          <w:sz w:val="22"/>
        </w:rPr>
      </w:pPr>
      <w:r>
        <w:rPr>
          <w:rFonts w:hint="eastAsia" w:ascii="宋体" w:hAnsi="宋体" w:cs="宋体"/>
          <w:sz w:val="22"/>
        </w:rPr>
        <w:t>（7）超出施工合同约定的工程价格的调整和变更。</w:t>
      </w:r>
    </w:p>
    <w:p>
      <w:pPr>
        <w:snapToGrid w:val="0"/>
        <w:spacing w:line="360" w:lineRule="exact"/>
        <w:rPr>
          <w:rFonts w:ascii="宋体" w:hAnsi="宋体" w:cs="宋体"/>
          <w:sz w:val="22"/>
        </w:rPr>
      </w:pPr>
      <w:r>
        <w:rPr>
          <w:rFonts w:hint="eastAsia" w:ascii="宋体" w:hAnsi="宋体" w:cs="宋体"/>
          <w:sz w:val="22"/>
        </w:rPr>
        <w:t>4．承包人</w:t>
      </w:r>
    </w:p>
    <w:p>
      <w:pPr>
        <w:snapToGrid w:val="0"/>
        <w:spacing w:line="360" w:lineRule="exact"/>
        <w:rPr>
          <w:rFonts w:ascii="宋体" w:hAnsi="宋体" w:cs="宋体"/>
          <w:sz w:val="22"/>
        </w:rPr>
      </w:pPr>
      <w:r>
        <w:rPr>
          <w:rFonts w:hint="eastAsia" w:ascii="宋体" w:hAnsi="宋体" w:cs="宋体"/>
          <w:sz w:val="22"/>
        </w:rPr>
        <w:t>4.1 承包人的一般义务</w:t>
      </w:r>
    </w:p>
    <w:p>
      <w:pPr>
        <w:snapToGrid w:val="0"/>
        <w:spacing w:line="360" w:lineRule="exact"/>
        <w:ind w:firstLine="440" w:firstLineChars="200"/>
        <w:rPr>
          <w:rFonts w:ascii="宋体" w:hAnsi="宋体" w:cs="宋体"/>
          <w:b/>
          <w:sz w:val="22"/>
        </w:rPr>
      </w:pPr>
      <w:r>
        <w:rPr>
          <w:rFonts w:hint="eastAsia" w:ascii="宋体" w:hAnsi="宋体" w:cs="宋体"/>
          <w:sz w:val="22"/>
        </w:rPr>
        <w:t>4.1.10 承包人应无条件执行国家以及建筑业、法规、规章、规范和技术标准，服从机场当局管理，诚信履行投标承诺和本合同，</w:t>
      </w:r>
      <w:r>
        <w:rPr>
          <w:rFonts w:hint="eastAsia" w:ascii="宋体" w:hAnsi="宋体" w:cs="宋体"/>
          <w:b/>
          <w:sz w:val="22"/>
        </w:rPr>
        <w:t>承包人应严格遵守国家有关解决拖欠工程款和民工工资的法律、法规，及时支付工程中的材料（设备）货款、专业分包工程（若有）及农民工工资等费用。若在施工过程中，发现承包人有拖欠材料（设备）供应商货款、专业分包工程（若有）及民工工资现象时，发包人有权从承包人工程款或履约担保金中扣除该费用，直接支付给被拖欠材料（设备）供应商货款、专业分包工程（若有）及农民工，所造成的一切损失均由承包人承担，同时承包人必须无条件执行合同约定的内容。再者：承包人与供应商签订合同时，必须经发包人认可并备案，否则，发包人有权拒付相应费用。</w:t>
      </w:r>
    </w:p>
    <w:p>
      <w:pPr>
        <w:snapToGrid w:val="0"/>
        <w:spacing w:line="360" w:lineRule="exact"/>
        <w:ind w:firstLine="440" w:firstLineChars="200"/>
        <w:rPr>
          <w:rFonts w:ascii="宋体" w:hAnsi="宋体" w:cs="宋体"/>
          <w:sz w:val="22"/>
        </w:rPr>
      </w:pPr>
      <w:r>
        <w:rPr>
          <w:rFonts w:hint="eastAsia" w:ascii="宋体" w:hAnsi="宋体" w:cs="宋体"/>
          <w:sz w:val="22"/>
        </w:rPr>
        <w:t>4.1.11建筑垃圾应严格按照发包人的要求进行堆放并及时清运，垃圾弃运地点由承包人自行联系解决，严禁弃至机场场区内，始终保持施工场地及周边道面、环境的整洁。若发现承包人未按发包人要求进行垃圾堆放的，每发现一次处以1000元罚款，并必须立即清除；对于在机场场区内随意弃运垃圾的，每发现一次处以10000元罚款，并必须立即清运出场外。</w:t>
      </w:r>
    </w:p>
    <w:p>
      <w:pPr>
        <w:snapToGrid w:val="0"/>
        <w:spacing w:line="360" w:lineRule="exact"/>
        <w:rPr>
          <w:rFonts w:ascii="宋体" w:hAnsi="宋体" w:cs="宋体"/>
          <w:sz w:val="22"/>
        </w:rPr>
      </w:pPr>
      <w:r>
        <w:rPr>
          <w:rFonts w:hint="eastAsia" w:ascii="宋体" w:hAnsi="宋体" w:cs="宋体"/>
          <w:sz w:val="22"/>
        </w:rPr>
        <w:t>4.2 履约担保</w:t>
      </w:r>
    </w:p>
    <w:p>
      <w:pPr>
        <w:snapToGrid w:val="0"/>
        <w:spacing w:line="360" w:lineRule="exact"/>
        <w:ind w:firstLine="440" w:firstLineChars="200"/>
        <w:rPr>
          <w:rFonts w:ascii="宋体" w:hAnsi="宋体" w:cs="宋体"/>
          <w:sz w:val="22"/>
        </w:rPr>
      </w:pPr>
      <w:r>
        <w:rPr>
          <w:rFonts w:hint="eastAsia" w:ascii="宋体" w:hAnsi="宋体" w:cs="宋体"/>
          <w:sz w:val="22"/>
        </w:rPr>
        <w:t>无</w:t>
      </w:r>
    </w:p>
    <w:p>
      <w:pPr>
        <w:snapToGrid w:val="0"/>
        <w:spacing w:line="360" w:lineRule="exact"/>
        <w:rPr>
          <w:rFonts w:ascii="宋体" w:hAnsi="宋体" w:cs="宋体"/>
          <w:sz w:val="22"/>
        </w:rPr>
      </w:pPr>
      <w:r>
        <w:rPr>
          <w:rFonts w:hint="eastAsia" w:ascii="宋体" w:hAnsi="宋体" w:cs="宋体"/>
          <w:sz w:val="22"/>
        </w:rPr>
        <w:t>4.5 承包人项目经理</w:t>
      </w:r>
    </w:p>
    <w:p>
      <w:pPr>
        <w:snapToGrid w:val="0"/>
        <w:spacing w:line="360" w:lineRule="exact"/>
        <w:ind w:firstLine="440" w:firstLineChars="200"/>
        <w:rPr>
          <w:rFonts w:ascii="宋体" w:hAnsi="宋体" w:cs="宋体"/>
          <w:sz w:val="22"/>
        </w:rPr>
      </w:pPr>
      <w:r>
        <w:rPr>
          <w:rFonts w:hint="eastAsia" w:ascii="宋体" w:hAnsi="宋体" w:cs="宋体"/>
          <w:sz w:val="22"/>
        </w:rPr>
        <w:t>4.5.5项目经理和施工管理架构的管理人员应与承包人投标文件一致，发包人原则上不接受承包人调整项目经理的要求。</w:t>
      </w:r>
    </w:p>
    <w:p>
      <w:pPr>
        <w:snapToGrid w:val="0"/>
        <w:spacing w:line="360" w:lineRule="exact"/>
        <w:ind w:firstLine="440" w:firstLineChars="200"/>
        <w:rPr>
          <w:rFonts w:ascii="宋体" w:hAnsi="宋体" w:cs="宋体"/>
          <w:sz w:val="22"/>
        </w:rPr>
      </w:pPr>
      <w:r>
        <w:rPr>
          <w:rFonts w:hint="eastAsia" w:ascii="宋体" w:hAnsi="宋体" w:cs="宋体"/>
          <w:sz w:val="22"/>
        </w:rPr>
        <w:t>（1）确因特殊原因无法到位的，承包人应书面提出申请，但更换的项目经理必须符合或高于招标文件中的各项资质及资格要求，经发包人同意后予以更换；</w:t>
      </w:r>
    </w:p>
    <w:p>
      <w:pPr>
        <w:snapToGrid w:val="0"/>
        <w:spacing w:line="360" w:lineRule="exact"/>
        <w:ind w:firstLine="440" w:firstLineChars="200"/>
        <w:rPr>
          <w:rFonts w:ascii="宋体" w:hAnsi="宋体" w:cs="宋体"/>
          <w:sz w:val="22"/>
        </w:rPr>
      </w:pPr>
      <w:r>
        <w:rPr>
          <w:rFonts w:hint="eastAsia" w:ascii="宋体" w:hAnsi="宋体" w:cs="宋体"/>
          <w:sz w:val="22"/>
        </w:rPr>
        <w:t>（2）在任何情况下，如果发包人认为项目经理不能胜任工作，有权以书面通知，要求承包人更换项目经理；承包人应在收到发包人通知之日起的7天内，按照发包人要求，提出新的项目经理人选，报发包人批准后，立即任命到位。</w:t>
      </w:r>
    </w:p>
    <w:p>
      <w:pPr>
        <w:snapToGrid w:val="0"/>
        <w:spacing w:line="360" w:lineRule="exact"/>
        <w:ind w:firstLine="440" w:firstLineChars="200"/>
        <w:rPr>
          <w:rFonts w:ascii="宋体" w:hAnsi="宋体" w:cs="宋体"/>
          <w:sz w:val="22"/>
        </w:rPr>
      </w:pPr>
      <w:r>
        <w:rPr>
          <w:rFonts w:hint="eastAsia" w:ascii="宋体" w:hAnsi="宋体" w:cs="宋体"/>
          <w:sz w:val="22"/>
        </w:rPr>
        <w:t>（3）出现上述两种情况时，</w:t>
      </w:r>
      <w:r>
        <w:rPr>
          <w:rFonts w:hint="eastAsia" w:ascii="宋体" w:hAnsi="宋体" w:cs="宋体"/>
          <w:b/>
          <w:sz w:val="22"/>
        </w:rPr>
        <w:t>承包人应同时再向发包人支付合同价3%的押金，如因更换后的项目经理组织管理不力，影响工程的按时、保质完成，除承担合同约定的其他违约责任外，发包人还有权没收该部分押金。</w:t>
      </w:r>
      <w:r>
        <w:rPr>
          <w:rFonts w:hint="eastAsia" w:ascii="宋体" w:hAnsi="宋体" w:cs="宋体"/>
          <w:sz w:val="22"/>
        </w:rPr>
        <w:t>若承包人擅自更换项目经理，发包人有权终止合同，向承包人收取合同价10%违约金并向相关部门通报其违约信息。</w:t>
      </w:r>
    </w:p>
    <w:p>
      <w:pPr>
        <w:snapToGrid w:val="0"/>
        <w:spacing w:line="360" w:lineRule="exact"/>
        <w:ind w:firstLine="440" w:firstLineChars="200"/>
        <w:rPr>
          <w:rFonts w:ascii="宋体" w:hAnsi="宋体" w:cs="宋体"/>
          <w:sz w:val="22"/>
        </w:rPr>
      </w:pPr>
      <w:r>
        <w:rPr>
          <w:rFonts w:hint="eastAsia" w:ascii="宋体" w:hAnsi="宋体" w:cs="宋体"/>
          <w:sz w:val="22"/>
        </w:rPr>
        <w:t>4.5.6开工报告批准起至竣工验收合格止，项目经理和技术负责人月到位率均不得少于90％，否则按缺勤天数扣除5000元/人•天的违约金。</w:t>
      </w:r>
    </w:p>
    <w:p>
      <w:pPr>
        <w:snapToGrid w:val="0"/>
        <w:spacing w:line="360" w:lineRule="exact"/>
        <w:rPr>
          <w:rFonts w:ascii="宋体" w:hAnsi="宋体" w:cs="宋体"/>
          <w:sz w:val="22"/>
        </w:rPr>
      </w:pPr>
      <w:r>
        <w:rPr>
          <w:rFonts w:hint="eastAsia" w:ascii="宋体" w:hAnsi="宋体" w:cs="宋体"/>
          <w:sz w:val="22"/>
        </w:rPr>
        <w:t>4.12 承包人其他义务</w:t>
      </w:r>
    </w:p>
    <w:p>
      <w:pPr>
        <w:snapToGrid w:val="0"/>
        <w:spacing w:line="360" w:lineRule="exact"/>
        <w:ind w:firstLine="440" w:firstLineChars="200"/>
        <w:rPr>
          <w:rFonts w:ascii="宋体" w:hAnsi="宋体" w:cs="宋体"/>
          <w:sz w:val="22"/>
        </w:rPr>
      </w:pPr>
      <w:r>
        <w:rPr>
          <w:rFonts w:hint="eastAsia" w:ascii="宋体" w:hAnsi="宋体" w:cs="宋体"/>
          <w:sz w:val="22"/>
        </w:rPr>
        <w:t xml:space="preserve">4.12.1承包人提供施工组织设计和工程进度计划的时间和要求：签订施工合同后10天内，承包人向发包人提交符合工程实际情况的具有可实施性的施工组织设计，并得到发包人的认可。实施性施工组织设计应详细说明整个工程进度计划、施工措施和方案及组织架构、劳动力计划、安全措施计划、机械设备进场计划、材料计划、需要配合的事项、可能遇到的不利因素及相应的措施。在施工过程中，工程实际进度与经确认的施工组织设计和工程进度不符时，承包人应按发包人的要求提出改进措施，经发包人确认后执行，因承包人的原因导致实际进度与进度计划不符，承包人无权就改进措施提出追加合同价款及工期索赔。 </w:t>
      </w:r>
    </w:p>
    <w:p>
      <w:pPr>
        <w:snapToGrid w:val="0"/>
        <w:spacing w:line="360" w:lineRule="exact"/>
        <w:ind w:firstLine="440" w:firstLineChars="200"/>
        <w:rPr>
          <w:rFonts w:ascii="宋体" w:hAnsi="宋体" w:cs="宋体"/>
          <w:sz w:val="22"/>
        </w:rPr>
      </w:pPr>
      <w:r>
        <w:rPr>
          <w:rFonts w:hint="eastAsia" w:ascii="宋体" w:hAnsi="宋体" w:cs="宋体"/>
          <w:sz w:val="22"/>
        </w:rPr>
        <w:t xml:space="preserve">发包人确认的时间：发包人收到承包人提交的施工组织设计和工程进度计划后7天内，予以确认或提出修改意见。  </w:t>
      </w:r>
    </w:p>
    <w:p>
      <w:pPr>
        <w:snapToGrid w:val="0"/>
        <w:spacing w:line="360" w:lineRule="exact"/>
        <w:ind w:firstLine="440" w:firstLineChars="200"/>
        <w:rPr>
          <w:rFonts w:ascii="宋体" w:hAnsi="宋体" w:cs="宋体"/>
          <w:sz w:val="22"/>
        </w:rPr>
      </w:pPr>
      <w:r>
        <w:rPr>
          <w:rFonts w:hint="eastAsia" w:ascii="宋体" w:hAnsi="宋体" w:cs="宋体"/>
          <w:sz w:val="22"/>
        </w:rPr>
        <w:t xml:space="preserve">承包人根据发包人的合理意见提交修改后的施工组织设计和工程进度计划的时间和要求：收到发包人的合理意见后7天内，提交修改后符合要求的施工组织设计和工程进度计划的时间和要求。 </w:t>
      </w:r>
    </w:p>
    <w:p>
      <w:pPr>
        <w:snapToGrid w:val="0"/>
        <w:spacing w:line="360" w:lineRule="exact"/>
        <w:ind w:firstLine="440" w:firstLineChars="200"/>
        <w:rPr>
          <w:rFonts w:ascii="宋体" w:hAnsi="宋体" w:cs="宋体"/>
          <w:sz w:val="22"/>
        </w:rPr>
      </w:pPr>
      <w:r>
        <w:rPr>
          <w:rFonts w:hint="eastAsia" w:ascii="宋体" w:hAnsi="宋体" w:cs="宋体"/>
          <w:sz w:val="22"/>
        </w:rPr>
        <w:t>4.12.2 已完工程成品保护的特殊要求：已完工程成品在未竣工验收移交给发包人前，均应由承包人妥善保管， 承包人对其防盗、防损、防潮等负责。竣工验收合格后，须完整移交给发包人，并办理相关移交手续。</w:t>
      </w:r>
    </w:p>
    <w:p>
      <w:pPr>
        <w:snapToGrid w:val="0"/>
        <w:spacing w:line="360" w:lineRule="exact"/>
        <w:ind w:firstLine="440" w:firstLineChars="200"/>
        <w:rPr>
          <w:rFonts w:ascii="宋体" w:hAnsi="宋体" w:cs="宋体"/>
          <w:sz w:val="22"/>
        </w:rPr>
      </w:pPr>
      <w:r>
        <w:rPr>
          <w:rFonts w:hint="eastAsia" w:ascii="宋体" w:hAnsi="宋体" w:cs="宋体"/>
          <w:sz w:val="22"/>
        </w:rPr>
        <w:t>施工场地地下管线和邻近建筑物、构筑物(包括文物保护建筑)、古树名木等的保护要求和费用承担：承包人应在整个施工期间采取强有力的保护措施，按图施工确保各种（包括现场周边）地下永久管线和临近建筑物、构筑物、古树名木、机场围界等的安全，承包人负责并承担因承包人防护不力而发生的事故，及由之产生的一切责任和经济损失。</w:t>
      </w:r>
    </w:p>
    <w:p>
      <w:pPr>
        <w:snapToGrid w:val="0"/>
        <w:spacing w:line="360" w:lineRule="exact"/>
        <w:ind w:firstLine="440" w:firstLineChars="200"/>
        <w:rPr>
          <w:rFonts w:ascii="宋体" w:hAnsi="宋体" w:cs="宋体"/>
          <w:sz w:val="22"/>
        </w:rPr>
      </w:pPr>
      <w:r>
        <w:rPr>
          <w:rFonts w:hint="eastAsia" w:ascii="宋体" w:hAnsi="宋体" w:cs="宋体"/>
          <w:sz w:val="22"/>
        </w:rPr>
        <w:t xml:space="preserve">交工前清洁施工现场的要求：承包人应达到浙江省和杭州市有关部门规定要求及满足发包人要求。包括但不限于：施工场地及临时占用场地的余土、垃圾、办公及生活临时设施拆除、硬化场地的破除；做到工完场清，并承担所需的费用。在颁发任何接收证书时，承包人应从该接收证书涉及的那部分现场，清除并运出全部承包人设备、多余材料、垃圾和各种临时设施，并保持该部分现场和工程清洁整齐，达到使发包人满意的使用状态，对于承包人未能及时清理运走的设备、多余材料、垃圾和各种临时设施，发包人可予以出售、拆除或另行处理；发包人有权从此类收益（若有）中扣留足够的款额，以支付出售或处理及整理现场所发生的费用支出；此类收益的所有余额（若有）归还承包人，若出售所得不足以补偿发包人的支出，则发包人可以从承包人处扣回不足部分的款额。   </w:t>
      </w:r>
    </w:p>
    <w:p>
      <w:pPr>
        <w:snapToGrid w:val="0"/>
        <w:spacing w:line="360" w:lineRule="exact"/>
        <w:ind w:firstLine="440" w:firstLineChars="200"/>
        <w:rPr>
          <w:rFonts w:ascii="宋体" w:hAnsi="宋体" w:cs="宋体"/>
          <w:sz w:val="22"/>
        </w:rPr>
      </w:pPr>
      <w:r>
        <w:rPr>
          <w:rFonts w:hint="eastAsia" w:ascii="宋体" w:hAnsi="宋体" w:cs="宋体"/>
          <w:sz w:val="22"/>
        </w:rPr>
        <w:t>4.12.3约定承包人应做的其他工作及费用承担：</w:t>
      </w:r>
    </w:p>
    <w:p>
      <w:pPr>
        <w:snapToGrid w:val="0"/>
        <w:spacing w:line="360" w:lineRule="exact"/>
        <w:ind w:firstLine="440" w:firstLineChars="200"/>
        <w:rPr>
          <w:rFonts w:ascii="宋体" w:hAnsi="宋体" w:cs="宋体"/>
          <w:sz w:val="22"/>
        </w:rPr>
      </w:pPr>
      <w:r>
        <w:rPr>
          <w:rFonts w:hint="eastAsia" w:ascii="宋体" w:hAnsi="宋体" w:cs="宋体"/>
          <w:sz w:val="22"/>
        </w:rPr>
        <w:t>（1）承包人须自发、积极地负责对图纸及技术要求作出全面检查（图纸尺寸应以图纸上标明的为准，不能用比例尺量度），任何矛盾、不一致的地方须立即书面通知发包人。若本工程的任何项目因承包人对此等矛盾、不一致的地方没有向发包人及时要求澄清而错误地建造，则在发包人要求时，承包人须自费予以拆除及重建，而工期亦不会因此延长。</w:t>
      </w:r>
    </w:p>
    <w:p>
      <w:pPr>
        <w:snapToGrid w:val="0"/>
        <w:spacing w:line="360" w:lineRule="exact"/>
        <w:ind w:firstLine="440" w:firstLineChars="200"/>
        <w:rPr>
          <w:rFonts w:ascii="宋体" w:hAnsi="宋体" w:cs="宋体"/>
          <w:sz w:val="22"/>
        </w:rPr>
      </w:pPr>
      <w:r>
        <w:rPr>
          <w:rFonts w:hint="eastAsia" w:ascii="宋体" w:hAnsi="宋体" w:cs="宋体"/>
          <w:sz w:val="22"/>
        </w:rPr>
        <w:t>（2）发包人对合同图纸或标准、规范和技术要求内的矛盾、不一致的地方发出指示作出澄清不被视为工程变更指示，而承包人也不会因此获得工期延长及费用补偿。</w:t>
      </w:r>
    </w:p>
    <w:p>
      <w:pPr>
        <w:snapToGrid w:val="0"/>
        <w:spacing w:line="360" w:lineRule="exact"/>
        <w:rPr>
          <w:rFonts w:ascii="宋体" w:hAnsi="宋体" w:cs="宋体"/>
          <w:sz w:val="22"/>
        </w:rPr>
      </w:pPr>
      <w:r>
        <w:rPr>
          <w:rFonts w:hint="eastAsia" w:ascii="宋体" w:hAnsi="宋体" w:cs="宋体"/>
          <w:sz w:val="22"/>
        </w:rPr>
        <w:t>5．材料和工程设备</w:t>
      </w:r>
    </w:p>
    <w:p>
      <w:pPr>
        <w:snapToGrid w:val="0"/>
        <w:spacing w:line="360" w:lineRule="exact"/>
        <w:rPr>
          <w:rFonts w:ascii="宋体" w:hAnsi="宋体" w:cs="宋体"/>
          <w:sz w:val="22"/>
        </w:rPr>
      </w:pPr>
      <w:r>
        <w:rPr>
          <w:rFonts w:hint="eastAsia" w:ascii="宋体" w:hAnsi="宋体" w:cs="宋体"/>
          <w:sz w:val="22"/>
        </w:rPr>
        <w:t>5.1 承包人提供的材料和工程设备</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rPr>
      </w:pPr>
      <w:r>
        <w:rPr>
          <w:rFonts w:hint="eastAsia" w:ascii="宋体" w:hAnsi="宋体" w:cs="宋体"/>
          <w:sz w:val="22"/>
        </w:rPr>
        <w:t>5.1.4本工程除甲供设备、材料外的材料均须经发包人确认后由承包人采购提供。采购、使用前应经发包人代表核验所有材料与设计及投标承诺的质量、规格是否相符，签字确认。如事后发现不合格材料或不符合设计、投标文件承诺的材料，发包人代表将拒绝使用，承包人应无条件负责更换或返工，并承担由此发生的费用和工期损失。</w:t>
      </w:r>
    </w:p>
    <w:p>
      <w:pPr>
        <w:snapToGrid w:val="0"/>
        <w:spacing w:line="360" w:lineRule="exact"/>
        <w:rPr>
          <w:rFonts w:ascii="宋体" w:hAnsi="宋体" w:cs="宋体"/>
          <w:sz w:val="22"/>
        </w:rPr>
      </w:pPr>
      <w:r>
        <w:rPr>
          <w:rFonts w:hint="eastAsia" w:ascii="宋体" w:hAnsi="宋体" w:cs="宋体"/>
          <w:sz w:val="22"/>
        </w:rPr>
        <w:t>5.2 发包人提供的材料和工程设备</w:t>
      </w:r>
    </w:p>
    <w:p>
      <w:pPr>
        <w:snapToGrid w:val="0"/>
        <w:spacing w:line="360" w:lineRule="exact"/>
        <w:ind w:firstLine="440" w:firstLineChars="200"/>
        <w:rPr>
          <w:rFonts w:ascii="宋体" w:hAnsi="宋体" w:cs="宋体"/>
          <w:sz w:val="22"/>
        </w:rPr>
      </w:pPr>
      <w:r>
        <w:rPr>
          <w:rFonts w:hint="eastAsia" w:ascii="宋体" w:hAnsi="宋体" w:cs="宋体"/>
          <w:sz w:val="22"/>
        </w:rPr>
        <w:t>5.2.7因工程需要，如发生发包人供应材料设备的情况，其计算方法为：发包人单独与材料设备供应商结算。承包人除计取采保费外，不得向发包人和材料设备供应商收取其它费用。甲供设备、材料不计入总造价，由发包人负责供至承包人现场，承包人必须配合做好验收，并负责卸车、保管、搬运，产品保护等工作，发包人按甲供材料和设备采购合同的0.5%给予承包人采保费，其它费用不再另行计取；如发生丢失、损坏等情况，承包人负责修复或赔偿并承担相应费用。采保费在工程竣工结算时一并支付。</w:t>
      </w:r>
    </w:p>
    <w:p>
      <w:pPr>
        <w:snapToGrid w:val="0"/>
        <w:spacing w:line="360" w:lineRule="exact"/>
        <w:ind w:firstLine="440" w:firstLineChars="200"/>
        <w:rPr>
          <w:rFonts w:ascii="宋体" w:hAnsi="宋体" w:cs="宋体"/>
          <w:sz w:val="22"/>
        </w:rPr>
      </w:pPr>
      <w:r>
        <w:rPr>
          <w:rFonts w:hint="eastAsia" w:ascii="宋体" w:hAnsi="宋体" w:cs="宋体"/>
          <w:sz w:val="22"/>
        </w:rPr>
        <w:t>5.2.8发包人供应材料设备发生的损耗按浙江省2010定额相关规定结算。</w:t>
      </w:r>
    </w:p>
    <w:p>
      <w:pPr>
        <w:snapToGrid w:val="0"/>
        <w:spacing w:line="360" w:lineRule="exact"/>
        <w:rPr>
          <w:rFonts w:ascii="宋体" w:hAnsi="宋体" w:cs="宋体"/>
          <w:sz w:val="22"/>
        </w:rPr>
      </w:pPr>
      <w:r>
        <w:rPr>
          <w:rFonts w:hint="eastAsia" w:ascii="宋体" w:hAnsi="宋体" w:cs="宋体"/>
          <w:sz w:val="22"/>
        </w:rPr>
        <w:t>7．交通运输</w:t>
      </w:r>
    </w:p>
    <w:p>
      <w:pPr>
        <w:snapToGrid w:val="0"/>
        <w:spacing w:line="360" w:lineRule="exact"/>
        <w:rPr>
          <w:rFonts w:ascii="宋体" w:hAnsi="宋体" w:cs="宋体"/>
          <w:sz w:val="22"/>
        </w:rPr>
      </w:pPr>
      <w:r>
        <w:rPr>
          <w:rFonts w:hint="eastAsia" w:ascii="宋体" w:hAnsi="宋体" w:cs="宋体"/>
          <w:sz w:val="22"/>
        </w:rPr>
        <w:t>7.1 道路通行权和场外设施</w:t>
      </w:r>
    </w:p>
    <w:p>
      <w:pPr>
        <w:snapToGrid w:val="0"/>
        <w:spacing w:line="360" w:lineRule="exact"/>
        <w:ind w:firstLine="440" w:firstLineChars="200"/>
        <w:rPr>
          <w:rFonts w:ascii="宋体" w:hAnsi="宋体" w:cs="宋体"/>
          <w:sz w:val="22"/>
        </w:rPr>
      </w:pPr>
      <w:r>
        <w:rPr>
          <w:rFonts w:hint="eastAsia" w:ascii="宋体" w:hAnsi="宋体" w:cs="宋体"/>
          <w:sz w:val="22"/>
        </w:rPr>
        <w:t>施工场地与公共道路的通道开通时间和要求：本工程施工场地周围道路现状由承包人自行调查掌握；施工时通道及施工时间的具体利用，应受杭州萧山国际机场管理规定、招标文件或其他须遵守约定、规定所述的限制，就此，承包人应自行承担费用及采取一切必要合理的措施以避免对杭州萧山国际机场、发包人或其他第三方的正常运行或财产、人身安全造成影响、干涉、妨碍或侵害。</w:t>
      </w:r>
    </w:p>
    <w:p>
      <w:pPr>
        <w:snapToGrid w:val="0"/>
        <w:spacing w:line="360" w:lineRule="exact"/>
        <w:ind w:firstLine="440" w:firstLineChars="200"/>
        <w:rPr>
          <w:rFonts w:ascii="宋体" w:hAnsi="宋体" w:cs="宋体"/>
          <w:sz w:val="22"/>
        </w:rPr>
      </w:pPr>
      <w:r>
        <w:rPr>
          <w:rFonts w:hint="eastAsia" w:ascii="宋体" w:hAnsi="宋体" w:cs="宋体"/>
          <w:sz w:val="22"/>
        </w:rPr>
        <w:t>对于承包人因施工导致机场现有道路、管线或设备设施等财产损坏，未影响机场正常运行的，则承包人应按发包人的要求向发包人赔偿1～10万元违约金（在当月工程进度款或合同款中扣除），具体违约金金额由发包人视损坏程度及影响情况确定；对于承包人因施工导致机场现有道路、管线或设备设施等财产损坏，并影响机场正常运行甚至导致机场临时关闭的，则承包人应按发包人的要求向发包人赔偿10～100万元违约金（在当月工程进度款或合同款中扣除），具体违约金金额由发包人视损坏程度及影响情况确定，且发包人有权单方面解除合同。除支付上述违约金外，对于修复上述受损道路、管线或设备设施等财产的费用，由承包人承担，若造成发包人其他损失的，承包人应赔偿发包人的全部损失，涉及犯罪的将追究其刑事责任。</w:t>
      </w:r>
    </w:p>
    <w:p>
      <w:pPr>
        <w:snapToGrid w:val="0"/>
        <w:spacing w:line="360" w:lineRule="exact"/>
        <w:rPr>
          <w:rFonts w:ascii="宋体" w:hAnsi="宋体" w:cs="宋体"/>
          <w:sz w:val="22"/>
        </w:rPr>
      </w:pPr>
      <w:r>
        <w:rPr>
          <w:rFonts w:hint="eastAsia" w:ascii="宋体" w:hAnsi="宋体" w:cs="宋体"/>
          <w:sz w:val="22"/>
        </w:rPr>
        <w:t>9．施工安全、治安保卫和环境保护</w:t>
      </w:r>
    </w:p>
    <w:p>
      <w:pPr>
        <w:snapToGrid w:val="0"/>
        <w:spacing w:line="360" w:lineRule="exact"/>
        <w:rPr>
          <w:rFonts w:ascii="宋体" w:hAnsi="宋体" w:cs="宋体"/>
          <w:sz w:val="22"/>
        </w:rPr>
      </w:pPr>
      <w:r>
        <w:rPr>
          <w:rFonts w:hint="eastAsia" w:ascii="宋体" w:hAnsi="宋体" w:cs="宋体"/>
          <w:sz w:val="22"/>
        </w:rPr>
        <w:t>9.2 承包人的施工安全责任</w:t>
      </w:r>
    </w:p>
    <w:p>
      <w:pPr>
        <w:snapToGrid w:val="0"/>
        <w:spacing w:line="360" w:lineRule="exact"/>
        <w:ind w:firstLine="440" w:firstLineChars="200"/>
        <w:rPr>
          <w:rFonts w:ascii="宋体" w:hAnsi="宋体" w:cs="宋体"/>
          <w:sz w:val="22"/>
        </w:rPr>
      </w:pPr>
      <w:r>
        <w:rPr>
          <w:rFonts w:hint="eastAsia" w:ascii="宋体" w:hAnsi="宋体" w:cs="宋体"/>
          <w:sz w:val="22"/>
        </w:rPr>
        <w:t>9.2.1 承包人将施工安全措施计划报发包人审批。时间：于本合同生效后15天内。</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rPr>
      </w:pPr>
      <w:r>
        <w:rPr>
          <w:rFonts w:hint="eastAsia" w:ascii="宋体" w:hAnsi="宋体" w:cs="宋体"/>
          <w:sz w:val="22"/>
        </w:rPr>
        <w:t>9.2.8为确保用电平稳，功率较大的电机式负荷需要承包人设置相应的降压启动设施。</w:t>
      </w:r>
    </w:p>
    <w:p>
      <w:pPr>
        <w:snapToGrid w:val="0"/>
        <w:spacing w:line="360" w:lineRule="exact"/>
        <w:rPr>
          <w:rFonts w:ascii="宋体" w:hAnsi="宋体" w:cs="宋体"/>
          <w:sz w:val="22"/>
        </w:rPr>
      </w:pPr>
      <w:r>
        <w:rPr>
          <w:rFonts w:hint="eastAsia" w:ascii="宋体" w:hAnsi="宋体" w:cs="宋体"/>
          <w:sz w:val="22"/>
        </w:rPr>
        <w:t>10．进度计划</w:t>
      </w:r>
    </w:p>
    <w:p>
      <w:pPr>
        <w:snapToGrid w:val="0"/>
        <w:spacing w:line="360" w:lineRule="exact"/>
        <w:rPr>
          <w:rFonts w:ascii="宋体" w:hAnsi="宋体" w:cs="宋体"/>
          <w:sz w:val="22"/>
        </w:rPr>
      </w:pPr>
      <w:r>
        <w:rPr>
          <w:rFonts w:hint="eastAsia" w:ascii="宋体" w:hAnsi="宋体" w:cs="宋体"/>
          <w:sz w:val="22"/>
        </w:rPr>
        <w:t>10.1 合同进度计划</w:t>
      </w:r>
    </w:p>
    <w:p>
      <w:pPr>
        <w:snapToGrid w:val="0"/>
        <w:spacing w:line="360" w:lineRule="exact"/>
        <w:ind w:firstLine="440" w:firstLineChars="200"/>
        <w:rPr>
          <w:rFonts w:ascii="宋体" w:hAnsi="宋体" w:cs="宋体"/>
          <w:sz w:val="22"/>
        </w:rPr>
      </w:pPr>
      <w:r>
        <w:rPr>
          <w:rFonts w:hint="eastAsia" w:ascii="宋体" w:hAnsi="宋体" w:cs="宋体"/>
          <w:sz w:val="22"/>
        </w:rPr>
        <w:t>承包人提供详细的施工进度计划和施工方案说明的时间：合同签订后3天内提供。</w:t>
      </w:r>
    </w:p>
    <w:p>
      <w:pPr>
        <w:snapToGrid w:val="0"/>
        <w:spacing w:line="360" w:lineRule="exact"/>
        <w:ind w:firstLine="440" w:firstLineChars="200"/>
        <w:rPr>
          <w:rFonts w:ascii="宋体" w:hAnsi="宋体" w:cs="宋体"/>
          <w:sz w:val="22"/>
        </w:rPr>
      </w:pPr>
      <w:r>
        <w:rPr>
          <w:rFonts w:hint="eastAsia" w:ascii="宋体" w:hAnsi="宋体" w:cs="宋体"/>
          <w:sz w:val="22"/>
        </w:rPr>
        <w:t>发包人确认的时间：于承包人提交后3天内。</w:t>
      </w:r>
    </w:p>
    <w:p>
      <w:pPr>
        <w:snapToGrid w:val="0"/>
        <w:spacing w:line="360" w:lineRule="exact"/>
        <w:ind w:firstLine="442" w:firstLineChars="200"/>
        <w:rPr>
          <w:rFonts w:ascii="宋体" w:hAnsi="宋体" w:cs="宋体"/>
          <w:b/>
          <w:sz w:val="22"/>
        </w:rPr>
      </w:pPr>
      <w:r>
        <w:rPr>
          <w:rFonts w:hint="eastAsia" w:ascii="宋体" w:hAnsi="宋体" w:cs="宋体"/>
          <w:b/>
          <w:sz w:val="22"/>
        </w:rPr>
        <w:t>因承包人原因导致施工节点进度比合同节点进度计划延误达15日及以上时，发包人有权终止合同，收取合同价10%的违约金，并保留对承包人追溯赔偿其他一切损失的权利。</w:t>
      </w:r>
    </w:p>
    <w:p>
      <w:pPr>
        <w:snapToGrid w:val="0"/>
        <w:spacing w:line="360" w:lineRule="exact"/>
        <w:rPr>
          <w:rFonts w:ascii="宋体" w:hAnsi="宋体" w:cs="宋体"/>
          <w:sz w:val="22"/>
        </w:rPr>
      </w:pPr>
      <w:r>
        <w:rPr>
          <w:rFonts w:hint="eastAsia" w:ascii="宋体" w:hAnsi="宋体" w:cs="宋体"/>
          <w:sz w:val="22"/>
        </w:rPr>
        <w:t>10.2 合同进度计划的修订</w:t>
      </w:r>
    </w:p>
    <w:p>
      <w:pPr>
        <w:snapToGrid w:val="0"/>
        <w:spacing w:line="360" w:lineRule="exact"/>
        <w:ind w:firstLine="440" w:firstLineChars="200"/>
        <w:rPr>
          <w:rFonts w:ascii="宋体" w:hAnsi="宋体" w:cs="宋体"/>
          <w:sz w:val="22"/>
        </w:rPr>
      </w:pPr>
      <w:r>
        <w:rPr>
          <w:rFonts w:hint="eastAsia" w:ascii="宋体" w:hAnsi="宋体" w:cs="宋体"/>
          <w:sz w:val="22"/>
        </w:rPr>
        <w:t>承包人提交修订合同进度计划的申请报告的时间：于发现工程的实际进度与第10.1款的合同进度计划不符后3天内提供。</w:t>
      </w:r>
    </w:p>
    <w:p>
      <w:pPr>
        <w:snapToGrid w:val="0"/>
        <w:spacing w:line="360" w:lineRule="exact"/>
        <w:ind w:firstLine="440" w:firstLineChars="200"/>
        <w:rPr>
          <w:rFonts w:ascii="宋体" w:hAnsi="宋体" w:cs="宋体"/>
          <w:sz w:val="22"/>
        </w:rPr>
      </w:pPr>
      <w:r>
        <w:rPr>
          <w:rFonts w:hint="eastAsia" w:ascii="宋体" w:hAnsi="宋体" w:cs="宋体"/>
          <w:sz w:val="22"/>
        </w:rPr>
        <w:t>发包人批复的时间：于承包人提交后7天内。</w:t>
      </w:r>
    </w:p>
    <w:p>
      <w:pPr>
        <w:snapToGrid w:val="0"/>
        <w:spacing w:line="360" w:lineRule="exact"/>
        <w:ind w:firstLine="440" w:firstLineChars="200"/>
        <w:rPr>
          <w:rFonts w:ascii="宋体" w:hAnsi="宋体" w:cs="宋体"/>
          <w:sz w:val="22"/>
        </w:rPr>
      </w:pPr>
      <w:r>
        <w:rPr>
          <w:rFonts w:hint="eastAsia" w:ascii="宋体" w:hAnsi="宋体" w:cs="宋体"/>
          <w:sz w:val="22"/>
        </w:rPr>
        <w:t>因承包人的原因导致实际进度与合同计划进度不符，承包人无权就改进措施提出追加合同价款或工期索赔。</w:t>
      </w:r>
    </w:p>
    <w:p>
      <w:pPr>
        <w:snapToGrid w:val="0"/>
        <w:spacing w:line="360" w:lineRule="exact"/>
        <w:rPr>
          <w:rFonts w:ascii="宋体" w:hAnsi="宋体" w:cs="宋体"/>
          <w:sz w:val="22"/>
        </w:rPr>
      </w:pPr>
      <w:r>
        <w:rPr>
          <w:rFonts w:hint="eastAsia" w:ascii="宋体" w:hAnsi="宋体" w:cs="宋体"/>
          <w:sz w:val="22"/>
        </w:rPr>
        <w:t>11．开工和竣工</w:t>
      </w:r>
    </w:p>
    <w:p>
      <w:pPr>
        <w:snapToGrid w:val="0"/>
        <w:spacing w:line="360" w:lineRule="exact"/>
        <w:rPr>
          <w:rFonts w:ascii="宋体" w:hAnsi="宋体" w:cs="宋体"/>
          <w:sz w:val="22"/>
        </w:rPr>
      </w:pPr>
      <w:r>
        <w:rPr>
          <w:rFonts w:hint="eastAsia" w:ascii="宋体" w:hAnsi="宋体" w:cs="宋体"/>
          <w:sz w:val="22"/>
        </w:rPr>
        <w:t>11.5 承包人的工期延误</w:t>
      </w:r>
    </w:p>
    <w:p>
      <w:pPr>
        <w:snapToGrid w:val="0"/>
        <w:spacing w:line="360" w:lineRule="exact"/>
        <w:ind w:firstLine="440" w:firstLineChars="200"/>
        <w:rPr>
          <w:rFonts w:ascii="宋体" w:hAnsi="宋体" w:cs="宋体"/>
          <w:sz w:val="22"/>
        </w:rPr>
      </w:pPr>
      <w:r>
        <w:rPr>
          <w:rFonts w:hint="eastAsia" w:ascii="宋体" w:hAnsi="宋体" w:cs="宋体"/>
          <w:sz w:val="22"/>
        </w:rPr>
        <w:t>逾期竣工违约金依发包人主张，可包括以下各项的单独或合并运用：</w:t>
      </w:r>
    </w:p>
    <w:p>
      <w:pPr>
        <w:snapToGrid w:val="0"/>
        <w:spacing w:line="360" w:lineRule="exact"/>
        <w:ind w:firstLine="440" w:firstLineChars="200"/>
        <w:rPr>
          <w:rFonts w:ascii="宋体" w:hAnsi="宋体" w:cs="宋体"/>
          <w:b/>
          <w:sz w:val="22"/>
        </w:rPr>
      </w:pPr>
      <w:r>
        <w:rPr>
          <w:rFonts w:hint="eastAsia" w:ascii="宋体" w:hAnsi="宋体" w:cs="宋体"/>
          <w:sz w:val="22"/>
        </w:rPr>
        <w:t>（1）按合同总工期每延误一天承包人应支付违约金人民币10000元；</w:t>
      </w:r>
    </w:p>
    <w:p>
      <w:pPr>
        <w:snapToGrid w:val="0"/>
        <w:spacing w:line="360" w:lineRule="exact"/>
        <w:ind w:firstLine="440" w:firstLineChars="200"/>
        <w:rPr>
          <w:rFonts w:ascii="宋体" w:hAnsi="宋体" w:cs="宋体"/>
          <w:sz w:val="22"/>
        </w:rPr>
      </w:pPr>
      <w:r>
        <w:rPr>
          <w:rFonts w:hint="eastAsia" w:ascii="宋体" w:hAnsi="宋体" w:cs="宋体"/>
          <w:sz w:val="22"/>
        </w:rPr>
        <w:t>（2）根据本合同的其他约定支付违约金，并视给发包人造成的实际损失给予赔偿；</w:t>
      </w:r>
    </w:p>
    <w:p>
      <w:pPr>
        <w:snapToGrid w:val="0"/>
        <w:spacing w:line="360" w:lineRule="exact"/>
        <w:rPr>
          <w:rFonts w:ascii="宋体" w:hAnsi="宋体" w:cs="宋体"/>
          <w:sz w:val="22"/>
        </w:rPr>
      </w:pPr>
      <w:r>
        <w:rPr>
          <w:rFonts w:hint="eastAsia" w:ascii="宋体" w:hAnsi="宋体" w:cs="宋体"/>
          <w:sz w:val="22"/>
        </w:rPr>
        <w:t>12．暂停施工</w:t>
      </w:r>
    </w:p>
    <w:p>
      <w:pPr>
        <w:snapToGrid w:val="0"/>
        <w:spacing w:line="360" w:lineRule="exact"/>
        <w:rPr>
          <w:rFonts w:ascii="宋体" w:hAnsi="宋体" w:cs="宋体"/>
          <w:sz w:val="22"/>
        </w:rPr>
      </w:pPr>
      <w:r>
        <w:rPr>
          <w:rFonts w:hint="eastAsia" w:ascii="宋体" w:hAnsi="宋体" w:cs="宋体"/>
          <w:sz w:val="22"/>
        </w:rPr>
        <w:t>12.1 承包人暂停施工的责任</w:t>
      </w:r>
    </w:p>
    <w:p>
      <w:pPr>
        <w:snapToGrid w:val="0"/>
        <w:spacing w:line="360" w:lineRule="exact"/>
        <w:ind w:firstLine="440" w:firstLineChars="200"/>
        <w:rPr>
          <w:rFonts w:ascii="宋体" w:hAnsi="宋体" w:cs="宋体"/>
          <w:sz w:val="22"/>
        </w:rPr>
      </w:pPr>
      <w:r>
        <w:rPr>
          <w:rFonts w:hint="eastAsia" w:ascii="宋体" w:hAnsi="宋体" w:cs="宋体"/>
          <w:sz w:val="22"/>
        </w:rPr>
        <w:t>（6）因联系单变更或现场签证单未确认引起的暂停施工。</w:t>
      </w:r>
    </w:p>
    <w:p>
      <w:pPr>
        <w:snapToGrid w:val="0"/>
        <w:spacing w:line="360" w:lineRule="exact"/>
        <w:rPr>
          <w:rFonts w:ascii="宋体" w:hAnsi="宋体" w:cs="宋体"/>
          <w:sz w:val="22"/>
        </w:rPr>
      </w:pPr>
      <w:r>
        <w:rPr>
          <w:rFonts w:hint="eastAsia" w:ascii="宋体" w:hAnsi="宋体" w:cs="宋体"/>
          <w:sz w:val="22"/>
        </w:rPr>
        <w:t>13．工程质量</w:t>
      </w:r>
    </w:p>
    <w:p>
      <w:pPr>
        <w:snapToGrid w:val="0"/>
        <w:spacing w:line="360" w:lineRule="exact"/>
        <w:rPr>
          <w:rFonts w:ascii="宋体" w:hAnsi="宋体" w:cs="宋体"/>
          <w:sz w:val="22"/>
        </w:rPr>
      </w:pPr>
      <w:r>
        <w:rPr>
          <w:rFonts w:hint="eastAsia" w:ascii="宋体" w:hAnsi="宋体" w:cs="宋体"/>
          <w:sz w:val="22"/>
        </w:rPr>
        <w:t>13.7 承包人施工质量不达标的责任</w:t>
      </w:r>
    </w:p>
    <w:p>
      <w:pPr>
        <w:snapToGrid w:val="0"/>
        <w:spacing w:line="360" w:lineRule="exact"/>
        <w:ind w:firstLine="440" w:firstLineChars="200"/>
        <w:rPr>
          <w:rFonts w:ascii="宋体" w:hAnsi="宋体" w:cs="宋体"/>
          <w:sz w:val="22"/>
        </w:rPr>
      </w:pPr>
      <w:r>
        <w:rPr>
          <w:rFonts w:hint="eastAsia" w:ascii="宋体" w:hAnsi="宋体" w:cs="宋体"/>
          <w:sz w:val="22"/>
        </w:rPr>
        <w:t xml:space="preserve"> 承包人必须按《中华人民共和国建筑法》、《建设工程质量管理条例》、《房屋建筑工程质量保修办法》及合同约定的质量标准完成本工程施工。如第一次验收不合格，承包人就不符合质量标准的部分进行重建直至符合标准，费用由承包人承担。同时，承包人应向发包人支付数额不低于合同价5%的损失赔偿，该约定的损失赔偿金额不能弥补实际损失的，承包人应补充赔偿不足部分。第二次验收不合格的，发包人有权另行委托他人重建或修复，重建或修复费用由承包人承担，同时，承包人应再次向发包人支付数额不低于合同价10%的损失赔偿，该约定的损失赔偿金额不能弥补实际损失的，承包人应补充赔偿不足部分。凡存在验收不合格情形的，发包人有收取合同价10%的违约金。</w:t>
      </w:r>
    </w:p>
    <w:p>
      <w:pPr>
        <w:snapToGrid w:val="0"/>
        <w:spacing w:line="360" w:lineRule="exact"/>
        <w:rPr>
          <w:rFonts w:ascii="宋体" w:hAnsi="宋体" w:cs="宋体"/>
          <w:sz w:val="22"/>
        </w:rPr>
      </w:pPr>
      <w:r>
        <w:rPr>
          <w:rFonts w:hint="eastAsia" w:ascii="宋体" w:hAnsi="宋体" w:cs="宋体"/>
          <w:sz w:val="22"/>
        </w:rPr>
        <w:t>14．试验和检验</w:t>
      </w:r>
    </w:p>
    <w:p>
      <w:pPr>
        <w:snapToGrid w:val="0"/>
        <w:spacing w:line="360" w:lineRule="exact"/>
        <w:rPr>
          <w:rFonts w:ascii="宋体" w:hAnsi="宋体" w:cs="宋体"/>
          <w:sz w:val="22"/>
        </w:rPr>
      </w:pPr>
      <w:r>
        <w:rPr>
          <w:rFonts w:hint="eastAsia" w:ascii="宋体" w:hAnsi="宋体" w:cs="宋体"/>
          <w:sz w:val="22"/>
        </w:rPr>
        <w:t>14.4 检验费用的约定</w:t>
      </w:r>
    </w:p>
    <w:p>
      <w:pPr>
        <w:snapToGrid w:val="0"/>
        <w:spacing w:line="360" w:lineRule="exact"/>
        <w:ind w:firstLine="440" w:firstLineChars="200"/>
        <w:rPr>
          <w:rFonts w:ascii="宋体" w:hAnsi="宋体" w:cs="宋体"/>
          <w:sz w:val="22"/>
        </w:rPr>
      </w:pPr>
      <w:r>
        <w:rPr>
          <w:rFonts w:hint="eastAsia" w:ascii="宋体" w:hAnsi="宋体" w:cs="宋体"/>
          <w:sz w:val="22"/>
        </w:rPr>
        <w:t>14.4.1.承包人承担检验费用的材料、设备： 按现行的法律、法规、规章和有关标准、规范的规定，进场后必须履检的材料、设备，其检验费用均认为已包含在投标报价中由承包人承担；承包人应了解到部分测试可能不在市内，承包人须承担工程师等前往见证测试的交通及住宿等所有费用；该部分费用含在投标报价中，不另行支付。若发包人对承包人提供的材料、设备的质量提出异议，要求重新检验，送国家有关权威检测部门检验，若检验不合格，则检验费用由承包人承担。</w:t>
      </w:r>
    </w:p>
    <w:p>
      <w:pPr>
        <w:snapToGrid w:val="0"/>
        <w:spacing w:line="360" w:lineRule="exact"/>
        <w:ind w:firstLine="440" w:firstLineChars="200"/>
        <w:rPr>
          <w:rFonts w:ascii="宋体" w:hAnsi="宋体" w:cs="宋体"/>
          <w:sz w:val="22"/>
        </w:rPr>
      </w:pPr>
      <w:r>
        <w:rPr>
          <w:rFonts w:hint="eastAsia" w:ascii="宋体" w:hAnsi="宋体" w:cs="宋体"/>
          <w:sz w:val="22"/>
        </w:rPr>
        <w:t>14.4.2发包人承担检验费用的材料、设备： 若发包人对承包人提供的材料、设备的质量提出异议，要求重新检验，送国家有关权威检测部门检验，若检验合格，则检验费用由发包人承担。若检验不合格，则检验费用由承包人承担。</w:t>
      </w:r>
    </w:p>
    <w:p>
      <w:pPr>
        <w:snapToGrid w:val="0"/>
        <w:spacing w:line="360" w:lineRule="exact"/>
        <w:rPr>
          <w:rFonts w:ascii="宋体" w:hAnsi="宋体" w:cs="宋体"/>
          <w:sz w:val="22"/>
        </w:rPr>
      </w:pPr>
      <w:r>
        <w:rPr>
          <w:rFonts w:hint="eastAsia" w:ascii="宋体" w:hAnsi="宋体" w:cs="宋体"/>
          <w:sz w:val="22"/>
        </w:rPr>
        <w:t>15．变更（本项目不存在变更）</w:t>
      </w:r>
    </w:p>
    <w:p>
      <w:pPr>
        <w:snapToGrid w:val="0"/>
        <w:spacing w:line="360" w:lineRule="exact"/>
        <w:rPr>
          <w:rFonts w:ascii="宋体" w:hAnsi="宋体" w:cs="宋体"/>
          <w:sz w:val="22"/>
        </w:rPr>
      </w:pPr>
      <w:r>
        <w:rPr>
          <w:rFonts w:hint="eastAsia" w:ascii="宋体" w:hAnsi="宋体" w:cs="宋体"/>
          <w:sz w:val="22"/>
        </w:rPr>
        <w:t>16．价格调整</w:t>
      </w:r>
    </w:p>
    <w:p>
      <w:pPr>
        <w:snapToGrid w:val="0"/>
        <w:spacing w:line="360" w:lineRule="exact"/>
        <w:rPr>
          <w:rFonts w:ascii="宋体" w:hAnsi="宋体" w:cs="宋体"/>
          <w:sz w:val="22"/>
        </w:rPr>
      </w:pPr>
      <w:r>
        <w:rPr>
          <w:rFonts w:hint="eastAsia" w:ascii="宋体" w:hAnsi="宋体" w:cs="宋体"/>
          <w:sz w:val="22"/>
        </w:rPr>
        <w:t xml:space="preserve">16.1本合同价款采用固定总价合同方式确定，在项目实施过程中，发包人不对承包人提出的任何工程量及价格变更要求进行总价调整，投标报价即为结算价。 合同价款中包括的风险范围：a、发包范围内包含的所有内容；b、合同执行期内，投标材料、人工价格的市场变化；c、合同执行期内，施工临时停电、停水或因机场运营需要造成的连续8小时内的停工；d、合同执行期内，因客观原因造成承包人停工、窝工；e、合同执行期内可能发生的其他费用，包括市政、市容、环保、治安等。 风险费用的计算方法：承包人在投标报价时综合考虑，不再另行计取。 </w:t>
      </w:r>
    </w:p>
    <w:p>
      <w:pPr>
        <w:snapToGrid w:val="0"/>
        <w:spacing w:line="360" w:lineRule="exact"/>
        <w:rPr>
          <w:rFonts w:ascii="宋体" w:hAnsi="宋体" w:cs="宋体"/>
          <w:sz w:val="22"/>
        </w:rPr>
      </w:pPr>
      <w:r>
        <w:rPr>
          <w:rFonts w:hint="eastAsia" w:ascii="宋体" w:hAnsi="宋体" w:cs="宋体"/>
          <w:sz w:val="22"/>
        </w:rPr>
        <w:t>17．计量与支付</w:t>
      </w:r>
    </w:p>
    <w:p>
      <w:pPr>
        <w:snapToGrid w:val="0"/>
        <w:spacing w:line="360" w:lineRule="exact"/>
        <w:rPr>
          <w:rFonts w:ascii="宋体" w:hAnsi="宋体" w:cs="宋体"/>
          <w:sz w:val="22"/>
        </w:rPr>
      </w:pPr>
      <w:r>
        <w:rPr>
          <w:rFonts w:hint="eastAsia" w:ascii="宋体" w:hAnsi="宋体" w:cs="宋体"/>
          <w:sz w:val="22"/>
        </w:rPr>
        <w:t>17.2 预付款</w:t>
      </w:r>
    </w:p>
    <w:p>
      <w:pPr>
        <w:snapToGrid w:val="0"/>
        <w:spacing w:line="360" w:lineRule="exact"/>
        <w:ind w:firstLine="440" w:firstLineChars="200"/>
        <w:rPr>
          <w:rFonts w:ascii="宋体" w:hAnsi="宋体" w:cs="宋体"/>
          <w:sz w:val="22"/>
        </w:rPr>
      </w:pPr>
      <w:r>
        <w:rPr>
          <w:rFonts w:hint="eastAsia" w:ascii="宋体" w:hAnsi="宋体" w:cs="宋体"/>
          <w:sz w:val="22"/>
        </w:rPr>
        <w:t>17.2.1 预付款</w:t>
      </w:r>
    </w:p>
    <w:p>
      <w:pPr>
        <w:snapToGrid w:val="0"/>
        <w:spacing w:line="360" w:lineRule="exact"/>
        <w:ind w:firstLine="440" w:firstLineChars="200"/>
        <w:rPr>
          <w:rFonts w:ascii="宋体" w:hAnsi="宋体" w:cs="宋体"/>
          <w:sz w:val="22"/>
        </w:rPr>
      </w:pPr>
      <w:r>
        <w:rPr>
          <w:rFonts w:hint="eastAsia" w:ascii="宋体" w:hAnsi="宋体" w:cs="宋体"/>
          <w:sz w:val="22"/>
        </w:rPr>
        <w:t>发包人向承包人预付工程款的额度和预付办法：无。</w:t>
      </w:r>
    </w:p>
    <w:p>
      <w:pPr>
        <w:snapToGrid w:val="0"/>
        <w:spacing w:line="360" w:lineRule="exact"/>
        <w:ind w:firstLine="440" w:firstLineChars="200"/>
        <w:rPr>
          <w:rFonts w:ascii="宋体" w:hAnsi="宋体" w:cs="宋体"/>
          <w:sz w:val="22"/>
        </w:rPr>
      </w:pPr>
      <w:r>
        <w:rPr>
          <w:rFonts w:hint="eastAsia" w:ascii="宋体" w:hAnsi="宋体" w:cs="宋体"/>
          <w:sz w:val="22"/>
        </w:rPr>
        <w:t>17.2.3预付款扣回：/。</w:t>
      </w:r>
    </w:p>
    <w:p>
      <w:pPr>
        <w:snapToGrid w:val="0"/>
        <w:spacing w:line="360" w:lineRule="exact"/>
        <w:rPr>
          <w:rFonts w:ascii="宋体" w:hAnsi="宋体" w:cs="宋体"/>
          <w:sz w:val="22"/>
        </w:rPr>
      </w:pPr>
      <w:r>
        <w:rPr>
          <w:rFonts w:hint="eastAsia" w:ascii="宋体" w:hAnsi="宋体" w:cs="宋体"/>
          <w:sz w:val="22"/>
        </w:rPr>
        <w:t>17.3 工程进度付款</w:t>
      </w:r>
    </w:p>
    <w:p>
      <w:pPr>
        <w:snapToGrid w:val="0"/>
        <w:spacing w:line="360" w:lineRule="exact"/>
        <w:ind w:firstLine="440" w:firstLineChars="200"/>
        <w:rPr>
          <w:rFonts w:ascii="宋体" w:hAnsi="宋体" w:cs="宋体"/>
          <w:sz w:val="22"/>
        </w:rPr>
      </w:pPr>
      <w:r>
        <w:rPr>
          <w:rFonts w:hint="eastAsia" w:ascii="宋体" w:hAnsi="宋体" w:cs="宋体"/>
          <w:sz w:val="22"/>
        </w:rPr>
        <w:t>17.3.1 进度付款申请单</w:t>
      </w:r>
    </w:p>
    <w:p>
      <w:pPr>
        <w:snapToGrid w:val="0"/>
        <w:spacing w:line="360" w:lineRule="exact"/>
        <w:ind w:firstLine="440" w:firstLineChars="200"/>
        <w:rPr>
          <w:rFonts w:ascii="宋体" w:hAnsi="宋体" w:cs="宋体"/>
          <w:sz w:val="22"/>
        </w:rPr>
      </w:pPr>
      <w:r>
        <w:rPr>
          <w:rFonts w:hint="eastAsia" w:ascii="宋体" w:hAnsi="宋体" w:cs="宋体"/>
          <w:sz w:val="22"/>
        </w:rPr>
        <w:t>双方约定的进度付款申请单份数：6 份，时间：每月5日前上报上月付款申请。</w:t>
      </w:r>
    </w:p>
    <w:p>
      <w:pPr>
        <w:snapToGrid w:val="0"/>
        <w:spacing w:line="360" w:lineRule="exact"/>
        <w:ind w:firstLine="440" w:firstLineChars="200"/>
        <w:rPr>
          <w:rFonts w:ascii="宋体" w:hAnsi="宋体" w:cs="宋体"/>
          <w:sz w:val="22"/>
        </w:rPr>
      </w:pPr>
      <w:r>
        <w:rPr>
          <w:rFonts w:hint="eastAsia" w:ascii="宋体" w:hAnsi="宋体" w:cs="宋体"/>
          <w:sz w:val="22"/>
        </w:rPr>
        <w:t>17.3.2工程进度款：</w:t>
      </w:r>
    </w:p>
    <w:p>
      <w:pPr>
        <w:snapToGrid w:val="0"/>
        <w:spacing w:line="360" w:lineRule="exact"/>
        <w:ind w:firstLine="440" w:firstLineChars="200"/>
        <w:rPr>
          <w:rFonts w:ascii="宋体" w:hAnsi="宋体" w:cs="宋体"/>
          <w:sz w:val="22"/>
        </w:rPr>
      </w:pPr>
      <w:r>
        <w:rPr>
          <w:rFonts w:hint="eastAsia" w:ascii="宋体" w:hAnsi="宋体" w:cs="宋体"/>
          <w:sz w:val="22"/>
        </w:rPr>
        <w:t>工程竣工验收通过并完成工程结算，经发包人认可后</w:t>
      </w:r>
      <w:r>
        <w:rPr>
          <w:rFonts w:ascii="宋体" w:hAnsi="宋体" w:cs="宋体"/>
          <w:sz w:val="22"/>
        </w:rPr>
        <w:t>30</w:t>
      </w:r>
      <w:r>
        <w:rPr>
          <w:rFonts w:hint="eastAsia" w:ascii="宋体" w:hAnsi="宋体" w:cs="宋体"/>
          <w:sz w:val="22"/>
        </w:rPr>
        <w:t>天内，发包人向承包人支付结算价的95</w:t>
      </w:r>
      <w:r>
        <w:rPr>
          <w:rFonts w:ascii="宋体" w:hAnsi="宋体" w:cs="宋体"/>
          <w:sz w:val="22"/>
        </w:rPr>
        <w:t>%</w:t>
      </w:r>
      <w:r>
        <w:rPr>
          <w:rFonts w:hint="eastAsia" w:ascii="宋体" w:hAnsi="宋体" w:cs="宋体"/>
          <w:sz w:val="22"/>
        </w:rPr>
        <w:t>，并无息退还承包人履约保证金。结算价的5</w:t>
      </w:r>
      <w:r>
        <w:rPr>
          <w:rFonts w:ascii="宋体" w:hAnsi="宋体" w:cs="宋体"/>
          <w:sz w:val="22"/>
        </w:rPr>
        <w:t>%</w:t>
      </w:r>
      <w:r>
        <w:rPr>
          <w:rFonts w:hint="eastAsia" w:ascii="宋体" w:hAnsi="宋体" w:cs="宋体"/>
          <w:sz w:val="22"/>
        </w:rPr>
        <w:t>留作质量保证金，待缺陷责任期满后无利息支付。</w:t>
      </w:r>
    </w:p>
    <w:p>
      <w:pPr>
        <w:snapToGrid w:val="0"/>
        <w:spacing w:line="360" w:lineRule="exact"/>
        <w:rPr>
          <w:rFonts w:ascii="宋体" w:hAnsi="宋体" w:cs="宋体"/>
          <w:sz w:val="22"/>
        </w:rPr>
      </w:pPr>
      <w:r>
        <w:rPr>
          <w:rFonts w:hint="eastAsia" w:ascii="宋体" w:hAnsi="宋体" w:cs="宋体"/>
          <w:sz w:val="22"/>
        </w:rPr>
        <w:t>17.4 质量保证金</w:t>
      </w:r>
    </w:p>
    <w:p>
      <w:pPr>
        <w:snapToGrid w:val="0"/>
        <w:spacing w:line="360" w:lineRule="exact"/>
        <w:ind w:firstLine="440" w:firstLineChars="200"/>
        <w:rPr>
          <w:rFonts w:ascii="宋体" w:hAnsi="宋体" w:cs="宋体"/>
          <w:sz w:val="22"/>
        </w:rPr>
      </w:pPr>
      <w:r>
        <w:rPr>
          <w:rFonts w:hint="eastAsia" w:ascii="宋体" w:hAnsi="宋体" w:cs="宋体"/>
          <w:sz w:val="22"/>
        </w:rPr>
        <w:t>修改以下内容：</w:t>
      </w:r>
    </w:p>
    <w:p>
      <w:pPr>
        <w:snapToGrid w:val="0"/>
        <w:spacing w:line="360" w:lineRule="exact"/>
        <w:ind w:firstLine="440" w:firstLineChars="200"/>
        <w:rPr>
          <w:rFonts w:ascii="宋体" w:hAnsi="宋体" w:cs="宋体"/>
          <w:sz w:val="22"/>
        </w:rPr>
      </w:pPr>
      <w:r>
        <w:rPr>
          <w:rFonts w:hint="eastAsia" w:ascii="宋体" w:hAnsi="宋体" w:cs="宋体"/>
          <w:sz w:val="22"/>
        </w:rPr>
        <w:t>17.4.1 双方约定按第17.3.2款的规定扣留质量保证金。</w:t>
      </w:r>
    </w:p>
    <w:p>
      <w:pPr>
        <w:snapToGrid w:val="0"/>
        <w:spacing w:line="360" w:lineRule="exact"/>
        <w:rPr>
          <w:rFonts w:ascii="宋体" w:hAnsi="宋体" w:cs="宋体"/>
          <w:sz w:val="22"/>
        </w:rPr>
      </w:pPr>
      <w:r>
        <w:rPr>
          <w:rFonts w:hint="eastAsia" w:ascii="宋体" w:hAnsi="宋体" w:cs="宋体"/>
          <w:sz w:val="22"/>
        </w:rPr>
        <w:t>17.5 竣工结算</w:t>
      </w:r>
    </w:p>
    <w:p>
      <w:pPr>
        <w:snapToGrid w:val="0"/>
        <w:spacing w:line="360" w:lineRule="exact"/>
        <w:ind w:firstLine="440" w:firstLineChars="200"/>
        <w:rPr>
          <w:rFonts w:ascii="宋体" w:hAnsi="宋体" w:cs="宋体"/>
          <w:sz w:val="22"/>
        </w:rPr>
      </w:pPr>
      <w:r>
        <w:rPr>
          <w:rFonts w:hint="eastAsia" w:ascii="宋体" w:hAnsi="宋体" w:cs="宋体"/>
          <w:sz w:val="22"/>
        </w:rPr>
        <w:t>17.5.1 竣工付款申请单</w:t>
      </w:r>
    </w:p>
    <w:p>
      <w:pPr>
        <w:snapToGrid w:val="0"/>
        <w:spacing w:line="360" w:lineRule="exact"/>
        <w:ind w:firstLine="440" w:firstLineChars="200"/>
        <w:rPr>
          <w:rFonts w:ascii="宋体" w:hAnsi="宋体" w:cs="宋体"/>
          <w:sz w:val="22"/>
        </w:rPr>
      </w:pPr>
      <w:r>
        <w:rPr>
          <w:rFonts w:hint="eastAsia" w:ascii="宋体" w:hAnsi="宋体" w:cs="宋体"/>
          <w:sz w:val="22"/>
        </w:rPr>
        <w:t>（1）双方约定承包人提交的竣工付款申请单份数：6份，时间：工程竣工验收报告经发包人认可后28天内。</w:t>
      </w:r>
    </w:p>
    <w:p>
      <w:pPr>
        <w:snapToGrid w:val="0"/>
        <w:spacing w:line="360" w:lineRule="exact"/>
        <w:rPr>
          <w:rFonts w:ascii="宋体" w:hAnsi="宋体" w:cs="宋体"/>
          <w:sz w:val="22"/>
        </w:rPr>
      </w:pPr>
      <w:r>
        <w:rPr>
          <w:rFonts w:hint="eastAsia" w:ascii="宋体" w:hAnsi="宋体" w:cs="宋体"/>
          <w:sz w:val="22"/>
        </w:rPr>
        <w:t>17.6 最终结清</w:t>
      </w:r>
    </w:p>
    <w:p>
      <w:pPr>
        <w:snapToGrid w:val="0"/>
        <w:spacing w:line="360" w:lineRule="exact"/>
        <w:ind w:firstLine="440" w:firstLineChars="200"/>
        <w:rPr>
          <w:rFonts w:ascii="宋体" w:hAnsi="宋体" w:cs="宋体"/>
          <w:sz w:val="22"/>
        </w:rPr>
      </w:pPr>
      <w:r>
        <w:rPr>
          <w:rFonts w:hint="eastAsia" w:ascii="宋体" w:hAnsi="宋体" w:cs="宋体"/>
          <w:sz w:val="22"/>
        </w:rPr>
        <w:t>17.6.1 最终结清申请单</w:t>
      </w:r>
    </w:p>
    <w:p>
      <w:pPr>
        <w:snapToGrid w:val="0"/>
        <w:spacing w:line="360" w:lineRule="exact"/>
        <w:ind w:firstLine="440" w:firstLineChars="200"/>
        <w:rPr>
          <w:rFonts w:ascii="宋体" w:hAnsi="宋体" w:cs="宋体"/>
          <w:sz w:val="22"/>
        </w:rPr>
      </w:pPr>
      <w:r>
        <w:rPr>
          <w:rFonts w:hint="eastAsia" w:ascii="宋体" w:hAnsi="宋体" w:cs="宋体"/>
          <w:sz w:val="22"/>
        </w:rPr>
        <w:t>双方约定承包人提交的最终结清申请单份数： 6份，时间：缺陷责任期终止证书签发后28天内。</w:t>
      </w:r>
    </w:p>
    <w:p>
      <w:pPr>
        <w:snapToGrid w:val="0"/>
        <w:spacing w:line="360" w:lineRule="exact"/>
        <w:rPr>
          <w:rFonts w:ascii="宋体" w:hAnsi="宋体" w:cs="宋体"/>
          <w:sz w:val="22"/>
        </w:rPr>
      </w:pPr>
      <w:r>
        <w:rPr>
          <w:rFonts w:hint="eastAsia" w:ascii="宋体" w:hAnsi="宋体" w:cs="宋体"/>
          <w:sz w:val="22"/>
        </w:rPr>
        <w:t>18．竣工验收</w:t>
      </w:r>
    </w:p>
    <w:p>
      <w:pPr>
        <w:snapToGrid w:val="0"/>
        <w:spacing w:line="360" w:lineRule="exact"/>
        <w:rPr>
          <w:rFonts w:ascii="宋体" w:hAnsi="宋体" w:cs="宋体"/>
          <w:sz w:val="22"/>
        </w:rPr>
      </w:pPr>
      <w:r>
        <w:rPr>
          <w:rFonts w:hint="eastAsia" w:ascii="宋体" w:hAnsi="宋体" w:cs="宋体"/>
          <w:sz w:val="22"/>
        </w:rPr>
        <w:t>18.9竣工归档资料</w:t>
      </w:r>
    </w:p>
    <w:p>
      <w:pPr>
        <w:snapToGrid w:val="0"/>
        <w:spacing w:line="360" w:lineRule="exact"/>
        <w:ind w:firstLine="440" w:firstLineChars="200"/>
        <w:rPr>
          <w:rFonts w:ascii="宋体" w:hAnsi="宋体" w:cs="宋体"/>
          <w:sz w:val="22"/>
        </w:rPr>
      </w:pPr>
      <w:r>
        <w:rPr>
          <w:rFonts w:hint="eastAsia" w:ascii="宋体" w:hAnsi="宋体" w:cs="宋体"/>
          <w:sz w:val="22"/>
        </w:rPr>
        <w:t>承包人应在合同规定的工程竣工日的28天前，免费向发包人提交4套竣工图纸和竣工资料（包括相片）。如因资料不符合要求而产生的资料整理费用，由承包人承担。具体要求见附件四。</w:t>
      </w:r>
    </w:p>
    <w:p>
      <w:pPr>
        <w:snapToGrid w:val="0"/>
        <w:spacing w:line="360" w:lineRule="exact"/>
        <w:rPr>
          <w:rFonts w:ascii="宋体" w:hAnsi="宋体" w:cs="宋体"/>
          <w:sz w:val="22"/>
        </w:rPr>
      </w:pPr>
      <w:r>
        <w:rPr>
          <w:rFonts w:hint="eastAsia" w:ascii="宋体" w:hAnsi="宋体" w:cs="宋体"/>
          <w:sz w:val="22"/>
        </w:rPr>
        <w:t>19．缺陷责任与保修责任</w:t>
      </w:r>
    </w:p>
    <w:p>
      <w:pPr>
        <w:snapToGrid w:val="0"/>
        <w:spacing w:line="360" w:lineRule="exact"/>
        <w:rPr>
          <w:rFonts w:ascii="宋体" w:hAnsi="宋体" w:cs="宋体"/>
          <w:sz w:val="22"/>
        </w:rPr>
      </w:pPr>
      <w:r>
        <w:rPr>
          <w:rFonts w:hint="eastAsia" w:ascii="宋体" w:hAnsi="宋体" w:cs="宋体"/>
          <w:sz w:val="22"/>
        </w:rPr>
        <w:t>19.7 保修责任</w:t>
      </w:r>
    </w:p>
    <w:p>
      <w:pPr>
        <w:snapToGrid w:val="0"/>
        <w:spacing w:line="360" w:lineRule="exact"/>
        <w:ind w:firstLine="440" w:firstLineChars="200"/>
        <w:rPr>
          <w:rFonts w:ascii="宋体" w:hAnsi="宋体" w:cs="宋体"/>
          <w:sz w:val="22"/>
        </w:rPr>
      </w:pPr>
      <w:r>
        <w:rPr>
          <w:rFonts w:hint="eastAsia" w:ascii="宋体" w:hAnsi="宋体" w:cs="宋体"/>
          <w:sz w:val="22"/>
        </w:rPr>
        <w:t>双方约定工程质量保修范围、期限和责任：见“附件一：工程质量保修书”。</w:t>
      </w:r>
    </w:p>
    <w:p>
      <w:pPr>
        <w:snapToGrid w:val="0"/>
        <w:spacing w:line="360" w:lineRule="exact"/>
        <w:rPr>
          <w:rFonts w:ascii="宋体" w:hAnsi="宋体" w:cs="宋体"/>
          <w:sz w:val="22"/>
        </w:rPr>
      </w:pPr>
      <w:r>
        <w:rPr>
          <w:rFonts w:hint="eastAsia" w:ascii="宋体" w:hAnsi="宋体" w:cs="宋体"/>
          <w:sz w:val="22"/>
        </w:rPr>
        <w:t>20．保险</w:t>
      </w:r>
    </w:p>
    <w:p>
      <w:pPr>
        <w:snapToGrid w:val="0"/>
        <w:spacing w:line="360" w:lineRule="exact"/>
        <w:rPr>
          <w:rFonts w:ascii="宋体" w:hAnsi="宋体" w:cs="宋体"/>
          <w:sz w:val="22"/>
        </w:rPr>
      </w:pPr>
      <w:r>
        <w:rPr>
          <w:rFonts w:hint="eastAsia" w:ascii="宋体" w:hAnsi="宋体" w:cs="宋体"/>
          <w:sz w:val="22"/>
        </w:rPr>
        <w:t>20.1 工程保险</w:t>
      </w:r>
    </w:p>
    <w:p>
      <w:pPr>
        <w:snapToGrid w:val="0"/>
        <w:spacing w:line="360" w:lineRule="exact"/>
        <w:ind w:firstLine="440" w:firstLineChars="200"/>
        <w:rPr>
          <w:rFonts w:ascii="宋体" w:hAnsi="宋体" w:cs="宋体"/>
          <w:sz w:val="22"/>
        </w:rPr>
      </w:pPr>
      <w:r>
        <w:rPr>
          <w:rFonts w:hint="eastAsia" w:ascii="宋体" w:hAnsi="宋体" w:cs="宋体"/>
          <w:sz w:val="22"/>
        </w:rPr>
        <w:t>承包人必须为从事危险作业的职工办理意外伤害保险，并为施工场地内承包人的自有人员生命财产及施工机械设备办理保险，支付保险费用。承包人按施工安全规范和采取预防事故的措施，确保施工安全和第三者安全，承包人负责所有参与施工人员的人身意外保险；凡施工中发生的一切安全事故，均由承包人负责所发生事故的依法应该支付的损失赔偿费、抚恤费和其他法律规定应当支付的费用和法律规定应当承担的责任，发包人不承担此责任，如因此给发包人造成损失的，承包人应赔偿发包人因此所遭受的全部损失。</w:t>
      </w:r>
    </w:p>
    <w:p>
      <w:pPr>
        <w:snapToGrid w:val="0"/>
        <w:spacing w:line="360" w:lineRule="exact"/>
        <w:ind w:firstLine="440" w:firstLineChars="200"/>
        <w:rPr>
          <w:rFonts w:ascii="宋体" w:hAnsi="宋体" w:cs="宋体"/>
          <w:sz w:val="22"/>
        </w:rPr>
      </w:pPr>
      <w:r>
        <w:rPr>
          <w:rFonts w:hint="eastAsia" w:ascii="宋体" w:hAnsi="宋体" w:cs="宋体"/>
          <w:sz w:val="22"/>
        </w:rPr>
        <w:t>双方约定的投保内容、保险金额、保险费率、保险期限等有关内容：建筑工程一切险和安装工程一切险由发包人办理，其他按国家、省、市有关规定由承包人办理的按有关规定执行，其中，涉及发包人保险利益的，应将发包人列为被保险人。如发生保险事故的保险赔偿金少于实际损失的情况，差额部分由承包人承担。</w:t>
      </w:r>
    </w:p>
    <w:p>
      <w:pPr>
        <w:snapToGrid w:val="0"/>
        <w:spacing w:line="360" w:lineRule="exact"/>
        <w:ind w:firstLine="440" w:firstLineChars="200"/>
        <w:rPr>
          <w:rFonts w:ascii="宋体" w:hAnsi="宋体" w:cs="宋体"/>
          <w:sz w:val="22"/>
        </w:rPr>
      </w:pPr>
      <w:r>
        <w:rPr>
          <w:rFonts w:hint="eastAsia" w:ascii="宋体" w:hAnsi="宋体" w:cs="宋体"/>
          <w:sz w:val="22"/>
        </w:rPr>
        <w:t>承包人须在签订本合同之日起30日内（如在此期间发生保险事故，由承包人承担风险），按照本合同的约定办理办结保险事宜，否则视为承包人违约，承包人除须按本合同总价2%支付违约金外，还应承担未投保或未及时投保而引起的一切赔偿责任。</w:t>
      </w:r>
    </w:p>
    <w:p>
      <w:pPr>
        <w:snapToGrid w:val="0"/>
        <w:spacing w:line="360" w:lineRule="exact"/>
        <w:rPr>
          <w:rFonts w:ascii="宋体" w:hAnsi="宋体" w:cs="宋体"/>
          <w:sz w:val="22"/>
        </w:rPr>
      </w:pPr>
      <w:r>
        <w:rPr>
          <w:rFonts w:hint="eastAsia" w:ascii="宋体" w:hAnsi="宋体" w:cs="宋体"/>
          <w:sz w:val="22"/>
        </w:rPr>
        <w:t>21．不可抗力</w:t>
      </w:r>
    </w:p>
    <w:p>
      <w:pPr>
        <w:snapToGrid w:val="0"/>
        <w:spacing w:line="360" w:lineRule="exact"/>
        <w:rPr>
          <w:rFonts w:ascii="宋体" w:hAnsi="宋体" w:cs="宋体"/>
          <w:sz w:val="22"/>
        </w:rPr>
      </w:pPr>
      <w:r>
        <w:rPr>
          <w:rFonts w:hint="eastAsia" w:ascii="宋体" w:hAnsi="宋体" w:cs="宋体"/>
          <w:sz w:val="22"/>
        </w:rPr>
        <w:t>21.1 不可抗力的确认</w:t>
      </w:r>
    </w:p>
    <w:p>
      <w:pPr>
        <w:snapToGrid w:val="0"/>
        <w:spacing w:line="360" w:lineRule="exact"/>
        <w:ind w:firstLine="440" w:firstLineChars="200"/>
        <w:rPr>
          <w:rFonts w:ascii="宋体" w:hAnsi="宋体" w:cs="宋体"/>
          <w:sz w:val="22"/>
        </w:rPr>
      </w:pPr>
      <w:r>
        <w:rPr>
          <w:rFonts w:hint="eastAsia" w:ascii="宋体" w:hAnsi="宋体" w:cs="宋体"/>
          <w:sz w:val="22"/>
        </w:rPr>
        <w:t>21.1.1双方关于不可抗力的约定：经相关行政主管部门认定，直接造成本工程损失的六级以上地震、山洪暴发、战争。</w:t>
      </w:r>
    </w:p>
    <w:p>
      <w:pPr>
        <w:snapToGrid w:val="0"/>
        <w:spacing w:line="360" w:lineRule="exact"/>
        <w:rPr>
          <w:rFonts w:ascii="宋体" w:hAnsi="宋体" w:cs="宋体"/>
          <w:sz w:val="22"/>
        </w:rPr>
      </w:pPr>
      <w:r>
        <w:rPr>
          <w:rFonts w:hint="eastAsia" w:ascii="宋体" w:hAnsi="宋体" w:cs="宋体"/>
          <w:sz w:val="22"/>
        </w:rPr>
        <w:t>22．违约</w:t>
      </w:r>
    </w:p>
    <w:p>
      <w:pPr>
        <w:snapToGrid w:val="0"/>
        <w:spacing w:line="360" w:lineRule="exact"/>
        <w:rPr>
          <w:rFonts w:ascii="宋体" w:hAnsi="宋体" w:cs="宋体"/>
          <w:sz w:val="22"/>
        </w:rPr>
      </w:pPr>
      <w:r>
        <w:rPr>
          <w:rFonts w:hint="eastAsia" w:ascii="宋体" w:hAnsi="宋体" w:cs="宋体"/>
          <w:sz w:val="22"/>
        </w:rPr>
        <w:t>22.1 承包人违约</w:t>
      </w:r>
    </w:p>
    <w:p>
      <w:pPr>
        <w:snapToGrid w:val="0"/>
        <w:spacing w:line="360" w:lineRule="exact"/>
        <w:ind w:firstLine="440" w:firstLineChars="200"/>
        <w:rPr>
          <w:rFonts w:ascii="宋体" w:hAnsi="宋体" w:cs="宋体"/>
          <w:sz w:val="22"/>
        </w:rPr>
      </w:pPr>
      <w:r>
        <w:rPr>
          <w:rFonts w:hint="eastAsia" w:ascii="宋体" w:hAnsi="宋体" w:cs="宋体"/>
          <w:sz w:val="22"/>
        </w:rPr>
        <w:t>22.1.1除通用条款中约定的情形外，承包人违约情形还包括：</w:t>
      </w:r>
    </w:p>
    <w:p>
      <w:pPr>
        <w:snapToGrid w:val="0"/>
        <w:spacing w:line="360" w:lineRule="exact"/>
        <w:ind w:firstLine="440" w:firstLineChars="200"/>
        <w:rPr>
          <w:rFonts w:ascii="宋体" w:hAnsi="宋体" w:cs="宋体"/>
          <w:sz w:val="22"/>
        </w:rPr>
      </w:pPr>
      <w:r>
        <w:rPr>
          <w:rFonts w:hint="eastAsia" w:ascii="宋体" w:hAnsi="宋体" w:cs="宋体"/>
          <w:sz w:val="22"/>
        </w:rPr>
        <w:t>（1）不符合本合同4.5.5、4.5.6款情形约定的到位率或任职要求的，或其它管理人员到位率小于90％的；</w:t>
      </w:r>
    </w:p>
    <w:p>
      <w:pPr>
        <w:snapToGrid w:val="0"/>
        <w:spacing w:line="360" w:lineRule="exact"/>
        <w:ind w:firstLine="440" w:firstLineChars="200"/>
        <w:rPr>
          <w:rFonts w:ascii="宋体" w:hAnsi="宋体" w:cs="宋体"/>
          <w:sz w:val="22"/>
        </w:rPr>
      </w:pPr>
      <w:r>
        <w:rPr>
          <w:rFonts w:hint="eastAsia" w:ascii="宋体" w:hAnsi="宋体" w:cs="宋体"/>
          <w:sz w:val="22"/>
        </w:rPr>
        <w:t>（2）投标文件记载的主要管理、技术人员不到位或未经发包人同意擅自更换的；</w:t>
      </w:r>
    </w:p>
    <w:p>
      <w:pPr>
        <w:snapToGrid w:val="0"/>
        <w:spacing w:line="360" w:lineRule="exact"/>
        <w:ind w:firstLine="440" w:firstLineChars="200"/>
        <w:rPr>
          <w:rFonts w:ascii="宋体" w:hAnsi="宋体" w:cs="宋体"/>
          <w:sz w:val="22"/>
        </w:rPr>
      </w:pPr>
      <w:r>
        <w:rPr>
          <w:rFonts w:hint="eastAsia" w:ascii="宋体" w:hAnsi="宋体" w:cs="宋体"/>
          <w:sz w:val="22"/>
        </w:rPr>
        <w:t>（3）无法定和约定的理由拒绝或懈怠履行合同的。</w:t>
      </w:r>
    </w:p>
    <w:p>
      <w:pPr>
        <w:snapToGrid w:val="0"/>
        <w:spacing w:line="360" w:lineRule="exact"/>
        <w:ind w:firstLine="442" w:firstLineChars="200"/>
        <w:rPr>
          <w:rFonts w:ascii="宋体" w:hAnsi="宋体" w:cs="宋体"/>
          <w:b/>
          <w:sz w:val="22"/>
        </w:rPr>
      </w:pPr>
      <w:r>
        <w:rPr>
          <w:rFonts w:hint="eastAsia" w:ascii="宋体" w:hAnsi="宋体" w:cs="宋体"/>
          <w:b/>
          <w:sz w:val="22"/>
        </w:rPr>
        <w:t>（4）不符合本合同第7.1条、10.1 条、15.4.4 条、20.1条规定及要求的。</w:t>
      </w:r>
    </w:p>
    <w:p>
      <w:pPr>
        <w:snapToGrid w:val="0"/>
        <w:spacing w:line="360" w:lineRule="exact"/>
        <w:ind w:firstLine="440" w:firstLineChars="200"/>
        <w:rPr>
          <w:rFonts w:ascii="宋体" w:hAnsi="宋体" w:cs="宋体"/>
          <w:sz w:val="22"/>
        </w:rPr>
      </w:pPr>
      <w:r>
        <w:rPr>
          <w:rFonts w:hint="eastAsia" w:ascii="宋体" w:hAnsi="宋体" w:cs="宋体"/>
          <w:sz w:val="22"/>
        </w:rPr>
        <w:t>22.1.2对承包人违约的处理：</w:t>
      </w:r>
    </w:p>
    <w:p>
      <w:pPr>
        <w:snapToGrid w:val="0"/>
        <w:spacing w:line="360" w:lineRule="exact"/>
        <w:ind w:firstLine="440" w:firstLineChars="200"/>
        <w:rPr>
          <w:rFonts w:ascii="宋体" w:hAnsi="宋体" w:cs="宋体"/>
          <w:sz w:val="22"/>
        </w:rPr>
      </w:pPr>
      <w:r>
        <w:rPr>
          <w:rFonts w:hint="eastAsia" w:ascii="宋体" w:hAnsi="宋体" w:cs="宋体"/>
          <w:sz w:val="22"/>
        </w:rPr>
        <w:t>承包人发生22.1.1或以下违约行为之一的，根据其违约行为种类，除承包人须根据本合同约定支付违约金外，并根据其对发包人造成经济损失的程度予以赔偿，此外，发包人亦有权终止合同而不向承包人作任何赔偿或补偿。</w:t>
      </w:r>
    </w:p>
    <w:p>
      <w:pPr>
        <w:snapToGrid w:val="0"/>
        <w:spacing w:line="360" w:lineRule="exact"/>
        <w:ind w:firstLine="440" w:firstLineChars="200"/>
        <w:rPr>
          <w:rFonts w:ascii="宋体" w:hAnsi="宋体" w:cs="宋体"/>
          <w:sz w:val="22"/>
        </w:rPr>
      </w:pPr>
      <w:r>
        <w:rPr>
          <w:rFonts w:hint="eastAsia" w:ascii="宋体" w:hAnsi="宋体" w:cs="宋体"/>
          <w:sz w:val="22"/>
        </w:rPr>
        <w:t>根据承包人的违约情形，发包人可主张承包人承担如下部分或全部的赔偿责任：</w:t>
      </w:r>
    </w:p>
    <w:p>
      <w:pPr>
        <w:snapToGrid w:val="0"/>
        <w:spacing w:line="360" w:lineRule="exact"/>
        <w:ind w:firstLine="440" w:firstLineChars="200"/>
        <w:rPr>
          <w:rFonts w:ascii="宋体" w:hAnsi="宋体" w:cs="宋体"/>
          <w:sz w:val="22"/>
        </w:rPr>
      </w:pPr>
      <w:r>
        <w:rPr>
          <w:rFonts w:hint="eastAsia" w:ascii="宋体" w:hAnsi="宋体" w:cs="宋体"/>
          <w:sz w:val="22"/>
        </w:rPr>
        <w:t>（1）及时整改及承担费用的责任；</w:t>
      </w:r>
    </w:p>
    <w:p>
      <w:pPr>
        <w:snapToGrid w:val="0"/>
        <w:spacing w:line="360" w:lineRule="exact"/>
        <w:ind w:firstLine="440" w:firstLineChars="200"/>
        <w:rPr>
          <w:rFonts w:ascii="宋体" w:hAnsi="宋体" w:cs="宋体"/>
          <w:sz w:val="22"/>
        </w:rPr>
      </w:pPr>
      <w:r>
        <w:rPr>
          <w:rFonts w:hint="eastAsia" w:ascii="宋体" w:hAnsi="宋体" w:cs="宋体"/>
          <w:sz w:val="22"/>
        </w:rPr>
        <w:t>（2）导致发包人解除合同并重新委托第三方修复、重建或继续未完施工的，承包人须向发包人赔偿因此导致的发包人额外支出；</w:t>
      </w:r>
    </w:p>
    <w:p>
      <w:pPr>
        <w:snapToGrid w:val="0"/>
        <w:spacing w:line="360" w:lineRule="exact"/>
        <w:ind w:firstLine="440" w:firstLineChars="200"/>
        <w:rPr>
          <w:rFonts w:ascii="宋体" w:hAnsi="宋体" w:cs="宋体"/>
          <w:sz w:val="22"/>
        </w:rPr>
      </w:pPr>
      <w:r>
        <w:rPr>
          <w:rFonts w:hint="eastAsia" w:ascii="宋体" w:hAnsi="宋体" w:cs="宋体"/>
          <w:sz w:val="22"/>
        </w:rPr>
        <w:t>（3）发包人为解除合同而与承包人发生争议，且争议经合同约定的争议解决机构或裁决机构生效裁决确定发包人有权解除合同的，则为处理争议所发生的一切实际费用须由承包人承担；</w:t>
      </w:r>
    </w:p>
    <w:p>
      <w:pPr>
        <w:snapToGrid w:val="0"/>
        <w:spacing w:line="360" w:lineRule="exact"/>
        <w:ind w:firstLine="440" w:firstLineChars="200"/>
        <w:rPr>
          <w:rFonts w:ascii="宋体" w:hAnsi="宋体" w:cs="宋体"/>
          <w:sz w:val="22"/>
        </w:rPr>
      </w:pPr>
      <w:r>
        <w:rPr>
          <w:rFonts w:hint="eastAsia" w:ascii="宋体" w:hAnsi="宋体" w:cs="宋体"/>
          <w:sz w:val="22"/>
        </w:rPr>
        <w:t>（4）承包人须承担因其违约导致发包人所遭受的第三人索赔；</w:t>
      </w:r>
    </w:p>
    <w:p>
      <w:pPr>
        <w:snapToGrid w:val="0"/>
        <w:spacing w:line="360" w:lineRule="exact"/>
        <w:ind w:firstLine="440" w:firstLineChars="200"/>
        <w:rPr>
          <w:rFonts w:ascii="宋体" w:hAnsi="宋体" w:cs="宋体"/>
          <w:sz w:val="22"/>
        </w:rPr>
      </w:pPr>
      <w:r>
        <w:rPr>
          <w:rFonts w:hint="eastAsia" w:ascii="宋体" w:hAnsi="宋体" w:cs="宋体"/>
          <w:sz w:val="22"/>
        </w:rPr>
        <w:t>（5）承包人须承担其违约行为导致发包人所遭受其他实际损害的赔偿责任；</w:t>
      </w:r>
    </w:p>
    <w:p>
      <w:pPr>
        <w:snapToGrid w:val="0"/>
        <w:spacing w:line="360" w:lineRule="exact"/>
        <w:ind w:firstLine="440" w:firstLineChars="200"/>
        <w:rPr>
          <w:rFonts w:ascii="宋体" w:hAnsi="宋体" w:cs="宋体"/>
          <w:sz w:val="22"/>
        </w:rPr>
      </w:pPr>
      <w:r>
        <w:rPr>
          <w:rFonts w:hint="eastAsia" w:ascii="宋体" w:hAnsi="宋体" w:cs="宋体"/>
          <w:sz w:val="22"/>
        </w:rPr>
        <w:t>（6）本专用合同其他条款约定的违约金。</w:t>
      </w:r>
    </w:p>
    <w:p>
      <w:pPr>
        <w:snapToGrid w:val="0"/>
        <w:spacing w:line="360" w:lineRule="exact"/>
        <w:ind w:firstLine="440" w:firstLineChars="200"/>
        <w:rPr>
          <w:rFonts w:ascii="宋体" w:hAnsi="宋体" w:cs="宋体"/>
          <w:sz w:val="22"/>
        </w:rPr>
      </w:pPr>
      <w:r>
        <w:rPr>
          <w:rFonts w:hint="eastAsia" w:ascii="宋体" w:hAnsi="宋体" w:cs="宋体"/>
          <w:sz w:val="22"/>
        </w:rPr>
        <w:t>22.1.8发包人根据法律规定或合同约定解除本合同的，发包人无须向承包人作任何赔偿或补偿。</w:t>
      </w:r>
    </w:p>
    <w:p>
      <w:pPr>
        <w:snapToGrid w:val="0"/>
        <w:spacing w:line="360" w:lineRule="exact"/>
        <w:ind w:firstLine="440" w:firstLineChars="200"/>
        <w:rPr>
          <w:rFonts w:ascii="宋体" w:hAnsi="宋体" w:cs="宋体"/>
          <w:sz w:val="22"/>
        </w:rPr>
      </w:pPr>
      <w:r>
        <w:rPr>
          <w:rFonts w:hint="eastAsia" w:ascii="宋体" w:hAnsi="宋体" w:cs="宋体"/>
          <w:sz w:val="22"/>
        </w:rPr>
        <w:t>22.1.9  因承包人弄虚作假骗取订立本合同或在本合同的履行中违约等情形而由发包人按法律规定或本合同的约定依法解除本合同的，则承包人应当向发包人承担如下义务或违约责任：</w:t>
      </w:r>
    </w:p>
    <w:p>
      <w:pPr>
        <w:snapToGrid w:val="0"/>
        <w:spacing w:line="360" w:lineRule="exact"/>
        <w:ind w:firstLine="440" w:firstLineChars="200"/>
        <w:rPr>
          <w:rFonts w:ascii="宋体" w:hAnsi="宋体" w:cs="宋体"/>
          <w:sz w:val="22"/>
        </w:rPr>
      </w:pPr>
      <w:r>
        <w:rPr>
          <w:rFonts w:hint="eastAsia" w:ascii="宋体" w:hAnsi="宋体" w:cs="宋体"/>
          <w:sz w:val="22"/>
        </w:rPr>
        <w:t>（1）向发包人支付不低于本合同约定的合同总价的10%作为违约金；</w:t>
      </w:r>
    </w:p>
    <w:p>
      <w:pPr>
        <w:snapToGrid w:val="0"/>
        <w:spacing w:line="360" w:lineRule="exact"/>
        <w:ind w:firstLine="440" w:firstLineChars="200"/>
        <w:rPr>
          <w:rFonts w:ascii="宋体" w:hAnsi="宋体" w:cs="宋体"/>
          <w:sz w:val="22"/>
        </w:rPr>
      </w:pPr>
      <w:r>
        <w:rPr>
          <w:rFonts w:hint="eastAsia" w:ascii="宋体" w:hAnsi="宋体" w:cs="宋体"/>
          <w:sz w:val="22"/>
        </w:rPr>
        <w:t>（2）承担发包人就本协议项下未完施工内容另行招标或其他方式订约所开支的费用；</w:t>
      </w:r>
    </w:p>
    <w:p>
      <w:pPr>
        <w:snapToGrid w:val="0"/>
        <w:spacing w:line="360" w:lineRule="exact"/>
        <w:ind w:firstLine="440" w:firstLineChars="200"/>
        <w:rPr>
          <w:rFonts w:ascii="宋体" w:hAnsi="宋体" w:cs="宋体"/>
          <w:sz w:val="22"/>
        </w:rPr>
      </w:pPr>
      <w:r>
        <w:rPr>
          <w:rFonts w:hint="eastAsia" w:ascii="宋体" w:hAnsi="宋体" w:cs="宋体"/>
          <w:sz w:val="22"/>
        </w:rPr>
        <w:t>（3）因解除本合同后发包人委托其他承包人提供本合同项下的施工服务的，则其他承包人相应施工内容的合同价款高于与本合同相应价款的差额，本合同承包人应向发包人赔偿；</w:t>
      </w:r>
    </w:p>
    <w:p>
      <w:pPr>
        <w:snapToGrid w:val="0"/>
        <w:spacing w:line="360" w:lineRule="exact"/>
        <w:ind w:firstLine="440" w:firstLineChars="200"/>
        <w:rPr>
          <w:rFonts w:ascii="宋体" w:hAnsi="宋体" w:cs="宋体"/>
          <w:sz w:val="22"/>
        </w:rPr>
      </w:pPr>
      <w:r>
        <w:rPr>
          <w:rFonts w:hint="eastAsia" w:ascii="宋体" w:hAnsi="宋体" w:cs="宋体"/>
          <w:sz w:val="22"/>
        </w:rPr>
        <w:t>（4）赔偿发包人遭受的其他实际损失；</w:t>
      </w:r>
    </w:p>
    <w:p>
      <w:pPr>
        <w:snapToGrid w:val="0"/>
        <w:spacing w:line="360" w:lineRule="exact"/>
        <w:ind w:firstLine="440" w:firstLineChars="200"/>
        <w:rPr>
          <w:rFonts w:ascii="宋体" w:hAnsi="宋体" w:cs="宋体"/>
          <w:sz w:val="22"/>
        </w:rPr>
      </w:pPr>
      <w:r>
        <w:rPr>
          <w:rFonts w:hint="eastAsia" w:ascii="宋体" w:hAnsi="宋体" w:cs="宋体"/>
          <w:sz w:val="22"/>
        </w:rPr>
        <w:t>（5）在发包人指定期限内，无条件的向发包人所确定的其他承包人妥善移交本合同解除前形成的施工工作内容及一切相关文件资料，逾期移交的应向发包人支付本合同总价千分之一每一延误日的违约金。</w:t>
      </w:r>
    </w:p>
    <w:p>
      <w:pPr>
        <w:snapToGrid w:val="0"/>
        <w:spacing w:line="360" w:lineRule="exact"/>
        <w:ind w:firstLine="440" w:firstLineChars="200"/>
        <w:rPr>
          <w:rFonts w:ascii="宋体" w:hAnsi="宋体" w:cs="宋体"/>
          <w:sz w:val="22"/>
        </w:rPr>
      </w:pPr>
      <w:r>
        <w:rPr>
          <w:rFonts w:hint="eastAsia" w:ascii="宋体" w:hAnsi="宋体" w:cs="宋体"/>
          <w:sz w:val="22"/>
        </w:rPr>
        <w:t>22.1.10违约金条款的适用：就承包人同一违约情形，本合同各条款若约定了不同的违约金标准的，则从高确定承包人应付的违约金金额。承包人履行违约金支付义务的，并不免除其在本合同项下的其他义务和责任。承包人确认本合同关于违约金标准的约定合理且恰当。</w:t>
      </w:r>
    </w:p>
    <w:p>
      <w:pPr>
        <w:snapToGrid w:val="0"/>
        <w:spacing w:line="360" w:lineRule="exact"/>
        <w:rPr>
          <w:rFonts w:ascii="宋体" w:hAnsi="宋体" w:cs="宋体"/>
          <w:sz w:val="22"/>
        </w:rPr>
      </w:pPr>
      <w:r>
        <w:rPr>
          <w:rFonts w:hint="eastAsia" w:ascii="宋体" w:hAnsi="宋体" w:cs="宋体"/>
          <w:sz w:val="22"/>
        </w:rPr>
        <w:t>24．争议的解决</w:t>
      </w:r>
    </w:p>
    <w:p>
      <w:pPr>
        <w:snapToGrid w:val="0"/>
        <w:spacing w:line="360" w:lineRule="exact"/>
        <w:rPr>
          <w:rFonts w:ascii="宋体" w:hAnsi="宋体" w:cs="宋体"/>
          <w:sz w:val="22"/>
        </w:rPr>
      </w:pPr>
      <w:r>
        <w:rPr>
          <w:rFonts w:hint="eastAsia" w:ascii="宋体" w:hAnsi="宋体" w:cs="宋体"/>
          <w:sz w:val="22"/>
        </w:rPr>
        <w:t>24.1 争议的解决方式</w:t>
      </w:r>
    </w:p>
    <w:p>
      <w:pPr>
        <w:snapToGrid w:val="0"/>
        <w:spacing w:line="360" w:lineRule="exact"/>
        <w:ind w:firstLine="440" w:firstLineChars="200"/>
        <w:rPr>
          <w:rFonts w:ascii="宋体" w:hAnsi="宋体" w:cs="宋体"/>
          <w:sz w:val="22"/>
        </w:rPr>
      </w:pPr>
      <w:r>
        <w:rPr>
          <w:rFonts w:hint="eastAsia" w:ascii="宋体" w:hAnsi="宋体" w:cs="宋体"/>
          <w:sz w:val="22"/>
        </w:rPr>
        <w:t>双方约定，在履行合同过程中产生的争议时，可请工程所在地建设行政主管部门调解，协商不成的：向杭州仲裁委员会申请仲裁。</w:t>
      </w:r>
    </w:p>
    <w:p>
      <w:pPr>
        <w:snapToGrid w:val="0"/>
        <w:spacing w:line="360" w:lineRule="exact"/>
        <w:rPr>
          <w:rFonts w:ascii="宋体" w:hAnsi="宋体" w:cs="宋体"/>
          <w:sz w:val="22"/>
        </w:rPr>
      </w:pPr>
      <w:r>
        <w:rPr>
          <w:rFonts w:hint="eastAsia" w:ascii="宋体" w:hAnsi="宋体" w:cs="宋体"/>
          <w:sz w:val="22"/>
        </w:rPr>
        <w:t>25．其他补充条款</w:t>
      </w:r>
    </w:p>
    <w:p>
      <w:pPr>
        <w:snapToGrid w:val="0"/>
        <w:spacing w:line="360" w:lineRule="exact"/>
        <w:rPr>
          <w:rFonts w:ascii="宋体" w:hAnsi="宋体" w:cs="宋体"/>
          <w:sz w:val="22"/>
        </w:rPr>
      </w:pPr>
      <w:r>
        <w:rPr>
          <w:rFonts w:hint="eastAsia" w:ascii="宋体" w:hAnsi="宋体" w:cs="宋体"/>
          <w:sz w:val="22"/>
        </w:rPr>
        <w:t>25.1 投标文件的充分性</w:t>
      </w:r>
    </w:p>
    <w:p>
      <w:pPr>
        <w:snapToGrid w:val="0"/>
        <w:spacing w:line="360" w:lineRule="exact"/>
        <w:ind w:firstLine="440" w:firstLineChars="200"/>
        <w:rPr>
          <w:rFonts w:ascii="宋体" w:hAnsi="宋体" w:cs="宋体"/>
          <w:sz w:val="22"/>
        </w:rPr>
      </w:pPr>
      <w:r>
        <w:rPr>
          <w:rFonts w:hint="eastAsia" w:ascii="宋体" w:hAnsi="宋体" w:cs="宋体"/>
          <w:sz w:val="22"/>
        </w:rPr>
        <w:t>承包人已经认真研究了发包人提供的合同文件，对任何有可能存在的问题已经得到发包人的澄清和解答，并对由合同文件所定义的承包人合同工作内容达到彻底和充分的理解，并已将这种理解全部反映到承包人的投标文件中。</w:t>
      </w:r>
    </w:p>
    <w:p>
      <w:pPr>
        <w:snapToGrid w:val="0"/>
        <w:spacing w:line="360" w:lineRule="exact"/>
        <w:rPr>
          <w:rFonts w:ascii="宋体" w:hAnsi="宋体" w:cs="宋体"/>
          <w:sz w:val="22"/>
        </w:rPr>
      </w:pPr>
      <w:r>
        <w:rPr>
          <w:rFonts w:hint="eastAsia" w:ascii="宋体" w:hAnsi="宋体" w:cs="宋体"/>
          <w:sz w:val="22"/>
        </w:rPr>
        <w:t>25.2 承包人确认其提交的投标文件以及工程量清单中开列的各项价格的正确性和充分性。除非合同另有约定，承包人提交的投标文件以及工程量清单中开列的各项价格已经全面、充分地体现和覆盖了：</w:t>
      </w:r>
    </w:p>
    <w:p>
      <w:pPr>
        <w:snapToGrid w:val="0"/>
        <w:spacing w:line="360" w:lineRule="exact"/>
        <w:ind w:firstLine="440" w:firstLineChars="200"/>
        <w:rPr>
          <w:rFonts w:ascii="宋体" w:hAnsi="宋体" w:cs="宋体"/>
          <w:sz w:val="22"/>
        </w:rPr>
      </w:pPr>
      <w:r>
        <w:rPr>
          <w:rFonts w:hint="eastAsia" w:ascii="宋体" w:hAnsi="宋体" w:cs="宋体"/>
          <w:sz w:val="22"/>
        </w:rPr>
        <w:t>（1） 承包人根据合同应承担的全部义务；</w:t>
      </w:r>
    </w:p>
    <w:p>
      <w:pPr>
        <w:snapToGrid w:val="0"/>
        <w:spacing w:line="360" w:lineRule="exact"/>
        <w:ind w:firstLine="440" w:firstLineChars="200"/>
        <w:rPr>
          <w:rFonts w:ascii="宋体" w:hAnsi="宋体" w:cs="宋体"/>
          <w:sz w:val="22"/>
        </w:rPr>
      </w:pPr>
      <w:r>
        <w:rPr>
          <w:rFonts w:hint="eastAsia" w:ascii="宋体" w:hAnsi="宋体" w:cs="宋体"/>
          <w:sz w:val="22"/>
        </w:rPr>
        <w:t>（2） 为该工程的正确实施、竣工后修补由于承包人原因造成的缺陷所必须发生的一切开支。</w:t>
      </w:r>
    </w:p>
    <w:p>
      <w:pPr>
        <w:snapToGrid w:val="0"/>
        <w:spacing w:line="360" w:lineRule="exact"/>
        <w:rPr>
          <w:rFonts w:ascii="宋体" w:hAnsi="宋体" w:cs="宋体"/>
          <w:sz w:val="22"/>
        </w:rPr>
      </w:pPr>
      <w:r>
        <w:rPr>
          <w:rFonts w:hint="eastAsia" w:ascii="宋体" w:hAnsi="宋体" w:cs="宋体"/>
          <w:sz w:val="22"/>
        </w:rPr>
        <w:t>25.3 本工程联系单签证均以发包人公章为准，未加盖发包人公章的均为无效签证。</w:t>
      </w:r>
    </w:p>
    <w:p>
      <w:pPr>
        <w:snapToGrid w:val="0"/>
        <w:spacing w:line="360" w:lineRule="exact"/>
        <w:rPr>
          <w:rFonts w:ascii="宋体" w:hAnsi="宋体" w:cs="宋体"/>
          <w:sz w:val="22"/>
        </w:rPr>
      </w:pPr>
      <w:r>
        <w:rPr>
          <w:rFonts w:hint="eastAsia" w:ascii="宋体" w:hAnsi="宋体" w:cs="宋体"/>
          <w:sz w:val="22"/>
        </w:rPr>
        <w:t>25.4 凡涉及设计变更需设计院出具联系单或施工图的，承包人必须经发包人授权方可与设计院联系，承包人不得与设计院单向联系，否则该设计签证无效。</w:t>
      </w:r>
    </w:p>
    <w:p>
      <w:pPr>
        <w:snapToGrid w:val="0"/>
        <w:spacing w:line="360" w:lineRule="exact"/>
        <w:rPr>
          <w:rFonts w:ascii="宋体" w:hAnsi="宋体" w:cs="宋体"/>
          <w:sz w:val="22"/>
        </w:rPr>
      </w:pPr>
      <w:r>
        <w:rPr>
          <w:rFonts w:hint="eastAsia" w:ascii="宋体" w:hAnsi="宋体" w:cs="宋体"/>
          <w:sz w:val="22"/>
        </w:rPr>
        <w:t>25.5本工程须注意以下事项：</w:t>
      </w:r>
    </w:p>
    <w:p>
      <w:pPr>
        <w:snapToGrid w:val="0"/>
        <w:spacing w:line="360" w:lineRule="exact"/>
        <w:ind w:firstLine="440" w:firstLineChars="200"/>
        <w:rPr>
          <w:rFonts w:ascii="宋体" w:hAnsi="宋体" w:cs="宋体"/>
          <w:sz w:val="22"/>
        </w:rPr>
      </w:pPr>
      <w:r>
        <w:rPr>
          <w:rFonts w:hint="eastAsia" w:ascii="宋体" w:hAnsi="宋体" w:cs="宋体"/>
          <w:sz w:val="22"/>
        </w:rPr>
        <w:t>（1）与承包人签订《杭州萧山国际机场安全文明施工协议书》；</w:t>
      </w:r>
    </w:p>
    <w:p>
      <w:pPr>
        <w:snapToGrid w:val="0"/>
        <w:spacing w:line="360" w:lineRule="exact"/>
        <w:ind w:firstLine="440" w:firstLineChars="200"/>
        <w:rPr>
          <w:rFonts w:ascii="宋体" w:hAnsi="宋体" w:cs="宋体"/>
          <w:sz w:val="22"/>
        </w:rPr>
      </w:pPr>
      <w:r>
        <w:rPr>
          <w:rFonts w:hint="eastAsia" w:ascii="宋体" w:hAnsi="宋体" w:cs="宋体"/>
          <w:sz w:val="22"/>
        </w:rPr>
        <w:t>（2）承包人应严格按“杭州市文明标化工地”的要求组织施工；</w:t>
      </w:r>
    </w:p>
    <w:p>
      <w:pPr>
        <w:snapToGrid w:val="0"/>
        <w:spacing w:line="360" w:lineRule="exact"/>
        <w:ind w:firstLine="440" w:firstLineChars="200"/>
        <w:rPr>
          <w:rFonts w:ascii="宋体" w:hAnsi="宋体" w:cs="宋体"/>
          <w:sz w:val="22"/>
        </w:rPr>
      </w:pPr>
      <w:r>
        <w:rPr>
          <w:rFonts w:hint="eastAsia" w:ascii="宋体" w:hAnsi="宋体" w:cs="宋体"/>
          <w:sz w:val="22"/>
        </w:rPr>
        <w:t>（3）工程质量目标须无条件满足招标人的总体质量目标；</w:t>
      </w:r>
    </w:p>
    <w:p>
      <w:pPr>
        <w:snapToGrid w:val="0"/>
        <w:spacing w:line="360" w:lineRule="exact"/>
        <w:ind w:firstLine="440" w:firstLineChars="200"/>
        <w:rPr>
          <w:rFonts w:ascii="宋体" w:hAnsi="宋体" w:cs="宋体"/>
          <w:sz w:val="22"/>
        </w:rPr>
      </w:pPr>
      <w:r>
        <w:rPr>
          <w:rFonts w:hint="eastAsia" w:ascii="宋体" w:hAnsi="宋体" w:cs="宋体"/>
          <w:sz w:val="22"/>
        </w:rPr>
        <w:t>（4）按工程总进度计划安排施工；</w:t>
      </w:r>
    </w:p>
    <w:p>
      <w:pPr>
        <w:snapToGrid w:val="0"/>
        <w:spacing w:line="360" w:lineRule="exact"/>
        <w:ind w:firstLine="440" w:firstLineChars="200"/>
        <w:rPr>
          <w:rFonts w:ascii="宋体" w:hAnsi="宋体" w:cs="宋体"/>
          <w:sz w:val="22"/>
        </w:rPr>
      </w:pPr>
      <w:r>
        <w:rPr>
          <w:rFonts w:hint="eastAsia" w:ascii="宋体" w:hAnsi="宋体" w:cs="宋体"/>
          <w:sz w:val="22"/>
        </w:rPr>
        <w:t>（5）承包人如需在场内搭建临设，必须征得发包人同意，并在发包人指定地点搭建；</w:t>
      </w:r>
    </w:p>
    <w:p>
      <w:pPr>
        <w:snapToGrid w:val="0"/>
        <w:spacing w:line="360" w:lineRule="exact"/>
        <w:ind w:firstLine="440" w:firstLineChars="200"/>
        <w:rPr>
          <w:rFonts w:ascii="宋体" w:hAnsi="宋体" w:cs="宋体"/>
          <w:sz w:val="22"/>
        </w:rPr>
      </w:pPr>
      <w:r>
        <w:rPr>
          <w:rFonts w:hint="eastAsia" w:ascii="宋体" w:hAnsi="宋体" w:cs="宋体"/>
          <w:sz w:val="22"/>
        </w:rPr>
        <w:t>（6）发包人负责提供水、电源接入点，水电费用由承包人承担；</w:t>
      </w:r>
    </w:p>
    <w:p>
      <w:pPr>
        <w:snapToGrid w:val="0"/>
        <w:spacing w:line="360" w:lineRule="exact"/>
        <w:rPr>
          <w:rFonts w:ascii="宋体" w:hAnsi="宋体" w:cs="宋体"/>
          <w:sz w:val="22"/>
        </w:rPr>
      </w:pPr>
      <w:r>
        <w:rPr>
          <w:rFonts w:hint="eastAsia" w:ascii="宋体" w:hAnsi="宋体" w:cs="宋体"/>
          <w:sz w:val="22"/>
        </w:rPr>
        <w:t>25.6工程、设计变更及现场签证管理按有关文件执行。</w:t>
      </w:r>
    </w:p>
    <w:p>
      <w:pPr>
        <w:snapToGrid w:val="0"/>
        <w:spacing w:line="360" w:lineRule="exact"/>
        <w:rPr>
          <w:rFonts w:ascii="宋体" w:hAnsi="宋体" w:cs="宋体"/>
          <w:sz w:val="22"/>
        </w:rPr>
      </w:pPr>
      <w:r>
        <w:rPr>
          <w:rFonts w:hint="eastAsia" w:ascii="宋体" w:hAnsi="宋体" w:cs="宋体"/>
          <w:sz w:val="22"/>
        </w:rPr>
        <w:t>25.7双方同意，若对本工程质量有争议，则由发包人指定的鉴定机构鉴定，鉴定费用由造成质量瑕疵的责任方承担。</w:t>
      </w:r>
    </w:p>
    <w:p>
      <w:pPr>
        <w:snapToGrid w:val="0"/>
        <w:spacing w:line="360" w:lineRule="exact"/>
        <w:rPr>
          <w:rFonts w:ascii="宋体" w:hAnsi="宋体" w:cs="宋体"/>
          <w:sz w:val="22"/>
        </w:rPr>
      </w:pPr>
      <w:r>
        <w:rPr>
          <w:rFonts w:hint="eastAsia" w:ascii="宋体" w:hAnsi="宋体" w:cs="宋体"/>
          <w:sz w:val="22"/>
        </w:rPr>
        <w:t>25.8本合同于签订后，发现存在以下情形之一的，发包人有权解除本合同：</w:t>
      </w:r>
    </w:p>
    <w:p>
      <w:pPr>
        <w:snapToGrid w:val="0"/>
        <w:spacing w:line="360" w:lineRule="exact"/>
        <w:ind w:firstLine="440" w:firstLineChars="200"/>
        <w:rPr>
          <w:rFonts w:ascii="宋体" w:hAnsi="宋体" w:cs="宋体"/>
          <w:sz w:val="22"/>
        </w:rPr>
      </w:pPr>
      <w:r>
        <w:rPr>
          <w:rFonts w:hint="eastAsia" w:ascii="宋体" w:hAnsi="宋体" w:cs="宋体"/>
          <w:sz w:val="22"/>
        </w:rPr>
        <w:t>（1）本合同签订前的招标投标过程中未发现的错误，可能导致承包人潜在获利，而承包人在接到发包人对本合同的相应修正要求后，在发包人指定的期限内拒绝按要求予以修正的；</w:t>
      </w:r>
    </w:p>
    <w:p>
      <w:pPr>
        <w:snapToGrid w:val="0"/>
        <w:spacing w:line="360" w:lineRule="exact"/>
        <w:ind w:firstLine="440" w:firstLineChars="200"/>
        <w:rPr>
          <w:rFonts w:ascii="宋体" w:hAnsi="宋体" w:cs="宋体"/>
          <w:sz w:val="22"/>
        </w:rPr>
      </w:pPr>
      <w:r>
        <w:rPr>
          <w:rFonts w:hint="eastAsia" w:ascii="宋体" w:hAnsi="宋体" w:cs="宋体"/>
          <w:sz w:val="22"/>
        </w:rPr>
        <w:t>（2）承包人实施出借或借用他人资质；在投标中实施虚假承诺、隐瞒或虚构事实等弄虚作假行为；有串通投标；向招标人或评标委员会成员行贿等不正当行为；</w:t>
      </w:r>
    </w:p>
    <w:p>
      <w:pPr>
        <w:snapToGrid w:val="0"/>
        <w:spacing w:line="360" w:lineRule="exact"/>
        <w:ind w:firstLine="440" w:firstLineChars="200"/>
        <w:rPr>
          <w:rFonts w:ascii="宋体" w:hAnsi="宋体" w:cs="宋体"/>
          <w:sz w:val="22"/>
        </w:rPr>
      </w:pPr>
      <w:r>
        <w:rPr>
          <w:rFonts w:hint="eastAsia" w:ascii="宋体" w:hAnsi="宋体" w:cs="宋体"/>
          <w:sz w:val="22"/>
        </w:rPr>
        <w:t>（3）承包人在2009年1月1日后承建的施工工程中存在较大生产安全事故的（较大生产安全事故的认定以国务院493号令为准）；</w:t>
      </w:r>
    </w:p>
    <w:p>
      <w:pPr>
        <w:snapToGrid w:val="0"/>
        <w:spacing w:line="360" w:lineRule="exact"/>
        <w:ind w:firstLine="440" w:firstLineChars="200"/>
        <w:rPr>
          <w:rFonts w:ascii="宋体" w:hAnsi="宋体" w:cs="宋体"/>
          <w:sz w:val="22"/>
        </w:rPr>
      </w:pPr>
      <w:r>
        <w:rPr>
          <w:rFonts w:hint="eastAsia" w:ascii="宋体" w:hAnsi="宋体" w:cs="宋体"/>
          <w:sz w:val="22"/>
        </w:rPr>
        <w:t>（4）承包人存在集体性（10人以上）的内部劳动人事纠纷、股东（产权人）或资产纠纷、偿债危机等经营变故，且发包人认为该等情形对承包人是否能全面履行投标承诺存在重大不确定性的；</w:t>
      </w:r>
    </w:p>
    <w:p>
      <w:pPr>
        <w:snapToGrid w:val="0"/>
        <w:spacing w:line="360" w:lineRule="exact"/>
        <w:ind w:firstLine="440" w:firstLineChars="200"/>
        <w:rPr>
          <w:rFonts w:ascii="宋体" w:hAnsi="宋体" w:cs="宋体"/>
          <w:sz w:val="22"/>
        </w:rPr>
      </w:pPr>
      <w:r>
        <w:rPr>
          <w:rFonts w:hint="eastAsia" w:ascii="宋体" w:hAnsi="宋体" w:cs="宋体"/>
          <w:sz w:val="22"/>
        </w:rPr>
        <w:t>（5）承包人正处于或将面临重大诉讼、仲裁，且发包人认为该等情形对承包人是否能全面履行投标承诺存在重大不确定性的；</w:t>
      </w:r>
    </w:p>
    <w:p>
      <w:pPr>
        <w:snapToGrid w:val="0"/>
        <w:spacing w:line="360" w:lineRule="exact"/>
        <w:ind w:firstLine="440" w:firstLineChars="200"/>
        <w:rPr>
          <w:rFonts w:ascii="宋体" w:hAnsi="宋体" w:cs="宋体"/>
          <w:sz w:val="22"/>
        </w:rPr>
      </w:pPr>
      <w:r>
        <w:rPr>
          <w:rFonts w:hint="eastAsia" w:ascii="宋体" w:hAnsi="宋体" w:cs="宋体"/>
          <w:sz w:val="22"/>
        </w:rPr>
        <w:t>（6）承包人与本工程相关的应有资格、资质、认证或其他行政许可已被终止、中止或暂扣的；</w:t>
      </w:r>
    </w:p>
    <w:p>
      <w:pPr>
        <w:snapToGrid w:val="0"/>
        <w:spacing w:line="360" w:lineRule="exact"/>
        <w:ind w:firstLine="440" w:firstLineChars="200"/>
        <w:rPr>
          <w:rFonts w:ascii="宋体" w:hAnsi="宋体" w:cs="宋体"/>
          <w:sz w:val="22"/>
        </w:rPr>
      </w:pPr>
      <w:r>
        <w:rPr>
          <w:rFonts w:hint="eastAsia" w:ascii="宋体" w:hAnsi="宋体" w:cs="宋体"/>
          <w:sz w:val="22"/>
        </w:rPr>
        <w:t>（7）中标项目经理或项目技术负责人在任其他在建工程且未在发包人限定的时间内办妥退出其他在建工程任职手续的。</w:t>
      </w:r>
    </w:p>
    <w:p>
      <w:pPr>
        <w:snapToGrid w:val="0"/>
        <w:spacing w:line="360" w:lineRule="exact"/>
        <w:ind w:firstLine="440" w:firstLineChars="200"/>
        <w:rPr>
          <w:rFonts w:ascii="宋体" w:hAnsi="宋体" w:cs="宋体"/>
          <w:sz w:val="22"/>
        </w:rPr>
      </w:pPr>
      <w:r>
        <w:rPr>
          <w:rFonts w:hint="eastAsia" w:ascii="宋体" w:hAnsi="宋体" w:cs="宋体"/>
          <w:sz w:val="22"/>
        </w:rPr>
        <w:t>对发包人按前述约定而解除本合同的，承包人均予以接受并同意放弃和豁免招标人因此而可能对投标人造成的现实和有损害的任何赔偿、补偿责任；承包人因前述情形而导致本工程停工、窝工、发生质量、安全事故等，造成发包人损害的，应承担全部责任，赔偿发包人的全部损失。</w:t>
      </w:r>
    </w:p>
    <w:p>
      <w:pPr>
        <w:snapToGrid w:val="0"/>
        <w:spacing w:line="360" w:lineRule="exact"/>
        <w:ind w:firstLine="440" w:firstLineChars="200"/>
        <w:rPr>
          <w:rFonts w:ascii="宋体" w:hAnsi="宋体" w:cs="宋体"/>
          <w:sz w:val="22"/>
        </w:rPr>
      </w:pPr>
      <w:r>
        <w:rPr>
          <w:rFonts w:hint="eastAsia" w:ascii="宋体" w:hAnsi="宋体" w:cs="宋体"/>
          <w:sz w:val="22"/>
        </w:rPr>
        <w:t>一旦发包人所需，承包人应按发包人的要求补充提供发包人所要求的有关资料，配合发包人所要求的调查；有关资料或调查涉及承包人商业秘密的，发包人知悉该等商业秘密后应予严格保密；有关资料或调查涉及国家机密而依法不得向发包人公开的，承包人应向发包人提供履行国家机密监管、保障职责的有关行政主管部门的书面证明或意见。</w:t>
      </w:r>
    </w:p>
    <w:p>
      <w:pPr>
        <w:snapToGrid w:val="0"/>
        <w:spacing w:line="360" w:lineRule="exact"/>
        <w:rPr>
          <w:rFonts w:ascii="宋体" w:hAnsi="宋体" w:cs="宋体"/>
          <w:sz w:val="22"/>
        </w:rPr>
      </w:pPr>
      <w:r>
        <w:rPr>
          <w:rFonts w:hint="eastAsia" w:ascii="宋体" w:hAnsi="宋体" w:cs="宋体"/>
          <w:sz w:val="22"/>
        </w:rPr>
        <w:t>25.9承包人及其人员在签订和履行本合同中所知悉的发包人商业秘密，应予严格保密。</w:t>
      </w:r>
    </w:p>
    <w:p>
      <w:pPr>
        <w:snapToGrid w:val="0"/>
        <w:spacing w:line="360" w:lineRule="exact"/>
        <w:rPr>
          <w:rFonts w:ascii="宋体" w:hAnsi="宋体" w:cs="宋体"/>
          <w:sz w:val="22"/>
        </w:rPr>
      </w:pPr>
      <w:r>
        <w:rPr>
          <w:rFonts w:hint="eastAsia" w:ascii="宋体" w:hAnsi="宋体" w:cs="宋体"/>
          <w:sz w:val="22"/>
        </w:rPr>
        <w:t>25.10本合同履行期间，对于发包人提出的现场管理整改意见（包括于发包人现场巡查会提出的或是其他另行单独提出的管理和整改意见），承包人应在该等管理整改要求所指定的期限内实际完成整改并向发包人呈报书面的管理整改状况；承包人未能履行本约定且未书面提出令发包人接受的正当理由的，发包人有权比照本合同所约定的履约保证金的部分或全部金额，在当月应付承包人的进度款中予以直接扣减并无须另行支付。</w:t>
      </w:r>
    </w:p>
    <w:p>
      <w:pPr>
        <w:snapToGrid w:val="0"/>
        <w:spacing w:line="360" w:lineRule="exact"/>
        <w:rPr>
          <w:rFonts w:ascii="宋体" w:hAnsi="宋体" w:cs="宋体"/>
          <w:sz w:val="22"/>
        </w:rPr>
      </w:pPr>
      <w:r>
        <w:rPr>
          <w:rFonts w:hint="eastAsia" w:ascii="宋体" w:hAnsi="宋体" w:cs="宋体"/>
          <w:sz w:val="22"/>
        </w:rPr>
        <w:t>25.11双方确认，通用条款第23.4款关于发包人提出索赔的期限要求不被被合同所采纳与适用，发包人的索赔权利不受该等时限的限制。</w:t>
      </w:r>
    </w:p>
    <w:p>
      <w:pPr>
        <w:snapToGrid w:val="0"/>
        <w:spacing w:line="360" w:lineRule="exact"/>
        <w:rPr>
          <w:rFonts w:ascii="宋体" w:hAnsi="宋体" w:cs="宋体"/>
          <w:sz w:val="22"/>
        </w:rPr>
      </w:pPr>
      <w:r>
        <w:rPr>
          <w:rFonts w:hint="eastAsia" w:ascii="宋体" w:hAnsi="宋体" w:cs="宋体"/>
          <w:sz w:val="22"/>
        </w:rPr>
        <w:t>25.12承包人进场后应服从发包人的监督和管理。</w:t>
      </w:r>
    </w:p>
    <w:p>
      <w:pPr>
        <w:snapToGrid w:val="0"/>
        <w:spacing w:line="360" w:lineRule="exact"/>
        <w:rPr>
          <w:rFonts w:ascii="宋体" w:hAnsi="宋体" w:cs="宋体"/>
          <w:sz w:val="22"/>
        </w:rPr>
      </w:pPr>
      <w:r>
        <w:rPr>
          <w:rFonts w:hint="eastAsia" w:ascii="宋体" w:hAnsi="宋体" w:cs="宋体"/>
          <w:sz w:val="22"/>
        </w:rPr>
        <w:t>25.13承包人进场后应签订《工程质量保修书》（附件一）、和《安全文明施工协议书》（附件二），服从发包人的监督和管理。</w:t>
      </w:r>
    </w:p>
    <w:p>
      <w:pPr>
        <w:snapToGrid w:val="0"/>
        <w:spacing w:line="360" w:lineRule="exact"/>
        <w:rPr>
          <w:rFonts w:ascii="宋体" w:hAnsi="宋体" w:cs="宋体"/>
          <w:sz w:val="22"/>
        </w:rPr>
      </w:pPr>
      <w:r>
        <w:rPr>
          <w:rFonts w:hint="eastAsia" w:ascii="宋体" w:hAnsi="宋体" w:cs="宋体"/>
          <w:sz w:val="22"/>
        </w:rPr>
        <w:t>25.14施工及生活用水：承包人施工前需向机场水电管理部门提出申请，由发包人与承包人根据现场施工内容及情况测算合理收费。水费按照自来水公司水价4.4元</w:t>
      </w:r>
      <w:r>
        <w:rPr>
          <w:rFonts w:ascii="宋体" w:hAnsi="宋体" w:cs="宋体"/>
          <w:sz w:val="22"/>
        </w:rPr>
        <w:t>/</w:t>
      </w:r>
      <w:r>
        <w:rPr>
          <w:rFonts w:hint="eastAsia" w:ascii="宋体" w:hAnsi="宋体" w:cs="宋体"/>
          <w:sz w:val="22"/>
        </w:rPr>
        <w:t>吨为基础单价，并在基础单价上加收30%的水费转供设施维护费（加收部分主要是损耗、运行维护、维修费等），如自来水公司水价调整，水费单价也作相应的调整，收取的3</w:t>
      </w:r>
      <w:r>
        <w:rPr>
          <w:rFonts w:ascii="宋体" w:hAnsi="宋体" w:cs="宋体"/>
          <w:sz w:val="22"/>
        </w:rPr>
        <w:t>0</w:t>
      </w:r>
      <w:r>
        <w:rPr>
          <w:rFonts w:hint="eastAsia" w:ascii="宋体" w:hAnsi="宋体" w:cs="宋体"/>
          <w:sz w:val="22"/>
        </w:rPr>
        <w:t>％费率不变，收费单价保留小数点后两位，四舍五入，用水计量以机场水电管理部门计量为准。</w:t>
      </w:r>
    </w:p>
    <w:p>
      <w:pPr>
        <w:snapToGrid w:val="0"/>
        <w:spacing w:line="360" w:lineRule="exact"/>
        <w:rPr>
          <w:rFonts w:ascii="宋体" w:hAnsi="宋体" w:cs="宋体"/>
          <w:sz w:val="22"/>
        </w:rPr>
      </w:pPr>
      <w:r>
        <w:rPr>
          <w:rFonts w:hint="eastAsia" w:ascii="宋体" w:hAnsi="宋体" w:cs="宋体"/>
          <w:sz w:val="22"/>
        </w:rPr>
        <w:t>25.15施工用电：承包人施工前需向机场水电管理部门提出申请，由发包人与承包人根据现场施工内容及情况测算合理收费。电费按照供电局电价0.7126元</w:t>
      </w:r>
      <w:r>
        <w:rPr>
          <w:rFonts w:ascii="宋体" w:hAnsi="宋体" w:cs="宋体"/>
          <w:sz w:val="22"/>
        </w:rPr>
        <w:t>/</w:t>
      </w:r>
      <w:r>
        <w:rPr>
          <w:rFonts w:hint="eastAsia" w:ascii="宋体" w:hAnsi="宋体" w:cs="宋体"/>
          <w:sz w:val="22"/>
        </w:rPr>
        <w:t>度为基础单价，并在基础单价上加收20%电费转供设施维护费（加收部分主要是损耗、运行维护、维修费等），如供电局电价调整，电费单价也作相应的调整，收取的</w:t>
      </w:r>
      <w:r>
        <w:rPr>
          <w:rFonts w:ascii="宋体" w:hAnsi="宋体" w:cs="宋体"/>
          <w:sz w:val="22"/>
        </w:rPr>
        <w:t>20</w:t>
      </w:r>
      <w:r>
        <w:rPr>
          <w:rFonts w:hint="eastAsia" w:ascii="宋体" w:hAnsi="宋体" w:cs="宋体"/>
          <w:sz w:val="22"/>
        </w:rPr>
        <w:t>％费率不变，收费单价保留小数点后两位，四舍五入，用电计量以机场水电管理部门计量为准。</w:t>
      </w:r>
    </w:p>
    <w:p>
      <w:pPr>
        <w:snapToGrid w:val="0"/>
        <w:spacing w:line="360" w:lineRule="exact"/>
        <w:ind w:firstLine="440" w:firstLineChars="200"/>
        <w:rPr>
          <w:rFonts w:ascii="宋体" w:hAnsi="宋体" w:cs="宋体"/>
          <w:sz w:val="22"/>
        </w:rPr>
      </w:pPr>
      <w:r>
        <w:rPr>
          <w:rFonts w:hint="eastAsia" w:ascii="宋体" w:hAnsi="宋体" w:cs="宋体"/>
          <w:sz w:val="22"/>
        </w:rPr>
        <w:t>乙方在收到水电费通知单后7日内按通知单金额支付费用，机场公司在确认收到费用后开具增值税专用发票。乙方未能如期交缴的，机场公司有权按费用通知单规定要求乙方承担违约责任。机场公司缴款信息，户名：杭州萧山国际机场有限公司；开户行：建行杭州航空港支行；账号： 33001616181050000161。</w:t>
      </w:r>
    </w:p>
    <w:p>
      <w:pPr>
        <w:snapToGrid w:val="0"/>
        <w:spacing w:line="360" w:lineRule="exact"/>
        <w:rPr>
          <w:rFonts w:ascii="宋体" w:hAnsi="宋体" w:cs="宋体"/>
          <w:sz w:val="22"/>
        </w:rPr>
      </w:pPr>
      <w:r>
        <w:rPr>
          <w:rFonts w:hint="eastAsia" w:ascii="宋体" w:hAnsi="宋体" w:cs="宋体"/>
          <w:sz w:val="22"/>
        </w:rPr>
        <w:t>25.16合同份数：一式陆份，甲方执肆份，乙方执贰份，同等有效。</w:t>
      </w:r>
    </w:p>
    <w:p>
      <w:pPr>
        <w:snapToGrid w:val="0"/>
        <w:spacing w:line="360" w:lineRule="exact"/>
        <w:rPr>
          <w:rFonts w:ascii="宋体" w:hAnsi="宋体" w:cs="宋体"/>
          <w:sz w:val="22"/>
        </w:rPr>
      </w:pPr>
      <w:r>
        <w:rPr>
          <w:rFonts w:hint="eastAsia" w:ascii="宋体" w:hAnsi="宋体" w:cs="宋体"/>
          <w:sz w:val="22"/>
        </w:rPr>
        <w:t>25.17附件：</w:t>
      </w:r>
    </w:p>
    <w:p>
      <w:pPr>
        <w:snapToGrid w:val="0"/>
        <w:spacing w:line="360" w:lineRule="exact"/>
        <w:ind w:firstLine="440" w:firstLineChars="200"/>
        <w:rPr>
          <w:rFonts w:ascii="宋体" w:hAnsi="宋体" w:cs="宋体"/>
          <w:sz w:val="22"/>
        </w:rPr>
      </w:pPr>
      <w:r>
        <w:rPr>
          <w:rFonts w:hint="eastAsia" w:ascii="宋体" w:hAnsi="宋体" w:cs="宋体"/>
          <w:sz w:val="22"/>
        </w:rPr>
        <w:t xml:space="preserve">附件一：工程质量保修书 </w:t>
      </w:r>
    </w:p>
    <w:p>
      <w:pPr>
        <w:snapToGrid w:val="0"/>
        <w:spacing w:line="360" w:lineRule="exact"/>
        <w:ind w:firstLine="440" w:firstLineChars="200"/>
        <w:rPr>
          <w:rFonts w:ascii="宋体" w:hAnsi="宋体" w:cs="宋体"/>
          <w:sz w:val="22"/>
        </w:rPr>
      </w:pPr>
      <w:r>
        <w:rPr>
          <w:rFonts w:hint="eastAsia" w:ascii="宋体" w:hAnsi="宋体" w:cs="宋体"/>
          <w:sz w:val="22"/>
        </w:rPr>
        <w:t>附件二：安全文明施工协议书</w:t>
      </w:r>
    </w:p>
    <w:p>
      <w:pPr>
        <w:snapToGrid w:val="0"/>
        <w:spacing w:line="360" w:lineRule="exact"/>
        <w:ind w:firstLine="440" w:firstLineChars="200"/>
        <w:rPr>
          <w:rFonts w:ascii="宋体" w:hAnsi="宋体" w:cs="宋体"/>
          <w:sz w:val="22"/>
        </w:rPr>
      </w:pPr>
      <w:r>
        <w:rPr>
          <w:rFonts w:hint="eastAsia" w:ascii="宋体" w:hAnsi="宋体" w:cs="宋体"/>
          <w:sz w:val="22"/>
        </w:rPr>
        <w:t>附件三：廉洁自律承诺书</w:t>
      </w:r>
    </w:p>
    <w:p>
      <w:pPr>
        <w:tabs>
          <w:tab w:val="left" w:pos="540"/>
        </w:tabs>
        <w:topLinePunct/>
        <w:rPr>
          <w:rFonts w:ascii="宋体" w:hAnsi="宋体" w:cs="宋体"/>
        </w:rPr>
      </w:pPr>
      <w:r>
        <w:rPr>
          <w:rFonts w:hint="eastAsia" w:ascii="宋体" w:hAnsi="宋体" w:cs="宋体"/>
        </w:rPr>
        <w:br w:type="page"/>
      </w:r>
      <w:r>
        <w:rPr>
          <w:rFonts w:hint="eastAsia" w:ascii="宋体" w:hAnsi="宋体" w:cs="宋体"/>
        </w:rPr>
        <w:t>附件一</w:t>
      </w:r>
    </w:p>
    <w:p>
      <w:pPr>
        <w:tabs>
          <w:tab w:val="left" w:pos="540"/>
        </w:tabs>
        <w:topLinePunct/>
        <w:ind w:firstLine="723"/>
        <w:jc w:val="center"/>
        <w:rPr>
          <w:rFonts w:ascii="宋体" w:hAnsi="宋体" w:cs="宋体"/>
          <w:b/>
          <w:sz w:val="36"/>
        </w:rPr>
      </w:pPr>
      <w:r>
        <w:rPr>
          <w:rFonts w:hint="eastAsia" w:ascii="宋体" w:hAnsi="宋体" w:cs="宋体"/>
          <w:b/>
          <w:sz w:val="36"/>
        </w:rPr>
        <w:t>工程质量保修书</w:t>
      </w:r>
    </w:p>
    <w:p>
      <w:pPr>
        <w:spacing w:line="340" w:lineRule="exact"/>
        <w:rPr>
          <w:rFonts w:ascii="宋体" w:hAnsi="宋体" w:cs="宋体"/>
          <w:sz w:val="22"/>
        </w:rPr>
      </w:pPr>
      <w:r>
        <w:rPr>
          <w:rFonts w:hint="eastAsia" w:ascii="宋体" w:hAnsi="宋体" w:cs="宋体"/>
          <w:sz w:val="22"/>
        </w:rPr>
        <w:t xml:space="preserve">发包人（全称）：                      </w:t>
      </w:r>
    </w:p>
    <w:p>
      <w:pPr>
        <w:spacing w:line="340" w:lineRule="exact"/>
        <w:rPr>
          <w:rFonts w:ascii="宋体" w:hAnsi="宋体" w:cs="宋体"/>
          <w:sz w:val="22"/>
        </w:rPr>
      </w:pPr>
      <w:r>
        <w:rPr>
          <w:rFonts w:hint="eastAsia" w:ascii="宋体" w:hAnsi="宋体" w:cs="宋体"/>
          <w:sz w:val="22"/>
        </w:rPr>
        <w:t xml:space="preserve">承包人（全称）：                                 </w:t>
      </w:r>
    </w:p>
    <w:p>
      <w:pPr>
        <w:spacing w:line="340" w:lineRule="exact"/>
        <w:rPr>
          <w:rFonts w:ascii="宋体" w:hAnsi="宋体" w:cs="宋体"/>
          <w:sz w:val="22"/>
        </w:rPr>
      </w:pPr>
      <w:r>
        <w:rPr>
          <w:rFonts w:hint="eastAsia" w:ascii="宋体" w:hAnsi="宋体" w:cs="宋体"/>
          <w:sz w:val="22"/>
        </w:rPr>
        <w:t xml:space="preserve">    发包人和承包人根据《中华人民共和国建筑法》和《建设工程质量管理条例》，经协商一致就</w:t>
      </w:r>
      <w:r>
        <w:rPr>
          <w:rFonts w:hint="eastAsia" w:ascii="宋体" w:hAnsi="宋体" w:cs="宋体"/>
          <w:b/>
          <w:sz w:val="22"/>
          <w:u w:val="single"/>
        </w:rPr>
        <w:t>药品仓储基地3#库屋面维修项目工程</w:t>
      </w:r>
      <w:r>
        <w:rPr>
          <w:rFonts w:hint="eastAsia" w:ascii="宋体" w:hAnsi="宋体" w:cs="宋体"/>
          <w:sz w:val="22"/>
        </w:rPr>
        <w:t>（工程全称）签订工程质量保修书。</w:t>
      </w:r>
    </w:p>
    <w:p>
      <w:pPr>
        <w:spacing w:line="340" w:lineRule="exact"/>
        <w:rPr>
          <w:rFonts w:ascii="宋体" w:hAnsi="宋体" w:cs="宋体"/>
          <w:sz w:val="22"/>
        </w:rPr>
      </w:pPr>
      <w:r>
        <w:rPr>
          <w:rFonts w:hint="eastAsia" w:ascii="宋体" w:hAnsi="宋体" w:cs="宋体"/>
          <w:sz w:val="22"/>
        </w:rPr>
        <w:t>　　一、工程质量保修范围和内容</w:t>
      </w:r>
    </w:p>
    <w:p>
      <w:pPr>
        <w:spacing w:line="340" w:lineRule="exact"/>
        <w:rPr>
          <w:rFonts w:ascii="宋体" w:hAnsi="宋体" w:cs="宋体"/>
          <w:sz w:val="22"/>
        </w:rPr>
      </w:pPr>
      <w:r>
        <w:rPr>
          <w:rFonts w:hint="eastAsia" w:ascii="宋体" w:hAnsi="宋体" w:cs="宋体"/>
          <w:sz w:val="22"/>
        </w:rPr>
        <w:t>　　承包人在缺陷责任期内，按照有关法律规定和合同约定，承担工程质量保修责任。</w:t>
      </w:r>
    </w:p>
    <w:p>
      <w:pPr>
        <w:spacing w:line="340" w:lineRule="exact"/>
        <w:ind w:firstLine="420"/>
        <w:rPr>
          <w:rFonts w:ascii="宋体" w:hAnsi="宋体" w:cs="宋体"/>
          <w:sz w:val="22"/>
        </w:rPr>
      </w:pPr>
      <w:r>
        <w:rPr>
          <w:rFonts w:hint="eastAsia" w:ascii="宋体" w:hAnsi="宋体" w:cs="宋体"/>
          <w:sz w:val="22"/>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为</w:t>
      </w:r>
      <w:r>
        <w:rPr>
          <w:rFonts w:hint="eastAsia" w:ascii="宋体" w:hAnsi="宋体" w:cs="宋体"/>
          <w:b/>
          <w:sz w:val="22"/>
          <w:u w:val="single"/>
        </w:rPr>
        <w:t>药品仓储基地3#库屋面维修项目</w:t>
      </w:r>
      <w:r>
        <w:rPr>
          <w:rFonts w:hint="eastAsia" w:ascii="宋体" w:hAnsi="宋体" w:cs="宋体"/>
          <w:sz w:val="22"/>
        </w:rPr>
        <w:t>施工图纸所示内容。</w:t>
      </w:r>
    </w:p>
    <w:p>
      <w:pPr>
        <w:spacing w:line="340" w:lineRule="exact"/>
        <w:rPr>
          <w:rFonts w:ascii="宋体" w:hAnsi="宋体" w:cs="宋体"/>
          <w:sz w:val="22"/>
        </w:rPr>
      </w:pPr>
      <w:r>
        <w:rPr>
          <w:rFonts w:hint="eastAsia" w:ascii="宋体" w:hAnsi="宋体" w:cs="宋体"/>
          <w:b/>
          <w:sz w:val="22"/>
        </w:rPr>
        <w:t>　　</w:t>
      </w:r>
      <w:r>
        <w:rPr>
          <w:rFonts w:hint="eastAsia" w:ascii="宋体" w:hAnsi="宋体" w:cs="宋体"/>
          <w:sz w:val="22"/>
        </w:rPr>
        <w:t>二、质量保修期</w:t>
      </w:r>
    </w:p>
    <w:p>
      <w:pPr>
        <w:spacing w:line="340" w:lineRule="exact"/>
        <w:ind w:firstLine="440" w:firstLineChars="200"/>
        <w:rPr>
          <w:rFonts w:ascii="宋体" w:hAnsi="宋体" w:cs="宋体"/>
          <w:sz w:val="22"/>
        </w:rPr>
      </w:pPr>
      <w:r>
        <w:rPr>
          <w:rFonts w:hint="eastAsia" w:ascii="宋体" w:hAnsi="宋体" w:cs="宋体"/>
          <w:sz w:val="22"/>
        </w:rPr>
        <w:t>根据《建设工程质量管理条例》及有关规定，工程的质量保修期如下：按国家有关规定。</w:t>
      </w:r>
    </w:p>
    <w:p>
      <w:pPr>
        <w:spacing w:line="340" w:lineRule="exact"/>
        <w:rPr>
          <w:rFonts w:ascii="宋体" w:hAnsi="宋体" w:cs="宋体"/>
          <w:sz w:val="22"/>
        </w:rPr>
      </w:pPr>
      <w:r>
        <w:rPr>
          <w:rFonts w:hint="eastAsia" w:ascii="宋体" w:hAnsi="宋体" w:cs="宋体"/>
          <w:sz w:val="22"/>
        </w:rPr>
        <w:t>　　质量保修期自工程竣工验收合格之日起计算。</w:t>
      </w:r>
    </w:p>
    <w:p>
      <w:pPr>
        <w:spacing w:line="340" w:lineRule="exact"/>
        <w:ind w:firstLine="440" w:firstLineChars="200"/>
        <w:rPr>
          <w:rFonts w:ascii="宋体" w:hAnsi="宋体" w:cs="宋体"/>
          <w:sz w:val="22"/>
        </w:rPr>
      </w:pPr>
      <w:r>
        <w:rPr>
          <w:rFonts w:hint="eastAsia" w:ascii="宋体" w:hAnsi="宋体" w:cs="宋体"/>
          <w:sz w:val="22"/>
        </w:rPr>
        <w:t>三、缺陷责任期</w:t>
      </w:r>
    </w:p>
    <w:p>
      <w:pPr>
        <w:spacing w:line="340" w:lineRule="exact"/>
        <w:ind w:firstLine="440" w:firstLineChars="200"/>
        <w:rPr>
          <w:rFonts w:ascii="宋体" w:hAnsi="宋体" w:cs="宋体"/>
          <w:sz w:val="22"/>
        </w:rPr>
      </w:pPr>
      <w:r>
        <w:rPr>
          <w:rFonts w:hint="eastAsia" w:ascii="宋体" w:hAnsi="宋体" w:cs="宋体"/>
          <w:sz w:val="22"/>
        </w:rPr>
        <w:t>工程缺陷责任期为</w:t>
      </w:r>
      <w:r>
        <w:rPr>
          <w:rFonts w:hint="eastAsia" w:ascii="宋体" w:hAnsi="宋体" w:cs="宋体"/>
          <w:sz w:val="22"/>
          <w:u w:val="single"/>
        </w:rPr>
        <w:t>24</w:t>
      </w:r>
      <w:r>
        <w:rPr>
          <w:rFonts w:hint="eastAsia" w:ascii="宋体" w:hAnsi="宋体" w:cs="宋体"/>
          <w:color w:val="FF0000"/>
          <w:sz w:val="22"/>
          <w:u w:val="single"/>
        </w:rPr>
        <w:t xml:space="preserve"> </w:t>
      </w:r>
      <w:r>
        <w:rPr>
          <w:rFonts w:hint="eastAsia" w:ascii="宋体" w:hAnsi="宋体" w:cs="宋体"/>
          <w:sz w:val="22"/>
        </w:rPr>
        <w:t>个月，缺陷责任期自工程竣工验收合格之日起计算。单位工程先于全部工程进行验收，单位工程缺陷责任期自单位工程验收合格之日起算。</w:t>
      </w:r>
    </w:p>
    <w:p>
      <w:pPr>
        <w:spacing w:line="340" w:lineRule="exact"/>
        <w:ind w:firstLine="440" w:firstLineChars="200"/>
        <w:rPr>
          <w:rFonts w:ascii="宋体" w:hAnsi="宋体" w:cs="宋体"/>
          <w:sz w:val="22"/>
        </w:rPr>
      </w:pPr>
      <w:r>
        <w:rPr>
          <w:rFonts w:hint="eastAsia" w:ascii="宋体" w:hAnsi="宋体" w:cs="宋体"/>
          <w:sz w:val="22"/>
        </w:rPr>
        <w:t>缺陷责任期终止后，发包人应退还剩余的质量保证金。</w:t>
      </w:r>
    </w:p>
    <w:p>
      <w:pPr>
        <w:spacing w:line="340" w:lineRule="exact"/>
        <w:rPr>
          <w:rFonts w:ascii="宋体" w:hAnsi="宋体" w:cs="宋体"/>
          <w:sz w:val="22"/>
        </w:rPr>
      </w:pPr>
      <w:r>
        <w:rPr>
          <w:rFonts w:hint="eastAsia" w:ascii="宋体" w:hAnsi="宋体" w:cs="宋体"/>
          <w:sz w:val="22"/>
        </w:rPr>
        <w:t xml:space="preserve">    四、质量保修责任</w:t>
      </w:r>
    </w:p>
    <w:p>
      <w:pPr>
        <w:spacing w:line="340" w:lineRule="exact"/>
        <w:ind w:firstLine="440" w:firstLineChars="200"/>
        <w:rPr>
          <w:rFonts w:ascii="宋体" w:hAnsi="宋体" w:cs="宋体"/>
          <w:sz w:val="22"/>
        </w:rPr>
      </w:pPr>
      <w:r>
        <w:rPr>
          <w:rFonts w:hint="eastAsia" w:ascii="宋体" w:hAnsi="宋体" w:cs="宋体"/>
          <w:sz w:val="22"/>
        </w:rPr>
        <w:t>1．属于保修范围、内容的项目，承包人应当在接到保修通知之日起2天内派人保修。承包人不在约定期限内派人保修的，发包人可以自行委托他人修理。费用从质量保证金中扣除。修复部分的质保期自修复之日起重新开始计算。</w:t>
      </w:r>
    </w:p>
    <w:p>
      <w:pPr>
        <w:spacing w:line="340" w:lineRule="exact"/>
        <w:ind w:firstLine="440" w:firstLineChars="200"/>
        <w:rPr>
          <w:rFonts w:ascii="宋体" w:hAnsi="宋体" w:cs="宋体"/>
          <w:sz w:val="22"/>
        </w:rPr>
      </w:pPr>
      <w:r>
        <w:rPr>
          <w:rFonts w:hint="eastAsia" w:ascii="宋体" w:hAnsi="宋体" w:cs="宋体"/>
          <w:sz w:val="22"/>
        </w:rPr>
        <w:t>2．发生紧急事故需抢修的，承包人在接到事故通知后，应当立即到达事故现场进行持续抢修直至修复。</w:t>
      </w:r>
    </w:p>
    <w:p>
      <w:pPr>
        <w:spacing w:line="340" w:lineRule="exact"/>
        <w:ind w:firstLine="440" w:firstLineChars="200"/>
        <w:rPr>
          <w:rFonts w:ascii="宋体" w:hAnsi="宋体" w:cs="宋体"/>
          <w:sz w:val="22"/>
        </w:rPr>
      </w:pPr>
      <w:r>
        <w:rPr>
          <w:rFonts w:hint="eastAsia" w:ascii="宋体" w:hAnsi="宋体" w:cs="宋体"/>
          <w:sz w:val="22"/>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40" w:lineRule="exact"/>
        <w:ind w:firstLine="440" w:firstLineChars="200"/>
        <w:rPr>
          <w:rFonts w:ascii="宋体" w:hAnsi="宋体" w:cs="宋体"/>
          <w:sz w:val="22"/>
        </w:rPr>
      </w:pPr>
      <w:r>
        <w:rPr>
          <w:rFonts w:hint="eastAsia" w:ascii="宋体" w:hAnsi="宋体" w:cs="宋体"/>
          <w:sz w:val="22"/>
        </w:rPr>
        <w:t>4．质量保修完成后，由发包人组织验收。验收不合格的，发包人有权自行委托第三方修理，全部费用由承包人承担，由发包人与第三方确认后直接从质保金中扣除。</w:t>
      </w:r>
    </w:p>
    <w:p>
      <w:pPr>
        <w:spacing w:line="340" w:lineRule="exact"/>
        <w:rPr>
          <w:rFonts w:ascii="宋体" w:hAnsi="宋体" w:cs="宋体"/>
          <w:sz w:val="22"/>
        </w:rPr>
      </w:pPr>
      <w:r>
        <w:rPr>
          <w:rFonts w:hint="eastAsia" w:ascii="宋体" w:hAnsi="宋体" w:cs="宋体"/>
          <w:sz w:val="22"/>
        </w:rPr>
        <w:t>　　五、保修费用</w:t>
      </w:r>
    </w:p>
    <w:p>
      <w:pPr>
        <w:spacing w:line="340" w:lineRule="exact"/>
        <w:rPr>
          <w:rFonts w:ascii="宋体" w:hAnsi="宋体" w:cs="宋体"/>
          <w:sz w:val="22"/>
        </w:rPr>
      </w:pPr>
      <w:r>
        <w:rPr>
          <w:rFonts w:hint="eastAsia" w:ascii="宋体" w:hAnsi="宋体" w:cs="宋体"/>
          <w:sz w:val="22"/>
        </w:rPr>
        <w:t>　　保修费用由造成质量缺陷的责任方承担；对责任方的确定产生疑问或争议的，依发包人委托的鉴定机构所出具的独立报告来确定。</w:t>
      </w:r>
    </w:p>
    <w:p>
      <w:pPr>
        <w:spacing w:line="340" w:lineRule="exact"/>
        <w:ind w:firstLine="440" w:firstLineChars="200"/>
        <w:rPr>
          <w:rFonts w:ascii="宋体" w:hAnsi="宋体" w:cs="宋体"/>
          <w:sz w:val="22"/>
        </w:rPr>
      </w:pPr>
      <w:r>
        <w:rPr>
          <w:rFonts w:hint="eastAsia" w:ascii="宋体" w:hAnsi="宋体" w:cs="宋体"/>
          <w:sz w:val="22"/>
        </w:rPr>
        <w:t xml:space="preserve">六、双方约定的其他工程质量保修事项： </w:t>
      </w:r>
    </w:p>
    <w:p>
      <w:pPr>
        <w:spacing w:line="340" w:lineRule="exact"/>
        <w:ind w:firstLine="440" w:firstLineChars="200"/>
        <w:rPr>
          <w:rFonts w:ascii="宋体" w:hAnsi="宋体" w:cs="宋体"/>
          <w:sz w:val="22"/>
        </w:rPr>
      </w:pPr>
      <w:r>
        <w:rPr>
          <w:rFonts w:hint="eastAsia" w:ascii="宋体" w:hAnsi="宋体" w:cs="宋体"/>
          <w:sz w:val="22"/>
        </w:rPr>
        <w:t>6.1质量保证金的返还：支付款项时扣除应由承包人承担的保修费用后，在缺陷责任期满后的56天内归还（不计利息）。</w:t>
      </w:r>
    </w:p>
    <w:p>
      <w:pPr>
        <w:spacing w:line="340" w:lineRule="exact"/>
        <w:ind w:firstLine="440" w:firstLineChars="200"/>
        <w:rPr>
          <w:rFonts w:ascii="宋体" w:hAnsi="宋体" w:cs="宋体"/>
          <w:sz w:val="22"/>
        </w:rPr>
      </w:pPr>
      <w:r>
        <w:rPr>
          <w:rFonts w:hint="eastAsia" w:ascii="宋体" w:hAnsi="宋体" w:cs="宋体"/>
          <w:sz w:val="22"/>
        </w:rPr>
        <w:t>6.2本工程质量保修书，由施工合同发包人、承包人双方在本合同签订时共同盖章后生效，作为施工合同附件，其有效期限至保修期满。</w:t>
      </w:r>
    </w:p>
    <w:p>
      <w:pPr>
        <w:spacing w:line="340" w:lineRule="exact"/>
        <w:ind w:firstLine="440" w:firstLineChars="200"/>
        <w:rPr>
          <w:rFonts w:ascii="宋体" w:hAnsi="宋体" w:cs="宋体"/>
          <w:sz w:val="22"/>
        </w:rPr>
      </w:pPr>
    </w:p>
    <w:p>
      <w:pPr>
        <w:spacing w:line="340" w:lineRule="exact"/>
        <w:ind w:firstLine="420"/>
        <w:rPr>
          <w:rFonts w:ascii="宋体" w:hAnsi="宋体" w:cs="宋体"/>
          <w:sz w:val="22"/>
        </w:rPr>
      </w:pPr>
      <w:r>
        <w:rPr>
          <w:rFonts w:hint="eastAsia" w:ascii="宋体" w:hAnsi="宋体" w:cs="宋体"/>
          <w:sz w:val="22"/>
        </w:rPr>
        <w:t xml:space="preserve">发    包    人（公章）：             </w:t>
      </w:r>
      <w:r>
        <w:rPr>
          <w:rFonts w:hint="eastAsia" w:ascii="宋体" w:hAnsi="宋体" w:cs="宋体"/>
          <w:sz w:val="22"/>
        </w:rPr>
        <w:tab/>
      </w:r>
      <w:r>
        <w:rPr>
          <w:rFonts w:hint="eastAsia" w:ascii="宋体" w:hAnsi="宋体" w:cs="宋体"/>
          <w:sz w:val="22"/>
        </w:rPr>
        <w:t>承    包    人（公章）：</w:t>
      </w:r>
    </w:p>
    <w:p>
      <w:pPr>
        <w:spacing w:line="340" w:lineRule="exact"/>
        <w:rPr>
          <w:rFonts w:ascii="宋体" w:hAnsi="宋体" w:cs="宋体"/>
        </w:rPr>
      </w:pPr>
      <w:r>
        <w:rPr>
          <w:rFonts w:hint="eastAsia" w:ascii="宋体" w:hAnsi="宋体" w:cs="宋体"/>
        </w:rPr>
        <w:br w:type="page"/>
      </w:r>
      <w:r>
        <w:rPr>
          <w:rFonts w:hint="eastAsia" w:ascii="宋体" w:hAnsi="宋体" w:cs="宋体"/>
        </w:rPr>
        <w:t>附件二：</w:t>
      </w:r>
    </w:p>
    <w:p>
      <w:pPr>
        <w:tabs>
          <w:tab w:val="left" w:pos="540"/>
        </w:tabs>
        <w:topLinePunct/>
        <w:ind w:firstLine="723"/>
        <w:jc w:val="center"/>
        <w:rPr>
          <w:rFonts w:ascii="宋体" w:hAnsi="宋体" w:cs="宋体"/>
          <w:b/>
          <w:sz w:val="36"/>
        </w:rPr>
      </w:pPr>
      <w:r>
        <w:rPr>
          <w:rFonts w:hint="eastAsia" w:ascii="宋体" w:hAnsi="宋体" w:cs="宋体"/>
          <w:b/>
          <w:sz w:val="36"/>
        </w:rPr>
        <w:t>安全文明施工协议书</w:t>
      </w:r>
    </w:p>
    <w:p>
      <w:pPr>
        <w:spacing w:line="360" w:lineRule="exact"/>
        <w:rPr>
          <w:rFonts w:asciiTheme="minorEastAsia" w:hAnsiTheme="minorEastAsia"/>
          <w:b/>
          <w:sz w:val="22"/>
        </w:rPr>
      </w:pPr>
      <w:r>
        <w:rPr>
          <w:rFonts w:hint="eastAsia" w:asciiTheme="minorEastAsia" w:hAnsiTheme="minorEastAsia"/>
          <w:b/>
          <w:sz w:val="22"/>
        </w:rPr>
        <w:t>发包人（甲方）：浙江航空开发有限责任公司</w:t>
      </w:r>
    </w:p>
    <w:p>
      <w:pPr>
        <w:spacing w:line="360" w:lineRule="exact"/>
        <w:rPr>
          <w:rFonts w:asciiTheme="minorEastAsia" w:hAnsiTheme="minorEastAsia"/>
          <w:b/>
          <w:sz w:val="22"/>
          <w:u w:val="single"/>
        </w:rPr>
      </w:pPr>
      <w:r>
        <w:rPr>
          <w:rFonts w:hint="eastAsia" w:asciiTheme="minorEastAsia" w:hAnsiTheme="minorEastAsia"/>
          <w:b/>
          <w:sz w:val="22"/>
        </w:rPr>
        <w:t>承包人（乙方）：</w:t>
      </w:r>
    </w:p>
    <w:p>
      <w:pPr>
        <w:spacing w:line="360" w:lineRule="exact"/>
        <w:ind w:firstLine="440" w:firstLineChars="200"/>
        <w:rPr>
          <w:rFonts w:asciiTheme="minorEastAsia" w:hAnsiTheme="minorEastAsia"/>
          <w:sz w:val="22"/>
        </w:rPr>
      </w:pPr>
      <w:r>
        <w:rPr>
          <w:rFonts w:asciiTheme="minorEastAsia" w:hAnsiTheme="minorEastAsia"/>
          <w:sz w:val="22"/>
        </w:rPr>
        <w:t>为确保</w:t>
      </w:r>
      <w:r>
        <w:rPr>
          <w:rFonts w:hint="eastAsia" w:asciiTheme="minorEastAsia" w:hAnsiTheme="minorEastAsia"/>
          <w:sz w:val="22"/>
          <w:u w:val="single"/>
        </w:rPr>
        <w:t xml:space="preserve">  药品仓储基地3#库屋面维修项目   </w:t>
      </w:r>
      <w:r>
        <w:rPr>
          <w:rFonts w:hint="eastAsia" w:asciiTheme="minorEastAsia" w:hAnsiTheme="minorEastAsia"/>
          <w:b/>
          <w:sz w:val="22"/>
        </w:rPr>
        <w:t>工程</w:t>
      </w:r>
      <w:r>
        <w:rPr>
          <w:rFonts w:asciiTheme="minorEastAsia" w:hAnsiTheme="minorEastAsia"/>
          <w:sz w:val="22"/>
        </w:rPr>
        <w:t xml:space="preserve">的顺利实施，保障机场安全、有序运行，保证工程质量和施工安全，保护国家财产和施工人员的安全与健康，维护甲乙双方的合法利益，明确双方责任，保持良好的施工、生活秩序和饮食、环境卫生。根据国家现行的有关法律、法规和安全生产规范、规程及标准，经双方协商，签订本《安全文明施工协议书》。 </w:t>
      </w:r>
    </w:p>
    <w:p>
      <w:pPr>
        <w:spacing w:line="360" w:lineRule="exact"/>
        <w:ind w:firstLine="442" w:firstLineChars="200"/>
        <w:rPr>
          <w:rFonts w:asciiTheme="minorEastAsia" w:hAnsiTheme="minorEastAsia"/>
          <w:bCs/>
          <w:sz w:val="22"/>
        </w:rPr>
      </w:pPr>
      <w:r>
        <w:rPr>
          <w:rFonts w:asciiTheme="minorEastAsia" w:hAnsiTheme="minorEastAsia"/>
          <w:b/>
          <w:sz w:val="22"/>
        </w:rPr>
        <w:t>一、甲方对乙方实行安全目标管理，安全目标的具体内容是</w:t>
      </w:r>
      <w:r>
        <w:rPr>
          <w:rFonts w:asciiTheme="minorEastAsia" w:hAnsiTheme="minorEastAsia"/>
          <w:sz w:val="22"/>
        </w:rPr>
        <w:t>：</w:t>
      </w:r>
    </w:p>
    <w:p>
      <w:pPr>
        <w:spacing w:line="360" w:lineRule="exact"/>
        <w:ind w:firstLine="440" w:firstLineChars="200"/>
        <w:rPr>
          <w:rFonts w:asciiTheme="minorEastAsia" w:hAnsiTheme="minorEastAsia"/>
          <w:sz w:val="22"/>
        </w:rPr>
      </w:pPr>
      <w:r>
        <w:rPr>
          <w:rFonts w:asciiTheme="minorEastAsia" w:hAnsiTheme="minorEastAsia"/>
          <w:sz w:val="22"/>
        </w:rPr>
        <w:t>1、无死亡事故和重大伤害事故(含道路交通事故)。</w:t>
      </w:r>
    </w:p>
    <w:p>
      <w:pPr>
        <w:spacing w:line="360" w:lineRule="exact"/>
        <w:ind w:firstLine="440" w:firstLineChars="200"/>
        <w:rPr>
          <w:rFonts w:asciiTheme="minorEastAsia" w:hAnsiTheme="minorEastAsia"/>
          <w:sz w:val="22"/>
        </w:rPr>
      </w:pPr>
      <w:r>
        <w:rPr>
          <w:rFonts w:asciiTheme="minorEastAsia" w:hAnsiTheme="minorEastAsia"/>
          <w:sz w:val="22"/>
        </w:rPr>
        <w:t>2、无重大责任事故。</w:t>
      </w:r>
    </w:p>
    <w:p>
      <w:pPr>
        <w:spacing w:line="360" w:lineRule="exact"/>
        <w:ind w:firstLine="440" w:firstLineChars="200"/>
        <w:rPr>
          <w:rFonts w:asciiTheme="minorEastAsia" w:hAnsiTheme="minorEastAsia"/>
          <w:sz w:val="22"/>
        </w:rPr>
      </w:pPr>
      <w:r>
        <w:rPr>
          <w:rFonts w:asciiTheme="minorEastAsia" w:hAnsiTheme="minorEastAsia"/>
          <w:sz w:val="22"/>
        </w:rPr>
        <w:t>3、无空防安全事故。</w:t>
      </w:r>
    </w:p>
    <w:p>
      <w:pPr>
        <w:spacing w:line="360" w:lineRule="exact"/>
        <w:ind w:firstLine="440" w:firstLineChars="200"/>
        <w:rPr>
          <w:rFonts w:asciiTheme="minorEastAsia" w:hAnsiTheme="minorEastAsia"/>
          <w:sz w:val="22"/>
        </w:rPr>
      </w:pPr>
      <w:r>
        <w:rPr>
          <w:rFonts w:asciiTheme="minorEastAsia" w:hAnsiTheme="minorEastAsia"/>
          <w:sz w:val="22"/>
        </w:rPr>
        <w:t>4、无七类重大刑事案件(杀人、绑架、强奸、放火、爆炸、劫持、故意伤害致死)及其它严重、恶性案件。</w:t>
      </w:r>
    </w:p>
    <w:p>
      <w:pPr>
        <w:spacing w:line="360" w:lineRule="exact"/>
        <w:ind w:firstLine="440" w:firstLineChars="200"/>
        <w:rPr>
          <w:rFonts w:asciiTheme="minorEastAsia" w:hAnsiTheme="minorEastAsia"/>
          <w:sz w:val="22"/>
        </w:rPr>
      </w:pPr>
      <w:r>
        <w:rPr>
          <w:rFonts w:asciiTheme="minorEastAsia" w:hAnsiTheme="minorEastAsia"/>
          <w:sz w:val="22"/>
        </w:rPr>
        <w:t>上述情况的认定按国家和行业的有关规定和标准执行。</w:t>
      </w:r>
    </w:p>
    <w:p>
      <w:pPr>
        <w:spacing w:line="360" w:lineRule="exact"/>
        <w:ind w:firstLine="442" w:firstLineChars="200"/>
        <w:rPr>
          <w:rFonts w:asciiTheme="minorEastAsia" w:hAnsiTheme="minorEastAsia"/>
          <w:b/>
          <w:sz w:val="22"/>
        </w:rPr>
      </w:pPr>
      <w:r>
        <w:rPr>
          <w:rFonts w:asciiTheme="minorEastAsia" w:hAnsiTheme="minorEastAsia"/>
          <w:b/>
          <w:sz w:val="22"/>
        </w:rPr>
        <w:t>二、甲方的协助责任和权利</w:t>
      </w:r>
    </w:p>
    <w:p>
      <w:pPr>
        <w:spacing w:line="360" w:lineRule="exact"/>
        <w:ind w:firstLine="440" w:firstLineChars="200"/>
        <w:rPr>
          <w:rFonts w:asciiTheme="minorEastAsia" w:hAnsiTheme="minorEastAsia"/>
          <w:sz w:val="22"/>
        </w:rPr>
      </w:pPr>
      <w:r>
        <w:rPr>
          <w:rFonts w:asciiTheme="minorEastAsia" w:hAnsiTheme="minorEastAsia"/>
          <w:sz w:val="22"/>
        </w:rPr>
        <w:t xml:space="preserve">5、不得对乙方提出违反国家法律、法规和强制性标准规定的要求。 </w:t>
      </w:r>
    </w:p>
    <w:p>
      <w:pPr>
        <w:spacing w:line="360" w:lineRule="exact"/>
        <w:ind w:firstLine="440" w:firstLineChars="200"/>
        <w:rPr>
          <w:rFonts w:asciiTheme="minorEastAsia" w:hAnsiTheme="minorEastAsia"/>
          <w:sz w:val="22"/>
        </w:rPr>
      </w:pPr>
      <w:r>
        <w:rPr>
          <w:rFonts w:asciiTheme="minorEastAsia" w:hAnsiTheme="minorEastAsia"/>
          <w:sz w:val="22"/>
        </w:rPr>
        <w:t xml:space="preserve">6、不得要求乙方购买、租赁、使用不符合安全施工要求的安全防护用具、机械设备、施工机具及配件、消防设施和器材等。 </w:t>
      </w:r>
    </w:p>
    <w:p>
      <w:pPr>
        <w:spacing w:line="360" w:lineRule="exact"/>
        <w:ind w:firstLine="440" w:firstLineChars="200"/>
        <w:rPr>
          <w:rFonts w:asciiTheme="minorEastAsia" w:hAnsiTheme="minorEastAsia"/>
          <w:sz w:val="22"/>
        </w:rPr>
      </w:pPr>
      <w:r>
        <w:rPr>
          <w:rFonts w:asciiTheme="minorEastAsia" w:hAnsiTheme="minorEastAsia"/>
          <w:sz w:val="22"/>
        </w:rPr>
        <w:t>7、由于民航行业的特殊性和空防安全的重要性，甲方对进出飞行区施工的人员和车辆实行通行证管理制度。为此，乙方成员必须参加甲方组织的专门安全教育培训和考试（主要是机场飞行、空防、不停航施工等安全方面知识）；同时甲方应协助乙方对全体施工人员进行安全教育培训和考核，并协助乙方办理相关人员和车辆的施工通行证。</w:t>
      </w:r>
    </w:p>
    <w:p>
      <w:pPr>
        <w:spacing w:line="360" w:lineRule="exact"/>
        <w:ind w:firstLine="440" w:firstLineChars="200"/>
        <w:rPr>
          <w:rFonts w:asciiTheme="minorEastAsia" w:hAnsiTheme="minorEastAsia"/>
          <w:sz w:val="22"/>
        </w:rPr>
      </w:pPr>
      <w:r>
        <w:rPr>
          <w:rFonts w:asciiTheme="minorEastAsia" w:hAnsiTheme="minorEastAsia"/>
          <w:sz w:val="22"/>
        </w:rPr>
        <w:t>8、联系和协调机场公安机关，督促施工单位按有关规定申报暂住登记和申领《暂住证》，并协助乙方联系机场公安局商定有关飞行区安全保卫事宜。</w:t>
      </w:r>
    </w:p>
    <w:p>
      <w:pPr>
        <w:spacing w:line="360" w:lineRule="exact"/>
        <w:ind w:firstLine="440" w:firstLineChars="200"/>
        <w:rPr>
          <w:rFonts w:asciiTheme="minorEastAsia" w:hAnsiTheme="minorEastAsia"/>
          <w:sz w:val="22"/>
        </w:rPr>
      </w:pPr>
      <w:r>
        <w:rPr>
          <w:rFonts w:asciiTheme="minorEastAsia" w:hAnsiTheme="minorEastAsia"/>
          <w:sz w:val="22"/>
        </w:rPr>
        <w:t>9、利用施工例会定期分析和掌握施工单位的治安情况，通报当前治安形势，交流工作经验，协助处理相关问题。</w:t>
      </w:r>
    </w:p>
    <w:p>
      <w:pPr>
        <w:spacing w:line="360" w:lineRule="exact"/>
        <w:ind w:firstLine="440" w:firstLineChars="200"/>
        <w:rPr>
          <w:rFonts w:asciiTheme="minorEastAsia" w:hAnsiTheme="minorEastAsia"/>
          <w:sz w:val="22"/>
        </w:rPr>
      </w:pPr>
      <w:r>
        <w:rPr>
          <w:rFonts w:asciiTheme="minorEastAsia" w:hAnsiTheme="minorEastAsia"/>
          <w:sz w:val="22"/>
        </w:rPr>
        <w:t>10、乙方拒不按照本协议条款规定组织安全文明施工的，甲方有权责令乙方停工整改直至终止合同。</w:t>
      </w:r>
    </w:p>
    <w:p>
      <w:pPr>
        <w:spacing w:line="360" w:lineRule="exact"/>
        <w:ind w:firstLine="440" w:firstLineChars="200"/>
        <w:rPr>
          <w:rFonts w:asciiTheme="minorEastAsia" w:hAnsiTheme="minorEastAsia"/>
          <w:sz w:val="22"/>
        </w:rPr>
      </w:pPr>
      <w:r>
        <w:rPr>
          <w:rFonts w:asciiTheme="minorEastAsia" w:hAnsiTheme="minorEastAsia"/>
          <w:sz w:val="22"/>
        </w:rPr>
        <w:t>11、甲方有权对乙方各项安全工作进行监督、检查。</w:t>
      </w:r>
    </w:p>
    <w:p>
      <w:pPr>
        <w:spacing w:line="360" w:lineRule="exact"/>
        <w:ind w:firstLine="440" w:firstLineChars="200"/>
        <w:rPr>
          <w:rFonts w:asciiTheme="minorEastAsia" w:hAnsiTheme="minorEastAsia"/>
          <w:sz w:val="22"/>
        </w:rPr>
      </w:pPr>
      <w:r>
        <w:rPr>
          <w:rFonts w:asciiTheme="minorEastAsia" w:hAnsiTheme="minorEastAsia"/>
          <w:sz w:val="22"/>
        </w:rPr>
        <w:t>12、对乙方因违反民航总局第191号令《民用机场运行安全管理规定》而发生不安全事件，甲方有权按照相关处罚条例对乙方予以处罚，造成严重后果或损失重大的，甲方有权将乙方清退出场并追偿由此而造成的损失。</w:t>
      </w:r>
    </w:p>
    <w:p>
      <w:pPr>
        <w:spacing w:line="360" w:lineRule="exact"/>
        <w:ind w:firstLine="442" w:firstLineChars="200"/>
        <w:rPr>
          <w:rFonts w:asciiTheme="minorEastAsia" w:hAnsiTheme="minorEastAsia"/>
          <w:b/>
          <w:sz w:val="22"/>
        </w:rPr>
      </w:pPr>
      <w:r>
        <w:rPr>
          <w:rFonts w:asciiTheme="minorEastAsia" w:hAnsiTheme="minorEastAsia"/>
          <w:b/>
          <w:sz w:val="22"/>
        </w:rPr>
        <w:t>三、乙方的安全责任和权利</w:t>
      </w:r>
    </w:p>
    <w:p>
      <w:pPr>
        <w:spacing w:line="360" w:lineRule="exact"/>
        <w:ind w:firstLine="440" w:firstLineChars="200"/>
        <w:rPr>
          <w:rFonts w:asciiTheme="minorEastAsia" w:hAnsiTheme="minorEastAsia"/>
          <w:sz w:val="22"/>
        </w:rPr>
      </w:pPr>
      <w:r>
        <w:rPr>
          <w:rFonts w:asciiTheme="minorEastAsia" w:hAnsiTheme="minorEastAsia"/>
          <w:sz w:val="22"/>
        </w:rPr>
        <w:t>（一）乙方应从事的施工安全管理</w:t>
      </w:r>
    </w:p>
    <w:p>
      <w:pPr>
        <w:spacing w:line="360" w:lineRule="exact"/>
        <w:ind w:firstLine="440" w:firstLineChars="200"/>
        <w:rPr>
          <w:rFonts w:asciiTheme="minorEastAsia" w:hAnsiTheme="minorEastAsia"/>
          <w:sz w:val="22"/>
        </w:rPr>
      </w:pPr>
      <w:r>
        <w:rPr>
          <w:rFonts w:asciiTheme="minorEastAsia" w:hAnsiTheme="minorEastAsia"/>
          <w:sz w:val="22"/>
        </w:rPr>
        <w:t xml:space="preserve">13、遵守《中华人民共和国安全生产法》、《建设工程安全管理条例》以及其他安全生产的法律、法规，遵守民航航空安全、空防管理的法律、法规，遵守机场有关安全管理的规章制度。 </w:t>
      </w:r>
    </w:p>
    <w:p>
      <w:pPr>
        <w:spacing w:line="360" w:lineRule="exact"/>
        <w:ind w:firstLine="440" w:firstLineChars="200"/>
        <w:rPr>
          <w:rFonts w:asciiTheme="minorEastAsia" w:hAnsiTheme="minorEastAsia"/>
          <w:sz w:val="22"/>
        </w:rPr>
      </w:pPr>
      <w:r>
        <w:rPr>
          <w:rFonts w:asciiTheme="minorEastAsia" w:hAnsiTheme="minorEastAsia"/>
          <w:sz w:val="22"/>
        </w:rPr>
        <w:t>14、对工程项目的施工安全负全责，根据工程特点制定安全施工措施，消除安全事故隐患，确保工程质量和安全。制定并完善各类突发事件的应急预案，一旦发生安全事故应及时、如实报告和积极应对。对工程依法实行总分包制，总包单位对施工安全负总责，并以安全责任书的方式确定各分包单位的安全责任。</w:t>
      </w:r>
    </w:p>
    <w:p>
      <w:pPr>
        <w:spacing w:line="360" w:lineRule="exact"/>
        <w:ind w:firstLine="440" w:firstLineChars="200"/>
        <w:rPr>
          <w:rFonts w:asciiTheme="minorEastAsia" w:hAnsiTheme="minorEastAsia"/>
          <w:sz w:val="22"/>
        </w:rPr>
      </w:pPr>
      <w:r>
        <w:rPr>
          <w:rFonts w:asciiTheme="minorEastAsia" w:hAnsiTheme="minorEastAsia"/>
          <w:sz w:val="22"/>
        </w:rPr>
        <w:t>15、工程开工前，应完成安全生产规章制度和操作规程等相应规章的制定工作；成立由项目经理为责任人的有效的安全保障网络；指定项目部专职安全员、班组安全员，并接受甲方的培训和考核，合格后方可上岗；对其他施工人员必须进行安全生产教育培训；保证安全生产条件所需资金的投入。开工后应对工程施工安全进行日常、定期和专项的检查，及时发现和消除安全隐患并做好记录。</w:t>
      </w:r>
    </w:p>
    <w:p>
      <w:pPr>
        <w:spacing w:line="360" w:lineRule="exact"/>
        <w:ind w:firstLine="440" w:firstLineChars="200"/>
        <w:rPr>
          <w:rFonts w:asciiTheme="minorEastAsia" w:hAnsiTheme="minorEastAsia"/>
          <w:sz w:val="22"/>
        </w:rPr>
      </w:pPr>
      <w:r>
        <w:rPr>
          <w:rFonts w:asciiTheme="minorEastAsia" w:hAnsiTheme="minorEastAsia"/>
          <w:sz w:val="22"/>
        </w:rPr>
        <w:t xml:space="preserve">16、对安全作业环境建设及安全施工措施制定、实行所需的费用，应当列入建设工程预算，专款专用，不得挪作他用。 </w:t>
      </w:r>
    </w:p>
    <w:p>
      <w:pPr>
        <w:spacing w:line="360" w:lineRule="exact"/>
        <w:ind w:firstLine="440" w:firstLineChars="200"/>
        <w:rPr>
          <w:rFonts w:asciiTheme="minorEastAsia" w:hAnsiTheme="minorEastAsia"/>
          <w:sz w:val="22"/>
        </w:rPr>
      </w:pPr>
      <w:r>
        <w:rPr>
          <w:rFonts w:asciiTheme="minorEastAsia" w:hAnsiTheme="minorEastAsia"/>
          <w:sz w:val="22"/>
        </w:rPr>
        <w:t>17、垂直运输作业人员、安装拆卸工、电工、焊接和切割工、爆破作业人员、消防工程从业人员、起重信号工、登高作业人员等特种行业从业人员，必须按照国家有关规定经过专门的作业培训，并取得相应操作资格后方可上岗作业,并严格遵守相关的操作规章规程。</w:t>
      </w:r>
    </w:p>
    <w:p>
      <w:pPr>
        <w:spacing w:line="360" w:lineRule="exact"/>
        <w:ind w:firstLine="440" w:firstLineChars="200"/>
        <w:rPr>
          <w:rFonts w:asciiTheme="minorEastAsia" w:hAnsiTheme="minorEastAsia"/>
          <w:sz w:val="22"/>
        </w:rPr>
      </w:pPr>
      <w:r>
        <w:rPr>
          <w:rFonts w:asciiTheme="minorEastAsia" w:hAnsiTheme="minorEastAsia"/>
          <w:sz w:val="22"/>
        </w:rPr>
        <w:t>18、在施工组织设计中应当制定安全技术措施和施工现场临时用电方案，对危险性较大的部分分项工程应当制定专项施工方案，并附安全验算计算书，经乙方技术负责人、总监理工程师阅览签字后实施，由专职安全生产管理人员进行现场监督。</w:t>
      </w:r>
    </w:p>
    <w:p>
      <w:pPr>
        <w:spacing w:line="360" w:lineRule="exact"/>
        <w:ind w:firstLine="440" w:firstLineChars="200"/>
        <w:rPr>
          <w:rFonts w:asciiTheme="minorEastAsia" w:hAnsiTheme="minorEastAsia"/>
          <w:sz w:val="22"/>
        </w:rPr>
      </w:pPr>
      <w:r>
        <w:rPr>
          <w:rFonts w:asciiTheme="minorEastAsia" w:hAnsiTheme="minorEastAsia"/>
          <w:sz w:val="22"/>
        </w:rPr>
        <w:t xml:space="preserve">19、在施工前，负责项目管理的技术人员应当对有关安全施工的技术要求向作业班组、作业人员做出书面交底，并由双方确认签字。 </w:t>
      </w:r>
    </w:p>
    <w:p>
      <w:pPr>
        <w:spacing w:line="360" w:lineRule="exact"/>
        <w:ind w:firstLine="440" w:firstLineChars="200"/>
        <w:rPr>
          <w:rFonts w:asciiTheme="minorEastAsia" w:hAnsiTheme="minorEastAsia"/>
          <w:sz w:val="22"/>
        </w:rPr>
      </w:pPr>
      <w:r>
        <w:rPr>
          <w:rFonts w:asciiTheme="minorEastAsia" w:hAnsiTheme="minorEastAsia"/>
          <w:sz w:val="22"/>
        </w:rPr>
        <w:t xml:space="preserve">20、应根据不同的施工阶段和环境及季节、气候的变化，在施工现场采取相应的安全防护措施；施工现场暂时停止施工的，乙方要做好现场防护工作，所需费用由乙方承担（合同有约定的除外）。 </w:t>
      </w:r>
    </w:p>
    <w:p>
      <w:pPr>
        <w:spacing w:line="360" w:lineRule="exact"/>
        <w:ind w:firstLine="440" w:firstLineChars="200"/>
        <w:rPr>
          <w:rFonts w:asciiTheme="minorEastAsia" w:hAnsiTheme="minorEastAsia"/>
          <w:sz w:val="22"/>
        </w:rPr>
      </w:pPr>
      <w:r>
        <w:rPr>
          <w:rFonts w:asciiTheme="minorEastAsia" w:hAnsiTheme="minorEastAsia"/>
          <w:sz w:val="22"/>
        </w:rPr>
        <w:t xml:space="preserve">21、应当向作业人员提供安全防护用具和安全防护服装，并书面告知危险岗位的操作规程以及违章操作所产生的危害。 </w:t>
      </w:r>
    </w:p>
    <w:p>
      <w:pPr>
        <w:spacing w:line="360" w:lineRule="exact"/>
        <w:ind w:firstLine="440" w:firstLineChars="200"/>
        <w:rPr>
          <w:rFonts w:asciiTheme="minorEastAsia" w:hAnsiTheme="minorEastAsia"/>
          <w:sz w:val="22"/>
        </w:rPr>
      </w:pPr>
      <w:r>
        <w:rPr>
          <w:rFonts w:asciiTheme="minorEastAsia" w:hAnsiTheme="minorEastAsia"/>
          <w:sz w:val="22"/>
        </w:rPr>
        <w:t xml:space="preserve">22、采购、租赁的安全防护用具、机械设备、施工机具及配件，应当具有生产许可证、产品合格证，并在进入施工现场前进行查验。 </w:t>
      </w:r>
    </w:p>
    <w:p>
      <w:pPr>
        <w:spacing w:line="360" w:lineRule="exact"/>
        <w:ind w:firstLine="440" w:firstLineChars="200"/>
        <w:rPr>
          <w:rFonts w:asciiTheme="minorEastAsia" w:hAnsiTheme="minorEastAsia"/>
          <w:sz w:val="22"/>
        </w:rPr>
      </w:pPr>
      <w:r>
        <w:rPr>
          <w:rFonts w:asciiTheme="minorEastAsia" w:hAnsiTheme="minorEastAsia"/>
          <w:sz w:val="22"/>
        </w:rPr>
        <w:t xml:space="preserve">23、施工现场的安全防护用具、机械设备、施工机具及配件必须由专人管理，并定期检查、维修和保养，建立相应的资料档案，并按照国家规定及时报废。 </w:t>
      </w:r>
    </w:p>
    <w:p>
      <w:pPr>
        <w:spacing w:line="360" w:lineRule="exact"/>
        <w:ind w:firstLine="440" w:firstLineChars="200"/>
        <w:rPr>
          <w:rFonts w:asciiTheme="minorEastAsia" w:hAnsiTheme="minorEastAsia"/>
          <w:sz w:val="22"/>
        </w:rPr>
      </w:pPr>
      <w:r>
        <w:rPr>
          <w:rFonts w:asciiTheme="minorEastAsia" w:hAnsiTheme="minorEastAsia"/>
          <w:sz w:val="22"/>
        </w:rPr>
        <w:t xml:space="preserve">24、在采用新技术、新工艺、新设备、新材料时，应当对作业人员进行相应的安全生产教育培训。 </w:t>
      </w:r>
    </w:p>
    <w:p>
      <w:pPr>
        <w:spacing w:line="360" w:lineRule="exact"/>
        <w:ind w:firstLine="440" w:firstLineChars="200"/>
        <w:rPr>
          <w:rFonts w:asciiTheme="minorEastAsia" w:hAnsiTheme="minorEastAsia"/>
          <w:sz w:val="22"/>
        </w:rPr>
      </w:pPr>
      <w:r>
        <w:rPr>
          <w:rFonts w:asciiTheme="minorEastAsia" w:hAnsiTheme="minorEastAsia"/>
          <w:sz w:val="22"/>
        </w:rPr>
        <w:t xml:space="preserve">25、应当为施工现场从事危险作业的人员办理意外伤害保险，并支付意外伤害保险费。意外伤害保险期自建设工程开工之日起至竣工验收合格止。 </w:t>
      </w:r>
    </w:p>
    <w:p>
      <w:pPr>
        <w:spacing w:line="360" w:lineRule="exact"/>
        <w:ind w:firstLine="440" w:firstLineChars="200"/>
        <w:rPr>
          <w:rFonts w:asciiTheme="minorEastAsia" w:hAnsiTheme="minorEastAsia"/>
          <w:sz w:val="22"/>
        </w:rPr>
      </w:pPr>
      <w:r>
        <w:rPr>
          <w:rFonts w:asciiTheme="minorEastAsia" w:hAnsiTheme="minorEastAsia"/>
          <w:sz w:val="22"/>
        </w:rPr>
        <w:t>26、乙方不得在机场和机场净空保护区范围内施放烟花、爆竹、气球等升空物体；不得随意焚烧垃圾等物品制造烟雾；不得饲养动物；不得随意丢弃飘浮物。</w:t>
      </w:r>
    </w:p>
    <w:p>
      <w:pPr>
        <w:spacing w:line="360" w:lineRule="exact"/>
        <w:ind w:firstLine="440" w:firstLineChars="200"/>
        <w:rPr>
          <w:rFonts w:asciiTheme="minorEastAsia" w:hAnsiTheme="minorEastAsia"/>
          <w:sz w:val="22"/>
        </w:rPr>
      </w:pPr>
      <w:r>
        <w:rPr>
          <w:rFonts w:asciiTheme="minorEastAsia" w:hAnsiTheme="minorEastAsia"/>
          <w:sz w:val="22"/>
        </w:rPr>
        <w:t>（二）乙方应从事的空防安全管理</w:t>
      </w:r>
    </w:p>
    <w:p>
      <w:pPr>
        <w:spacing w:line="360" w:lineRule="exact"/>
        <w:ind w:firstLine="440" w:firstLineChars="200"/>
        <w:rPr>
          <w:rFonts w:asciiTheme="minorEastAsia" w:hAnsiTheme="minorEastAsia"/>
          <w:sz w:val="22"/>
        </w:rPr>
      </w:pPr>
      <w:r>
        <w:rPr>
          <w:rFonts w:asciiTheme="minorEastAsia" w:hAnsiTheme="minorEastAsia"/>
          <w:sz w:val="22"/>
        </w:rPr>
        <w:t>27、必须严格遵守机场安全管理的各项规章制度。属于机场不停航施工项目或需进入机场控制区施工的项目，其人员和车辆实行机场控制区通行证管理制度，即上述区域施工的人员和车辆一律办理机场公安局统一制发的通行证，凭证进入施工现场。</w:t>
      </w:r>
    </w:p>
    <w:p>
      <w:pPr>
        <w:spacing w:line="360" w:lineRule="exact"/>
        <w:ind w:firstLine="440" w:firstLineChars="200"/>
        <w:rPr>
          <w:rFonts w:asciiTheme="minorEastAsia" w:hAnsiTheme="minorEastAsia"/>
          <w:sz w:val="22"/>
        </w:rPr>
      </w:pPr>
      <w:r>
        <w:rPr>
          <w:rFonts w:asciiTheme="minorEastAsia" w:hAnsiTheme="minorEastAsia"/>
          <w:sz w:val="22"/>
        </w:rPr>
        <w:t>28、通行证的办理遵从《杭州萧山国际机场控制区通行证管理办法》。在申请办理人员通行征时应当提供真实有效的身份证明、证照及其它相关资料，并进行背景调查，防止有违法、犯罪记录的人员进入施工队伍；在申请办理车辆通行证时应当提供车辆、设备的有效证件和检验记录，并对其真实性负责。上述通行证由乙方提出申请，报甲方备案，办证费用由乙方自理。</w:t>
      </w:r>
    </w:p>
    <w:p>
      <w:pPr>
        <w:spacing w:line="360" w:lineRule="exact"/>
        <w:ind w:firstLine="440" w:firstLineChars="200"/>
        <w:rPr>
          <w:rFonts w:asciiTheme="minorEastAsia" w:hAnsiTheme="minorEastAsia"/>
          <w:sz w:val="22"/>
        </w:rPr>
      </w:pPr>
      <w:r>
        <w:rPr>
          <w:rFonts w:asciiTheme="minorEastAsia" w:hAnsiTheme="minorEastAsia"/>
          <w:sz w:val="22"/>
        </w:rPr>
        <w:t>29、需进入机场控制区施工的人员和车辆需主动接受机场管理人员的检查，并服从机场相关职能部门的监管，无通行证者一律不得进入。</w:t>
      </w:r>
    </w:p>
    <w:p>
      <w:pPr>
        <w:spacing w:line="360" w:lineRule="exact"/>
        <w:ind w:firstLine="440" w:firstLineChars="200"/>
        <w:rPr>
          <w:rFonts w:asciiTheme="minorEastAsia" w:hAnsiTheme="minorEastAsia"/>
          <w:sz w:val="22"/>
        </w:rPr>
      </w:pPr>
      <w:r>
        <w:rPr>
          <w:rFonts w:asciiTheme="minorEastAsia" w:hAnsiTheme="minorEastAsia"/>
          <w:sz w:val="22"/>
        </w:rPr>
        <w:t>30、应当加强通行证的管理，建立管理台帐。通行证仅限持证本人、本车使用，严禁转借、涂改和冒用；持证人员发生调离、辞退、开除等情况的，应及时收回通行证交由甲方报机场公安机关注销；如发生人员和车辆通行证遗失的，应在第一时间向甲方报告；持证车辆重新调配或报废的，应及时将通行证交由甲方申报注销。上述环节因乙方管理不力发生问题的，乙方应承担由此引发的一切后果和责任。</w:t>
      </w:r>
    </w:p>
    <w:p>
      <w:pPr>
        <w:spacing w:line="360" w:lineRule="exact"/>
        <w:ind w:firstLine="440" w:firstLineChars="200"/>
        <w:rPr>
          <w:rFonts w:asciiTheme="minorEastAsia" w:hAnsiTheme="minorEastAsia"/>
          <w:sz w:val="22"/>
        </w:rPr>
      </w:pPr>
      <w:r>
        <w:rPr>
          <w:rFonts w:asciiTheme="minorEastAsia" w:hAnsiTheme="minorEastAsia"/>
          <w:sz w:val="22"/>
        </w:rPr>
        <w:t>（三）乙方应从事的不停航施工项目安全管理</w:t>
      </w:r>
    </w:p>
    <w:p>
      <w:pPr>
        <w:spacing w:line="360" w:lineRule="exact"/>
        <w:ind w:firstLine="440" w:firstLineChars="200"/>
        <w:rPr>
          <w:rFonts w:asciiTheme="minorEastAsia" w:hAnsiTheme="minorEastAsia"/>
          <w:sz w:val="22"/>
        </w:rPr>
      </w:pPr>
      <w:r>
        <w:rPr>
          <w:rFonts w:asciiTheme="minorEastAsia" w:hAnsiTheme="minorEastAsia"/>
          <w:sz w:val="22"/>
        </w:rPr>
        <w:t>31、不停航施工是指在机场不关闭并按照航班计划接受和放行航空器的情况下，在飞行区、部分航站区内实施工程作业。不停航施工的项目单位，必须严格遵守《民用机场运行安全管理规定》（CCAR－140）及杭州萧山国际机场有关安全管理规定进行施工。</w:t>
      </w:r>
    </w:p>
    <w:p>
      <w:pPr>
        <w:spacing w:line="360" w:lineRule="exact"/>
        <w:ind w:firstLine="440" w:firstLineChars="200"/>
        <w:rPr>
          <w:rFonts w:asciiTheme="minorEastAsia" w:hAnsiTheme="minorEastAsia"/>
          <w:sz w:val="22"/>
        </w:rPr>
      </w:pPr>
      <w:r>
        <w:rPr>
          <w:rFonts w:asciiTheme="minorEastAsia" w:hAnsiTheme="minorEastAsia"/>
          <w:sz w:val="22"/>
        </w:rPr>
        <w:t>32、在机场有飞行任务期间，禁止在跑道端之外300米以内、跑道中心线两侧75米以内的区域进行任何施工作业。如乙方需在跑道端300米以外、跑道中心线两侧75米以外区域施工的，机具、车辆的高度不得穿透障碍物限制面。除特别批准外，在滑行道、机坪道面边线以外施工的，应当与道（坪）边线保持7.5米加上本机场使用最大机型翼展宽度0.5倍的距离。</w:t>
      </w:r>
    </w:p>
    <w:p>
      <w:pPr>
        <w:spacing w:line="360" w:lineRule="exact"/>
        <w:ind w:firstLine="440" w:firstLineChars="200"/>
        <w:rPr>
          <w:rFonts w:asciiTheme="minorEastAsia" w:hAnsiTheme="minorEastAsia"/>
          <w:sz w:val="22"/>
        </w:rPr>
      </w:pPr>
      <w:r>
        <w:rPr>
          <w:rFonts w:asciiTheme="minorEastAsia" w:hAnsiTheme="minorEastAsia"/>
          <w:sz w:val="22"/>
        </w:rPr>
        <w:t>33、实行不停航施工的区域，开挖的明沟和施工材料堆放处，必须根据甲方要求用桔黄色小旗标识以示警告；在低能见度的白天和夜间，应当按照甲方要求加设红色恒定灯光；材料和临时堆放的施工垃圾应当采取防止被风或飞机尾流吹散的措施。</w:t>
      </w:r>
    </w:p>
    <w:p>
      <w:pPr>
        <w:spacing w:line="360" w:lineRule="exact"/>
        <w:ind w:firstLine="440" w:firstLineChars="200"/>
        <w:rPr>
          <w:rFonts w:asciiTheme="minorEastAsia" w:hAnsiTheme="minorEastAsia"/>
          <w:sz w:val="22"/>
        </w:rPr>
      </w:pPr>
      <w:r>
        <w:rPr>
          <w:rFonts w:asciiTheme="minorEastAsia" w:hAnsiTheme="minorEastAsia"/>
          <w:sz w:val="22"/>
        </w:rPr>
        <w:t>34、施工机具须停放在指定安全区域内。机场开放运行期间，必须严格控制施工机械的活动范围，杜绝出现机具、车辆侵入隔离区或超越机场净空限制面等情况。</w:t>
      </w:r>
    </w:p>
    <w:p>
      <w:pPr>
        <w:spacing w:line="360" w:lineRule="exact"/>
        <w:ind w:firstLine="440" w:firstLineChars="200"/>
        <w:rPr>
          <w:rFonts w:asciiTheme="minorEastAsia" w:hAnsiTheme="minorEastAsia"/>
          <w:sz w:val="22"/>
        </w:rPr>
      </w:pPr>
      <w:r>
        <w:rPr>
          <w:rFonts w:asciiTheme="minorEastAsia" w:hAnsiTheme="minorEastAsia"/>
          <w:sz w:val="22"/>
        </w:rPr>
        <w:t xml:space="preserve">（四）乙方的文明施工责任 </w:t>
      </w:r>
    </w:p>
    <w:p>
      <w:pPr>
        <w:spacing w:line="360" w:lineRule="exact"/>
        <w:ind w:firstLine="440" w:firstLineChars="200"/>
        <w:rPr>
          <w:rFonts w:asciiTheme="minorEastAsia" w:hAnsiTheme="minorEastAsia"/>
          <w:sz w:val="22"/>
        </w:rPr>
      </w:pPr>
      <w:r>
        <w:rPr>
          <w:rFonts w:asciiTheme="minorEastAsia" w:hAnsiTheme="minorEastAsia"/>
          <w:sz w:val="22"/>
        </w:rPr>
        <w:t>35、按照《建筑施工安全检查标准》JGJ59—99的标准和浙江省、杭州市有关文明施工检查评分标准做好文明施工，保证施工项目文明施工合格。</w:t>
      </w:r>
    </w:p>
    <w:p>
      <w:pPr>
        <w:spacing w:line="360" w:lineRule="exact"/>
        <w:ind w:firstLine="220" w:firstLineChars="100"/>
        <w:rPr>
          <w:rFonts w:asciiTheme="minorEastAsia" w:hAnsiTheme="minorEastAsia"/>
          <w:sz w:val="22"/>
        </w:rPr>
      </w:pPr>
      <w:r>
        <w:rPr>
          <w:rFonts w:asciiTheme="minorEastAsia" w:hAnsiTheme="minorEastAsia"/>
          <w:sz w:val="22"/>
        </w:rPr>
        <w:t xml:space="preserve">  36、建筑材料、构件、料具必须按施工现场总平面布置图堆放，布置合理，并有标识。如有易燃易爆物品应有专门场所分类堆放，专人负责，符合相关消防规定，确保安全。</w:t>
      </w:r>
    </w:p>
    <w:p>
      <w:pPr>
        <w:spacing w:line="360" w:lineRule="exact"/>
        <w:ind w:firstLine="440" w:firstLineChars="200"/>
        <w:rPr>
          <w:rFonts w:asciiTheme="minorEastAsia" w:hAnsiTheme="minorEastAsia"/>
          <w:sz w:val="22"/>
        </w:rPr>
      </w:pPr>
      <w:r>
        <w:rPr>
          <w:rFonts w:asciiTheme="minorEastAsia" w:hAnsiTheme="minorEastAsia"/>
          <w:sz w:val="22"/>
        </w:rPr>
        <w:t>37、在施工现场建立清扫制度，落实到人，做到工完料尽场地清，车辆进出场应有防泥带出措施。建筑垃圾及时清运，并堆放到甲方指定地点。土方外运过程，严格按程序操作，不得在机场内外遗洒，应有避免扬尘的措施。</w:t>
      </w:r>
    </w:p>
    <w:p>
      <w:pPr>
        <w:spacing w:line="360" w:lineRule="exact"/>
        <w:ind w:firstLine="440" w:firstLineChars="200"/>
        <w:rPr>
          <w:rFonts w:asciiTheme="minorEastAsia" w:hAnsiTheme="minorEastAsia"/>
          <w:sz w:val="22"/>
        </w:rPr>
      </w:pPr>
      <w:r>
        <w:rPr>
          <w:rFonts w:asciiTheme="minorEastAsia" w:hAnsiTheme="minorEastAsia"/>
          <w:sz w:val="22"/>
        </w:rPr>
        <w:t>（五）乙方应从事的社会治安综合治理</w:t>
      </w:r>
    </w:p>
    <w:p>
      <w:pPr>
        <w:spacing w:line="360" w:lineRule="exact"/>
        <w:ind w:firstLine="440" w:firstLineChars="200"/>
        <w:rPr>
          <w:rFonts w:asciiTheme="minorEastAsia" w:hAnsiTheme="minorEastAsia"/>
          <w:sz w:val="22"/>
        </w:rPr>
      </w:pPr>
      <w:r>
        <w:rPr>
          <w:rFonts w:asciiTheme="minorEastAsia" w:hAnsiTheme="minorEastAsia"/>
          <w:sz w:val="22"/>
        </w:rPr>
        <w:t>38、做好内部的治安防范工作，对重要部位和物资，要落实人防、物防和技防的措施，积极配合公安机关组织的治安联防活动。</w:t>
      </w:r>
    </w:p>
    <w:p>
      <w:pPr>
        <w:spacing w:line="360" w:lineRule="exact"/>
        <w:ind w:firstLine="440" w:firstLineChars="200"/>
        <w:rPr>
          <w:rFonts w:asciiTheme="minorEastAsia" w:hAnsiTheme="minorEastAsia"/>
          <w:sz w:val="22"/>
        </w:rPr>
      </w:pPr>
      <w:r>
        <w:rPr>
          <w:rFonts w:asciiTheme="minorEastAsia" w:hAnsiTheme="minorEastAsia"/>
          <w:sz w:val="22"/>
        </w:rPr>
        <w:t>39、认真排查、调处各类矛盾，及时消除隐患，杜绝各类社会矛盾引发的群体性事件的发生。</w:t>
      </w:r>
    </w:p>
    <w:p>
      <w:pPr>
        <w:spacing w:line="360" w:lineRule="exact"/>
        <w:ind w:firstLine="440" w:firstLineChars="200"/>
        <w:rPr>
          <w:rFonts w:asciiTheme="minorEastAsia" w:hAnsiTheme="minorEastAsia"/>
          <w:sz w:val="22"/>
        </w:rPr>
      </w:pPr>
      <w:r>
        <w:rPr>
          <w:rFonts w:asciiTheme="minorEastAsia" w:hAnsiTheme="minorEastAsia"/>
          <w:sz w:val="22"/>
        </w:rPr>
        <w:t>40、制定包括重大安全生产事故、重大道路交通事故、重大消防安全事故、重大刑事案件以及群体性事件等突发性事件在内的应急处置预案，一旦发生，及时报告甲方和上级主管部门并做好处置工作。</w:t>
      </w:r>
    </w:p>
    <w:p>
      <w:pPr>
        <w:spacing w:line="360" w:lineRule="exact"/>
        <w:ind w:firstLine="440" w:firstLineChars="200"/>
        <w:rPr>
          <w:rFonts w:asciiTheme="minorEastAsia" w:hAnsiTheme="minorEastAsia"/>
          <w:sz w:val="22"/>
        </w:rPr>
      </w:pPr>
      <w:r>
        <w:rPr>
          <w:rFonts w:asciiTheme="minorEastAsia" w:hAnsiTheme="minorEastAsia"/>
          <w:sz w:val="22"/>
        </w:rPr>
        <w:t>（六）乙方应从事的消防安全管理</w:t>
      </w:r>
    </w:p>
    <w:p>
      <w:pPr>
        <w:spacing w:line="360" w:lineRule="exact"/>
        <w:ind w:firstLine="440" w:firstLineChars="200"/>
        <w:rPr>
          <w:rFonts w:asciiTheme="minorEastAsia" w:hAnsiTheme="minorEastAsia"/>
          <w:sz w:val="22"/>
        </w:rPr>
      </w:pPr>
      <w:r>
        <w:rPr>
          <w:rFonts w:asciiTheme="minorEastAsia" w:hAnsiTheme="minorEastAsia"/>
          <w:sz w:val="22"/>
        </w:rPr>
        <w:t>41、遵守国家消防法律法规，建立和健全消防管理规章制度，明确消防安全责任人，健全消防安全网络（配备专职或兼职消防员），建立消防应急队伍，并报甲方和机场公安局消防部门备案。</w:t>
      </w:r>
    </w:p>
    <w:p>
      <w:pPr>
        <w:spacing w:line="360" w:lineRule="exact"/>
        <w:ind w:firstLine="440" w:firstLineChars="200"/>
        <w:rPr>
          <w:rFonts w:asciiTheme="minorEastAsia" w:hAnsiTheme="minorEastAsia"/>
          <w:sz w:val="22"/>
        </w:rPr>
      </w:pPr>
      <w:r>
        <w:rPr>
          <w:rFonts w:asciiTheme="minorEastAsia" w:hAnsiTheme="minorEastAsia"/>
          <w:sz w:val="22"/>
        </w:rPr>
        <w:t>42、制定用火、用电、使用易燃材料等各项消防安全操作规程，设置消防通道、消防水源、配备必须的消防设备和灭火器材，并在重点场所重点部位设置消防警示标志。</w:t>
      </w:r>
    </w:p>
    <w:p>
      <w:pPr>
        <w:spacing w:line="360" w:lineRule="exact"/>
        <w:ind w:firstLine="440" w:firstLineChars="200"/>
        <w:rPr>
          <w:rFonts w:asciiTheme="minorEastAsia" w:hAnsiTheme="minorEastAsia"/>
          <w:sz w:val="22"/>
        </w:rPr>
      </w:pPr>
      <w:r>
        <w:rPr>
          <w:rFonts w:asciiTheme="minorEastAsia" w:hAnsiTheme="minorEastAsia"/>
          <w:sz w:val="22"/>
        </w:rPr>
        <w:t>43、施工中使用明火，使用电、气进行焊接和切割作业，须经机场公安消防管理部门审查批准，未经批准一律不得使用。</w:t>
      </w:r>
    </w:p>
    <w:p>
      <w:pPr>
        <w:spacing w:line="360" w:lineRule="exact"/>
        <w:ind w:firstLine="440" w:firstLineChars="200"/>
        <w:rPr>
          <w:rFonts w:asciiTheme="minorEastAsia" w:hAnsiTheme="minorEastAsia"/>
          <w:sz w:val="22"/>
        </w:rPr>
      </w:pPr>
      <w:r>
        <w:rPr>
          <w:rFonts w:asciiTheme="minorEastAsia" w:hAnsiTheme="minorEastAsia"/>
          <w:sz w:val="22"/>
        </w:rPr>
        <w:t>44、加强对施工人员进行消防安全教育，使其熟悉本岗位防火措施、遇险报警、初期扑救及自救逃生的知识和技能。</w:t>
      </w:r>
    </w:p>
    <w:p>
      <w:pPr>
        <w:spacing w:line="360" w:lineRule="exact"/>
        <w:ind w:firstLine="440" w:firstLineChars="200"/>
        <w:rPr>
          <w:rFonts w:asciiTheme="minorEastAsia" w:hAnsiTheme="minorEastAsia"/>
          <w:sz w:val="22"/>
        </w:rPr>
      </w:pPr>
      <w:r>
        <w:rPr>
          <w:rFonts w:asciiTheme="minorEastAsia" w:hAnsiTheme="minorEastAsia"/>
          <w:sz w:val="22"/>
        </w:rPr>
        <w:t>（七）乙方应从事的交通安全管理</w:t>
      </w:r>
    </w:p>
    <w:p>
      <w:pPr>
        <w:spacing w:line="360" w:lineRule="exact"/>
        <w:ind w:firstLine="440" w:firstLineChars="200"/>
        <w:rPr>
          <w:rFonts w:asciiTheme="minorEastAsia" w:hAnsiTheme="minorEastAsia"/>
          <w:sz w:val="22"/>
        </w:rPr>
      </w:pPr>
      <w:r>
        <w:rPr>
          <w:rFonts w:asciiTheme="minorEastAsia" w:hAnsiTheme="minorEastAsia"/>
          <w:sz w:val="22"/>
        </w:rPr>
        <w:t>45、加强对下属员工、驾驶人员、承运单位的道路交通安全法律法规宣传教育，车辆进出机场和施工场地均应服从交警及其他交通管理人员的指挥和管理。</w:t>
      </w:r>
    </w:p>
    <w:p>
      <w:pPr>
        <w:spacing w:line="360" w:lineRule="exact"/>
        <w:ind w:firstLine="440" w:firstLineChars="200"/>
        <w:rPr>
          <w:rFonts w:asciiTheme="minorEastAsia" w:hAnsiTheme="minorEastAsia"/>
          <w:sz w:val="22"/>
        </w:rPr>
      </w:pPr>
      <w:r>
        <w:rPr>
          <w:rFonts w:asciiTheme="minorEastAsia" w:hAnsiTheme="minorEastAsia"/>
          <w:sz w:val="22"/>
        </w:rPr>
        <w:t>46、对驾驶人员和承运单位应实行交通安全检查考核制度，签订《交通安全责任书》，配备交通安全联络员对运输车辆驾驶员和施工人员进行交通安全教育，减少或控制交通违法行为地发生，禁止严重影响交通安全的违法行为（如超载、超速、酒后驾驶、逆向行驶等）。</w:t>
      </w:r>
    </w:p>
    <w:p>
      <w:pPr>
        <w:spacing w:line="360" w:lineRule="exact"/>
        <w:ind w:firstLine="440" w:firstLineChars="200"/>
        <w:rPr>
          <w:rFonts w:asciiTheme="minorEastAsia" w:hAnsiTheme="minorEastAsia"/>
          <w:sz w:val="22"/>
        </w:rPr>
      </w:pPr>
      <w:r>
        <w:rPr>
          <w:rFonts w:asciiTheme="minorEastAsia" w:hAnsiTheme="minorEastAsia"/>
          <w:sz w:val="22"/>
        </w:rPr>
        <w:t>47、确保各类运输车辆技术状况良好，不得使用无号牌、无行驶证、无保险和带故障、检验不合格的运输车辆，不得使用拖拉机和农用运输车。</w:t>
      </w:r>
    </w:p>
    <w:p>
      <w:pPr>
        <w:spacing w:line="360" w:lineRule="exact"/>
        <w:ind w:firstLine="440" w:firstLineChars="200"/>
        <w:rPr>
          <w:rFonts w:asciiTheme="minorEastAsia" w:hAnsiTheme="minorEastAsia"/>
          <w:sz w:val="22"/>
        </w:rPr>
      </w:pPr>
      <w:r>
        <w:rPr>
          <w:rFonts w:asciiTheme="minorEastAsia" w:hAnsiTheme="minorEastAsia"/>
          <w:sz w:val="22"/>
        </w:rPr>
        <w:t>48、所有运输车辆均应办理施工通行证并按指定路线和限定速度行驶，不得违反车辆装载规定：超载、超高、超宽。进入控制区施工车辆应开启黄色警示灯。</w:t>
      </w:r>
    </w:p>
    <w:p>
      <w:pPr>
        <w:spacing w:line="360" w:lineRule="exact"/>
        <w:ind w:firstLine="440" w:firstLineChars="200"/>
        <w:rPr>
          <w:rFonts w:asciiTheme="minorEastAsia" w:hAnsiTheme="minorEastAsia"/>
          <w:sz w:val="22"/>
        </w:rPr>
      </w:pPr>
      <w:r>
        <w:rPr>
          <w:rFonts w:asciiTheme="minorEastAsia" w:hAnsiTheme="minorEastAsia"/>
          <w:sz w:val="22"/>
        </w:rPr>
        <w:t>49、占用、挖掘道路，跨越道路架设、铺设管线以及大型机械进出机场须提前与甲方协商，征得甲方和机场公安局交警队同意，并采取防护措施和设置明显警示标志方可实施。</w:t>
      </w:r>
    </w:p>
    <w:p>
      <w:pPr>
        <w:spacing w:line="360" w:lineRule="exact"/>
        <w:ind w:firstLine="442" w:firstLineChars="200"/>
        <w:rPr>
          <w:rFonts w:asciiTheme="minorEastAsia" w:hAnsiTheme="minorEastAsia"/>
          <w:b/>
          <w:sz w:val="22"/>
        </w:rPr>
      </w:pPr>
      <w:r>
        <w:rPr>
          <w:rFonts w:asciiTheme="minorEastAsia" w:hAnsiTheme="minorEastAsia"/>
          <w:b/>
          <w:sz w:val="22"/>
        </w:rPr>
        <w:t>四、违约责任</w:t>
      </w:r>
    </w:p>
    <w:p>
      <w:pPr>
        <w:spacing w:line="360" w:lineRule="exact"/>
        <w:ind w:firstLine="440" w:firstLineChars="200"/>
        <w:rPr>
          <w:rFonts w:asciiTheme="minorEastAsia" w:hAnsiTheme="minorEastAsia"/>
          <w:sz w:val="22"/>
        </w:rPr>
      </w:pPr>
      <w:r>
        <w:rPr>
          <w:rFonts w:asciiTheme="minorEastAsia" w:hAnsiTheme="minorEastAsia"/>
          <w:sz w:val="22"/>
        </w:rPr>
        <w:t>50、本《安全文明施工协议书》是工程施工合同的重要组成部分，乙方必须严格遵守和履行，如有违反，甲方可以追究乙方责任；乙方违约情况严重，或是社会影响恶劣，又或是造成甲方或他方重大损失，甲方可解除施工合同且不须向乙方承担任何补偿、赔偿的责任。</w:t>
      </w:r>
    </w:p>
    <w:p>
      <w:pPr>
        <w:spacing w:line="360" w:lineRule="exact"/>
        <w:ind w:firstLine="440" w:firstLineChars="200"/>
        <w:rPr>
          <w:rFonts w:asciiTheme="minorEastAsia" w:hAnsiTheme="minorEastAsia"/>
          <w:sz w:val="22"/>
        </w:rPr>
      </w:pPr>
      <w:r>
        <w:rPr>
          <w:rFonts w:asciiTheme="minorEastAsia" w:hAnsiTheme="minorEastAsia"/>
          <w:sz w:val="22"/>
        </w:rPr>
        <w:t>51、严禁因乙方行为导致发生飞行事故征侯，违者扣合同总款的20%，如发生飞行事故扣合同年度总款50％，并追究法律责任。</w:t>
      </w:r>
    </w:p>
    <w:p>
      <w:pPr>
        <w:spacing w:line="360" w:lineRule="exact"/>
        <w:ind w:firstLine="440" w:firstLineChars="200"/>
        <w:rPr>
          <w:rFonts w:asciiTheme="minorEastAsia" w:hAnsiTheme="minorEastAsia"/>
          <w:sz w:val="22"/>
        </w:rPr>
      </w:pPr>
      <w:r>
        <w:rPr>
          <w:rFonts w:asciiTheme="minorEastAsia" w:hAnsiTheme="minorEastAsia"/>
          <w:sz w:val="22"/>
        </w:rPr>
        <w:t>五、本协议书附于《施工合同》正副本后，签字盖章后生效。</w:t>
      </w:r>
    </w:p>
    <w:p>
      <w:pPr>
        <w:adjustRightInd w:val="0"/>
        <w:snapToGrid w:val="0"/>
        <w:spacing w:line="360" w:lineRule="exact"/>
        <w:rPr>
          <w:rFonts w:asciiTheme="minorEastAsia" w:hAnsiTheme="minorEastAsia"/>
          <w:b/>
          <w:bCs/>
          <w:sz w:val="22"/>
        </w:rPr>
      </w:pPr>
      <w:r>
        <w:rPr>
          <w:rFonts w:asciiTheme="minorEastAsia" w:hAnsiTheme="minorEastAsia"/>
          <w:b/>
          <w:bCs/>
          <w:sz w:val="22"/>
        </w:rPr>
        <w:t>五、附则：</w:t>
      </w:r>
    </w:p>
    <w:p>
      <w:pPr>
        <w:adjustRightInd w:val="0"/>
        <w:snapToGrid w:val="0"/>
        <w:spacing w:line="360" w:lineRule="exact"/>
        <w:rPr>
          <w:rFonts w:asciiTheme="minorEastAsia" w:hAnsiTheme="minorEastAsia"/>
          <w:sz w:val="22"/>
        </w:rPr>
      </w:pPr>
      <w:r>
        <w:rPr>
          <w:rFonts w:asciiTheme="minorEastAsia" w:hAnsiTheme="minorEastAsia"/>
          <w:sz w:val="22"/>
        </w:rPr>
        <w:t>（一）由于乙方行为违反国家法律、法规和杭州萧山国际机场有限公司有关规章制度和责任书规定内容，甲方有权对乙方进行处罚。乙方触犯法律的，依法追究有关责任人的法律责任。</w:t>
      </w:r>
    </w:p>
    <w:p>
      <w:pPr>
        <w:adjustRightInd w:val="0"/>
        <w:snapToGrid w:val="0"/>
        <w:spacing w:line="360" w:lineRule="exact"/>
        <w:rPr>
          <w:rFonts w:asciiTheme="minorEastAsia" w:hAnsiTheme="minorEastAsia"/>
          <w:sz w:val="22"/>
        </w:rPr>
      </w:pPr>
      <w:r>
        <w:rPr>
          <w:rFonts w:asciiTheme="minorEastAsia" w:hAnsiTheme="minorEastAsia"/>
          <w:sz w:val="22"/>
        </w:rPr>
        <w:t>（二）本责任书解释权归甲方。</w:t>
      </w:r>
    </w:p>
    <w:p>
      <w:pPr>
        <w:adjustRightInd w:val="0"/>
        <w:snapToGrid w:val="0"/>
        <w:spacing w:line="360" w:lineRule="exact"/>
        <w:rPr>
          <w:rFonts w:asciiTheme="minorEastAsia" w:hAnsiTheme="minorEastAsia"/>
          <w:sz w:val="22"/>
        </w:rPr>
      </w:pPr>
      <w:r>
        <w:rPr>
          <w:rFonts w:asciiTheme="minorEastAsia" w:hAnsiTheme="minorEastAsia"/>
          <w:sz w:val="22"/>
        </w:rPr>
        <w:t>（三）本责任书由甲乙双方共同签字盖章后生效。</w:t>
      </w:r>
    </w:p>
    <w:p>
      <w:pPr>
        <w:adjustRightInd w:val="0"/>
        <w:snapToGrid w:val="0"/>
        <w:spacing w:line="360" w:lineRule="exact"/>
        <w:rPr>
          <w:rFonts w:asciiTheme="minorEastAsia" w:hAnsiTheme="minorEastAsia"/>
          <w:sz w:val="22"/>
        </w:rPr>
      </w:pPr>
    </w:p>
    <w:p>
      <w:pPr>
        <w:adjustRightInd w:val="0"/>
        <w:snapToGrid w:val="0"/>
        <w:spacing w:line="360" w:lineRule="exact"/>
        <w:ind w:left="5632" w:hanging="5632" w:hangingChars="2550"/>
        <w:rPr>
          <w:rFonts w:asciiTheme="minorEastAsia" w:hAnsiTheme="minorEastAsia"/>
          <w:b/>
          <w:color w:val="000000"/>
          <w:sz w:val="22"/>
        </w:rPr>
      </w:pPr>
      <w:r>
        <w:rPr>
          <w:rFonts w:hint="eastAsia" w:asciiTheme="minorEastAsia" w:hAnsiTheme="minorEastAsia"/>
          <w:b/>
          <w:color w:val="000000"/>
          <w:sz w:val="22"/>
        </w:rPr>
        <w:t>发包人：                                 承包人：</w:t>
      </w:r>
    </w:p>
    <w:p>
      <w:pPr>
        <w:adjustRightInd w:val="0"/>
        <w:snapToGrid w:val="0"/>
        <w:spacing w:line="360" w:lineRule="exact"/>
        <w:rPr>
          <w:rFonts w:asciiTheme="minorEastAsia" w:hAnsiTheme="minorEastAsia"/>
          <w:b/>
          <w:color w:val="000000"/>
          <w:sz w:val="22"/>
        </w:rPr>
      </w:pPr>
      <w:r>
        <w:rPr>
          <w:rFonts w:hint="eastAsia" w:asciiTheme="minorEastAsia" w:hAnsiTheme="minorEastAsia"/>
          <w:b/>
          <w:color w:val="000000"/>
          <w:sz w:val="22"/>
        </w:rPr>
        <w:t>法定代表人：                             法定代表人</w:t>
      </w:r>
    </w:p>
    <w:p>
      <w:pPr>
        <w:adjustRightInd w:val="0"/>
        <w:snapToGrid w:val="0"/>
        <w:spacing w:line="360" w:lineRule="exact"/>
        <w:rPr>
          <w:rFonts w:asciiTheme="minorEastAsia" w:hAnsiTheme="minorEastAsia"/>
          <w:b/>
          <w:color w:val="000000"/>
          <w:sz w:val="22"/>
        </w:rPr>
      </w:pPr>
    </w:p>
    <w:p>
      <w:pPr>
        <w:adjustRightInd w:val="0"/>
        <w:snapToGrid w:val="0"/>
        <w:spacing w:line="360" w:lineRule="exact"/>
        <w:rPr>
          <w:rFonts w:asciiTheme="minorEastAsia" w:hAnsiTheme="minorEastAsia"/>
          <w:b/>
          <w:color w:val="000000"/>
          <w:sz w:val="22"/>
        </w:rPr>
      </w:pPr>
      <w:r>
        <w:rPr>
          <w:rFonts w:hint="eastAsia" w:asciiTheme="minorEastAsia" w:hAnsiTheme="minorEastAsia"/>
          <w:b/>
          <w:color w:val="000000"/>
          <w:sz w:val="22"/>
        </w:rPr>
        <w:t>委托代理人：                             委托代理人：</w:t>
      </w:r>
    </w:p>
    <w:p>
      <w:pPr>
        <w:spacing w:line="360" w:lineRule="exact"/>
        <w:rPr>
          <w:rFonts w:asciiTheme="minorEastAsia" w:hAnsiTheme="minorEastAsia"/>
          <w:sz w:val="22"/>
        </w:rPr>
      </w:pPr>
    </w:p>
    <w:p>
      <w:pPr>
        <w:adjustRightInd w:val="0"/>
        <w:snapToGrid w:val="0"/>
        <w:spacing w:line="360" w:lineRule="exact"/>
        <w:rPr>
          <w:rFonts w:asciiTheme="minorEastAsia" w:hAnsiTheme="minorEastAsia"/>
          <w:sz w:val="22"/>
        </w:rPr>
      </w:pPr>
      <w:r>
        <w:rPr>
          <w:rFonts w:hint="eastAsia" w:asciiTheme="minorEastAsia" w:hAnsiTheme="minorEastAsia"/>
          <w:b/>
          <w:color w:val="000000"/>
          <w:sz w:val="22"/>
        </w:rPr>
        <w:t xml:space="preserve"> 年   月   日                               年   月   日</w:t>
      </w:r>
    </w:p>
    <w:p>
      <w:pPr>
        <w:rPr>
          <w:rFonts w:cs="宋体" w:asciiTheme="minorEastAsia" w:hAnsiTheme="minorEastAsia"/>
          <w:bCs/>
          <w:sz w:val="22"/>
        </w:rPr>
      </w:pPr>
    </w:p>
    <w:p>
      <w:pPr>
        <w:pStyle w:val="109"/>
        <w:ind w:firstLine="0" w:firstLineChars="0"/>
        <w:rPr>
          <w:rFonts w:ascii="宋体" w:hAnsi="宋体"/>
          <w:color w:val="auto"/>
        </w:rPr>
      </w:pPr>
      <w:r>
        <w:rPr>
          <w:rFonts w:hint="eastAsia" w:ascii="宋体" w:hAnsi="宋体"/>
          <w:color w:val="auto"/>
        </w:rPr>
        <w:br w:type="page"/>
      </w:r>
      <w:r>
        <w:rPr>
          <w:rFonts w:hint="eastAsia" w:ascii="宋体" w:hAnsi="宋体"/>
          <w:color w:val="auto"/>
        </w:rPr>
        <w:t>附件三</w:t>
      </w:r>
    </w:p>
    <w:p>
      <w:pPr>
        <w:pStyle w:val="109"/>
        <w:ind w:firstLine="0" w:firstLineChars="0"/>
        <w:jc w:val="center"/>
        <w:rPr>
          <w:rFonts w:ascii="宋体" w:hAnsi="宋体"/>
          <w:b/>
          <w:color w:val="auto"/>
          <w:sz w:val="36"/>
        </w:rPr>
      </w:pPr>
      <w:r>
        <w:rPr>
          <w:rFonts w:hint="eastAsia" w:ascii="宋体" w:hAnsi="宋体"/>
          <w:b/>
          <w:color w:val="auto"/>
          <w:sz w:val="36"/>
        </w:rPr>
        <w:t>廉洁自律承诺书</w:t>
      </w:r>
    </w:p>
    <w:p>
      <w:pPr>
        <w:pStyle w:val="109"/>
        <w:ind w:firstLine="0" w:firstLineChars="0"/>
        <w:rPr>
          <w:rFonts w:ascii="宋体" w:hAnsi="宋体"/>
          <w:color w:val="auto"/>
        </w:rPr>
      </w:pPr>
    </w:p>
    <w:p>
      <w:pPr>
        <w:pStyle w:val="114"/>
        <w:adjustRightInd w:val="0"/>
        <w:snapToGrid w:val="0"/>
        <w:spacing w:line="500" w:lineRule="exact"/>
        <w:ind w:firstLine="0" w:firstLineChars="0"/>
        <w:rPr>
          <w:rFonts w:ascii="宋体" w:hAnsi="宋体"/>
          <w:sz w:val="22"/>
          <w:szCs w:val="22"/>
        </w:rPr>
      </w:pPr>
      <w:r>
        <w:rPr>
          <w:rFonts w:hint="eastAsia" w:ascii="宋体" w:hAnsi="宋体"/>
          <w:sz w:val="22"/>
          <w:szCs w:val="22"/>
        </w:rPr>
        <w:t>浙江航空开发有限责任公司：</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我单位响应贵公司项目招标（竞争性谈判）要求，参加项目投标（竞争性谈判）。在投标过程中及中标后，我们将严格遵守国家法律法规要求，并郑重承诺：</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一、不以任何形式向贵公司有关人员及部门赠送礼金礼物或其它代币券、回扣、中介费、咨询费等好处费；</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二、不以任何名义为贵公司有关人员及部门报销应由贵公司或个人支付的费用；</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三、不向贵公司有关人员及部门提供有可能影响公正的宴请和健身娱乐等活动；</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四、不为贵公司有关人员出国（境）、旅游等提供方便；</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五、不为贵公司有关人员个人装修住房、婚丧嫁娶、配偶子女工作安排等提供好处；</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六、严格遵守国家招标投标法、政府采购法、合同法等法律规定，诚实守信，合法经营，坚决抵制各种违法违纪行为。若发现贵公司有关人员有故意设置障碍或推诿刁难我方人员参与正常投标及项目建设活动以索要好处等行为将及时向贵公司纪检监察部门举报，举报电话：0571－8666</w:t>
      </w:r>
      <w:r>
        <w:rPr>
          <w:rFonts w:ascii="宋体" w:hAnsi="宋体"/>
          <w:sz w:val="22"/>
          <w:szCs w:val="22"/>
        </w:rPr>
        <w:t>8558</w:t>
      </w:r>
      <w:r>
        <w:rPr>
          <w:rFonts w:hint="eastAsia" w:ascii="宋体" w:hAnsi="宋体"/>
          <w:sz w:val="22"/>
          <w:szCs w:val="22"/>
        </w:rPr>
        <w:t>。</w:t>
      </w:r>
    </w:p>
    <w:p>
      <w:pPr>
        <w:pStyle w:val="114"/>
        <w:adjustRightInd w:val="0"/>
        <w:snapToGrid w:val="0"/>
        <w:spacing w:line="500" w:lineRule="exact"/>
        <w:ind w:firstLine="440"/>
        <w:rPr>
          <w:rFonts w:ascii="宋体" w:hAnsi="宋体"/>
          <w:sz w:val="22"/>
          <w:szCs w:val="22"/>
        </w:rPr>
      </w:pPr>
      <w:r>
        <w:rPr>
          <w:rFonts w:hint="eastAsia" w:ascii="宋体" w:hAnsi="宋体"/>
          <w:sz w:val="22"/>
          <w:szCs w:val="22"/>
        </w:rPr>
        <w:t>如违反上述承诺，贵公司有权立即取消我单位投标、中标或在建项目的实施资格，有权拒绝我单位在一定时期内进入贵公司进行项目建设或其它经营活动。由此引起的相应损失均由我单位承担。</w:t>
      </w:r>
    </w:p>
    <w:p>
      <w:pPr>
        <w:pStyle w:val="114"/>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承诺人单位名称（盖章）：            </w:t>
      </w:r>
    </w:p>
    <w:p>
      <w:pPr>
        <w:pStyle w:val="114"/>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法定代表人 ：                    </w:t>
      </w:r>
    </w:p>
    <w:p>
      <w:pPr>
        <w:pStyle w:val="114"/>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或                            </w:t>
      </w:r>
    </w:p>
    <w:p>
      <w:pPr>
        <w:pStyle w:val="114"/>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委托代理人：                   </w:t>
      </w:r>
    </w:p>
    <w:p>
      <w:pPr>
        <w:pStyle w:val="114"/>
        <w:adjustRightInd w:val="0"/>
        <w:snapToGrid w:val="0"/>
        <w:spacing w:line="500" w:lineRule="exact"/>
        <w:ind w:firstLine="0" w:firstLineChars="0"/>
        <w:jc w:val="left"/>
        <w:rPr>
          <w:rFonts w:ascii="宋体" w:hAnsi="宋体"/>
          <w:sz w:val="22"/>
          <w:szCs w:val="22"/>
        </w:rPr>
      </w:pPr>
    </w:p>
    <w:p>
      <w:pPr>
        <w:widowControl/>
        <w:jc w:val="left"/>
        <w:rPr>
          <w:rFonts w:ascii="Cambria" w:hAnsi="Cambria" w:eastAsia="黑体" w:cs="Times New Roman"/>
          <w:b/>
          <w:bCs/>
          <w:kern w:val="0"/>
          <w:sz w:val="32"/>
          <w:szCs w:val="32"/>
        </w:rPr>
      </w:pPr>
      <w:r>
        <w:rPr>
          <w:rFonts w:hint="eastAsia" w:ascii="宋体" w:hAnsi="宋体"/>
          <w:sz w:val="22"/>
        </w:rPr>
        <w:t>签订日期：　年  月  日</w:t>
      </w:r>
    </w:p>
    <w:p>
      <w:pPr>
        <w:widowControl/>
        <w:jc w:val="left"/>
        <w:rPr>
          <w:rFonts w:ascii="Cambria" w:hAnsi="Cambria" w:eastAsia="黑体" w:cs="Times New Roman"/>
          <w:b/>
          <w:bCs/>
          <w:kern w:val="0"/>
          <w:sz w:val="32"/>
          <w:szCs w:val="32"/>
        </w:rPr>
      </w:pPr>
      <w:r>
        <w:br w:type="page"/>
      </w:r>
    </w:p>
    <w:p>
      <w:pPr>
        <w:pStyle w:val="48"/>
      </w:pPr>
      <w:bookmarkStart w:id="94" w:name="_Toc448097407"/>
      <w:r>
        <w:rPr>
          <w:rFonts w:hint="eastAsia"/>
        </w:rPr>
        <w:t>第四章  参考工程量清单</w:t>
      </w:r>
      <w:bookmarkEnd w:id="94"/>
      <w:r>
        <w:rPr>
          <w:rFonts w:hint="eastAsia"/>
        </w:rPr>
        <w:t>（详见附件）</w:t>
      </w:r>
    </w:p>
    <w:p>
      <w:pPr>
        <w:widowControl/>
        <w:jc w:val="left"/>
        <w:rPr>
          <w:rFonts w:ascii="Cambria" w:hAnsi="Cambria" w:eastAsia="黑体" w:cs="Times New Roman"/>
          <w:b/>
          <w:bCs/>
          <w:kern w:val="0"/>
          <w:sz w:val="32"/>
          <w:szCs w:val="32"/>
        </w:rPr>
      </w:pPr>
      <w:r>
        <w:br w:type="page"/>
      </w:r>
    </w:p>
    <w:p>
      <w:pPr>
        <w:pStyle w:val="48"/>
      </w:pPr>
      <w:bookmarkStart w:id="95" w:name="_Toc448097408"/>
      <w:r>
        <w:rPr>
          <w:rFonts w:hint="eastAsia"/>
        </w:rPr>
        <w:t xml:space="preserve">第五章  </w:t>
      </w:r>
      <w:bookmarkEnd w:id="95"/>
      <w:r>
        <w:rPr>
          <w:rFonts w:hint="eastAsia"/>
        </w:rPr>
        <w:t>施工工艺及</w:t>
      </w:r>
      <w:r>
        <w:t>技术要求</w:t>
      </w:r>
    </w:p>
    <w:p>
      <w:pPr>
        <w:pStyle w:val="48"/>
        <w:jc w:val="both"/>
        <w:rPr>
          <w:rFonts w:ascii="仿宋_GB2312" w:hAnsi="仿宋_GB2312" w:eastAsia="仿宋_GB2312" w:cs="仿宋_GB2312"/>
          <w:b w:val="0"/>
          <w:bCs w:val="0"/>
        </w:rPr>
      </w:pPr>
      <w:r>
        <w:rPr>
          <w:rFonts w:hint="eastAsia" w:ascii="仿宋_GB2312" w:hAnsi="仿宋_GB2312" w:eastAsia="仿宋_GB2312" w:cs="仿宋_GB2312"/>
          <w:b w:val="0"/>
          <w:bCs w:val="0"/>
        </w:rPr>
        <w:t>一、项目概况</w:t>
      </w:r>
    </w:p>
    <w:p>
      <w:r>
        <w:rPr>
          <w:rFonts w:hint="eastAsia"/>
        </w:rPr>
        <w:t>1</w:t>
      </w:r>
      <w:r>
        <w:t>.1项目基本概况</w:t>
      </w:r>
    </w:p>
    <w:tbl>
      <w:tblPr>
        <w:tblStyle w:val="53"/>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268"/>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46" w:type="dxa"/>
            <w:vAlign w:val="center"/>
          </w:tcPr>
          <w:p>
            <w:pPr>
              <w:rPr>
                <w:kern w:val="0"/>
                <w:sz w:val="24"/>
                <w:szCs w:val="24"/>
              </w:rPr>
            </w:pPr>
            <w:r>
              <w:rPr>
                <w:rFonts w:hint="eastAsia"/>
                <w:kern w:val="0"/>
                <w:sz w:val="24"/>
                <w:szCs w:val="24"/>
              </w:rPr>
              <w:t>序号</w:t>
            </w:r>
          </w:p>
        </w:tc>
        <w:tc>
          <w:tcPr>
            <w:tcW w:w="2268" w:type="dxa"/>
            <w:vAlign w:val="center"/>
          </w:tcPr>
          <w:p>
            <w:pPr>
              <w:jc w:val="center"/>
              <w:rPr>
                <w:kern w:val="0"/>
                <w:sz w:val="24"/>
                <w:szCs w:val="24"/>
              </w:rPr>
            </w:pPr>
            <w:r>
              <w:rPr>
                <w:rFonts w:hint="eastAsia"/>
                <w:kern w:val="0"/>
                <w:sz w:val="24"/>
                <w:szCs w:val="24"/>
              </w:rPr>
              <w:t>项目</w:t>
            </w:r>
          </w:p>
        </w:tc>
        <w:tc>
          <w:tcPr>
            <w:tcW w:w="5386" w:type="dxa"/>
            <w:vAlign w:val="center"/>
          </w:tcPr>
          <w:p>
            <w:pPr>
              <w:jc w:val="center"/>
              <w:rPr>
                <w:kern w:val="0"/>
                <w:sz w:val="24"/>
                <w:szCs w:val="24"/>
              </w:rPr>
            </w:pPr>
            <w:r>
              <w:rPr>
                <w:rFonts w:hint="eastAsia"/>
                <w:kern w:val="0"/>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46" w:type="dxa"/>
            <w:vAlign w:val="center"/>
          </w:tcPr>
          <w:p>
            <w:pPr>
              <w:jc w:val="center"/>
              <w:rPr>
                <w:kern w:val="0"/>
                <w:sz w:val="24"/>
                <w:szCs w:val="24"/>
              </w:rPr>
            </w:pPr>
            <w:r>
              <w:rPr>
                <w:rFonts w:hint="eastAsia"/>
                <w:kern w:val="0"/>
                <w:sz w:val="24"/>
                <w:szCs w:val="24"/>
              </w:rPr>
              <w:t>1</w:t>
            </w:r>
          </w:p>
        </w:tc>
        <w:tc>
          <w:tcPr>
            <w:tcW w:w="2268" w:type="dxa"/>
            <w:vAlign w:val="center"/>
          </w:tcPr>
          <w:p>
            <w:pPr>
              <w:jc w:val="center"/>
              <w:rPr>
                <w:kern w:val="0"/>
                <w:sz w:val="24"/>
                <w:szCs w:val="24"/>
              </w:rPr>
            </w:pPr>
            <w:r>
              <w:rPr>
                <w:rFonts w:hint="eastAsia"/>
                <w:kern w:val="0"/>
                <w:sz w:val="24"/>
                <w:szCs w:val="24"/>
              </w:rPr>
              <w:t>项目名称</w:t>
            </w:r>
          </w:p>
        </w:tc>
        <w:tc>
          <w:tcPr>
            <w:tcW w:w="5386" w:type="dxa"/>
            <w:vAlign w:val="center"/>
          </w:tcPr>
          <w:p>
            <w:pPr>
              <w:rPr>
                <w:kern w:val="0"/>
                <w:sz w:val="24"/>
                <w:szCs w:val="24"/>
              </w:rPr>
            </w:pPr>
            <w:r>
              <w:rPr>
                <w:rFonts w:hint="eastAsia"/>
                <w:kern w:val="0"/>
                <w:sz w:val="24"/>
                <w:szCs w:val="24"/>
              </w:rPr>
              <w:t>浙江航空开发有限责任公司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846" w:type="dxa"/>
            <w:vAlign w:val="center"/>
          </w:tcPr>
          <w:p>
            <w:pPr>
              <w:jc w:val="center"/>
              <w:rPr>
                <w:kern w:val="0"/>
                <w:sz w:val="24"/>
                <w:szCs w:val="24"/>
              </w:rPr>
            </w:pPr>
            <w:r>
              <w:rPr>
                <w:rFonts w:hint="eastAsia"/>
                <w:kern w:val="0"/>
                <w:sz w:val="24"/>
                <w:szCs w:val="24"/>
              </w:rPr>
              <w:t>2</w:t>
            </w:r>
          </w:p>
        </w:tc>
        <w:tc>
          <w:tcPr>
            <w:tcW w:w="2268" w:type="dxa"/>
            <w:vAlign w:val="center"/>
          </w:tcPr>
          <w:p>
            <w:pPr>
              <w:jc w:val="center"/>
              <w:rPr>
                <w:kern w:val="0"/>
                <w:sz w:val="24"/>
                <w:szCs w:val="24"/>
              </w:rPr>
            </w:pPr>
            <w:r>
              <w:rPr>
                <w:rFonts w:hint="eastAsia"/>
                <w:kern w:val="0"/>
                <w:sz w:val="24"/>
                <w:szCs w:val="24"/>
              </w:rPr>
              <w:t>项目地点</w:t>
            </w:r>
          </w:p>
        </w:tc>
        <w:tc>
          <w:tcPr>
            <w:tcW w:w="5386" w:type="dxa"/>
            <w:vAlign w:val="center"/>
          </w:tcPr>
          <w:p>
            <w:pPr>
              <w:rPr>
                <w:kern w:val="0"/>
                <w:sz w:val="24"/>
                <w:szCs w:val="24"/>
              </w:rPr>
            </w:pPr>
            <w:r>
              <w:rPr>
                <w:rFonts w:hint="eastAsia"/>
                <w:kern w:val="0"/>
                <w:sz w:val="24"/>
                <w:szCs w:val="24"/>
              </w:rPr>
              <w:t>杭州萧山国际机场内药品仓储基地3#库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46" w:type="dxa"/>
            <w:vAlign w:val="center"/>
          </w:tcPr>
          <w:p>
            <w:pPr>
              <w:jc w:val="center"/>
              <w:rPr>
                <w:kern w:val="0"/>
                <w:sz w:val="24"/>
                <w:szCs w:val="24"/>
              </w:rPr>
            </w:pPr>
            <w:r>
              <w:rPr>
                <w:rFonts w:hint="eastAsia"/>
                <w:kern w:val="0"/>
                <w:sz w:val="24"/>
                <w:szCs w:val="24"/>
              </w:rPr>
              <w:t>3</w:t>
            </w:r>
          </w:p>
        </w:tc>
        <w:tc>
          <w:tcPr>
            <w:tcW w:w="2268" w:type="dxa"/>
            <w:vAlign w:val="center"/>
          </w:tcPr>
          <w:p>
            <w:pPr>
              <w:jc w:val="center"/>
              <w:rPr>
                <w:kern w:val="0"/>
                <w:sz w:val="24"/>
                <w:szCs w:val="24"/>
              </w:rPr>
            </w:pPr>
            <w:r>
              <w:rPr>
                <w:rFonts w:hint="eastAsia"/>
                <w:kern w:val="0"/>
                <w:sz w:val="24"/>
                <w:szCs w:val="24"/>
              </w:rPr>
              <w:t>屋面面积</w:t>
            </w:r>
          </w:p>
        </w:tc>
        <w:tc>
          <w:tcPr>
            <w:tcW w:w="5386" w:type="dxa"/>
            <w:vAlign w:val="center"/>
          </w:tcPr>
          <w:p>
            <w:pPr>
              <w:rPr>
                <w:kern w:val="0"/>
                <w:sz w:val="24"/>
                <w:szCs w:val="24"/>
              </w:rPr>
            </w:pPr>
            <w:r>
              <w:rPr>
                <w:rFonts w:hint="eastAsia"/>
                <w:kern w:val="0"/>
                <w:sz w:val="24"/>
                <w:szCs w:val="24"/>
              </w:rPr>
              <w:t>4</w:t>
            </w:r>
            <w:r>
              <w:rPr>
                <w:kern w:val="0"/>
                <w:sz w:val="24"/>
                <w:szCs w:val="24"/>
              </w:rPr>
              <w:t>8×120</w:t>
            </w:r>
            <w:r>
              <w:rPr>
                <w:rFonts w:hint="eastAsia"/>
                <w:kern w:val="0"/>
                <w:sz w:val="24"/>
                <w:szCs w:val="24"/>
              </w:rPr>
              <w:t>=</w:t>
            </w:r>
            <w:r>
              <w:rPr>
                <w:kern w:val="0"/>
                <w:sz w:val="24"/>
                <w:szCs w:val="24"/>
              </w:rPr>
              <w:t>5760m2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846" w:type="dxa"/>
            <w:vAlign w:val="center"/>
          </w:tcPr>
          <w:p>
            <w:pPr>
              <w:jc w:val="center"/>
              <w:rPr>
                <w:kern w:val="0"/>
                <w:sz w:val="24"/>
                <w:szCs w:val="24"/>
              </w:rPr>
            </w:pPr>
            <w:r>
              <w:rPr>
                <w:rFonts w:hint="eastAsia"/>
                <w:kern w:val="0"/>
                <w:sz w:val="24"/>
                <w:szCs w:val="24"/>
              </w:rPr>
              <w:t>4</w:t>
            </w:r>
          </w:p>
        </w:tc>
        <w:tc>
          <w:tcPr>
            <w:tcW w:w="2268" w:type="dxa"/>
            <w:vAlign w:val="center"/>
          </w:tcPr>
          <w:p>
            <w:pPr>
              <w:jc w:val="center"/>
              <w:rPr>
                <w:kern w:val="0"/>
                <w:sz w:val="24"/>
                <w:szCs w:val="24"/>
              </w:rPr>
            </w:pPr>
            <w:r>
              <w:rPr>
                <w:rFonts w:hint="eastAsia"/>
                <w:kern w:val="0"/>
                <w:sz w:val="24"/>
                <w:szCs w:val="24"/>
              </w:rPr>
              <w:t>建筑性质</w:t>
            </w:r>
          </w:p>
        </w:tc>
        <w:tc>
          <w:tcPr>
            <w:tcW w:w="5386" w:type="dxa"/>
            <w:vAlign w:val="center"/>
          </w:tcPr>
          <w:p>
            <w:pPr>
              <w:rPr>
                <w:kern w:val="0"/>
                <w:sz w:val="24"/>
                <w:szCs w:val="24"/>
              </w:rPr>
            </w:pPr>
            <w:r>
              <w:rPr>
                <w:rFonts w:hint="eastAsia"/>
                <w:kern w:val="0"/>
                <w:sz w:val="24"/>
                <w:szCs w:val="24"/>
              </w:rPr>
              <w:t>药品仓库库房</w:t>
            </w:r>
          </w:p>
        </w:tc>
      </w:tr>
    </w:tbl>
    <w:p>
      <w:r>
        <w:rPr>
          <w:rFonts w:hint="eastAsia"/>
        </w:rPr>
        <w:t>1</w:t>
      </w:r>
      <w:r>
        <w:t>.2建筑设计概况</w:t>
      </w:r>
    </w:p>
    <w:p/>
    <w:tbl>
      <w:tblPr>
        <w:tblStyle w:val="53"/>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268"/>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846" w:type="dxa"/>
            <w:vAlign w:val="center"/>
          </w:tcPr>
          <w:p>
            <w:pPr>
              <w:widowControl/>
              <w:jc w:val="center"/>
              <w:rPr>
                <w:rFonts w:cs="Times New Roman" w:asciiTheme="minorEastAsia" w:hAnsiTheme="minorEastAsia"/>
                <w:kern w:val="0"/>
                <w:sz w:val="24"/>
                <w:szCs w:val="24"/>
                <w:lang w:bidi="ar"/>
              </w:rPr>
            </w:pPr>
            <w:bookmarkStart w:id="96" w:name="_Toc448097409"/>
            <w:bookmarkStart w:id="97" w:name="_Toc275274581"/>
            <w:r>
              <w:rPr>
                <w:rFonts w:cs="Times New Roman" w:asciiTheme="minorEastAsia" w:hAnsiTheme="minorEastAsia"/>
                <w:kern w:val="0"/>
                <w:sz w:val="24"/>
                <w:szCs w:val="24"/>
                <w:lang w:bidi="ar"/>
              </w:rPr>
              <w:t>序号</w:t>
            </w:r>
          </w:p>
        </w:tc>
        <w:tc>
          <w:tcPr>
            <w:tcW w:w="2268" w:type="dxa"/>
            <w:vAlign w:val="center"/>
          </w:tcPr>
          <w:p>
            <w:pPr>
              <w:widowControl/>
              <w:jc w:val="center"/>
              <w:rPr>
                <w:rFonts w:cs="Times New Roman" w:asciiTheme="minorEastAsia" w:hAnsiTheme="minorEastAsia"/>
                <w:kern w:val="0"/>
                <w:sz w:val="24"/>
                <w:szCs w:val="24"/>
                <w:lang w:bidi="ar"/>
              </w:rPr>
            </w:pPr>
            <w:r>
              <w:rPr>
                <w:rFonts w:cs="Times New Roman" w:asciiTheme="minorEastAsia" w:hAnsiTheme="minorEastAsia"/>
                <w:kern w:val="0"/>
                <w:sz w:val="24"/>
                <w:szCs w:val="24"/>
                <w:lang w:bidi="ar"/>
              </w:rPr>
              <w:t>项目</w:t>
            </w:r>
          </w:p>
        </w:tc>
        <w:tc>
          <w:tcPr>
            <w:tcW w:w="5386" w:type="dxa"/>
            <w:vAlign w:val="center"/>
          </w:tcPr>
          <w:p>
            <w:pPr>
              <w:widowControl/>
              <w:jc w:val="center"/>
              <w:rPr>
                <w:rFonts w:cs="Times New Roman" w:asciiTheme="minorEastAsia" w:hAnsiTheme="minorEastAsia"/>
                <w:kern w:val="0"/>
                <w:sz w:val="24"/>
                <w:szCs w:val="24"/>
                <w:lang w:bidi="ar"/>
              </w:rPr>
            </w:pPr>
            <w:r>
              <w:rPr>
                <w:rFonts w:cs="Times New Roman" w:asciiTheme="minorEastAsia" w:hAnsiTheme="minorEastAsia"/>
                <w:kern w:val="0"/>
                <w:sz w:val="24"/>
                <w:szCs w:val="24"/>
                <w:lang w:bidi="ar"/>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846" w:type="dxa"/>
            <w:vAlign w:val="center"/>
          </w:tcPr>
          <w:p>
            <w:pPr>
              <w:widowControl/>
              <w:jc w:val="center"/>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1</w:t>
            </w:r>
          </w:p>
        </w:tc>
        <w:tc>
          <w:tcPr>
            <w:tcW w:w="2268" w:type="dxa"/>
            <w:vAlign w:val="center"/>
          </w:tcPr>
          <w:p>
            <w:pPr>
              <w:rPr>
                <w:kern w:val="0"/>
                <w:sz w:val="24"/>
                <w:szCs w:val="24"/>
              </w:rPr>
            </w:pPr>
            <w:r>
              <w:rPr>
                <w:rFonts w:hint="eastAsia" w:ascii="宋体" w:hAnsi="宋体"/>
                <w:color w:val="000000"/>
                <w:kern w:val="0"/>
                <w:sz w:val="24"/>
                <w:szCs w:val="24"/>
              </w:rPr>
              <w:t>现有屋面</w:t>
            </w:r>
            <w:r>
              <w:rPr>
                <w:kern w:val="0"/>
                <w:sz w:val="24"/>
                <w:szCs w:val="24"/>
              </w:rPr>
              <w:t>概述</w:t>
            </w:r>
          </w:p>
        </w:tc>
        <w:tc>
          <w:tcPr>
            <w:tcW w:w="5386" w:type="dxa"/>
            <w:vAlign w:val="center"/>
          </w:tcPr>
          <w:p>
            <w:pPr>
              <w:pStyle w:val="125"/>
              <w:numPr>
                <w:ilvl w:val="0"/>
                <w:numId w:val="6"/>
              </w:numPr>
              <w:autoSpaceDE w:val="0"/>
              <w:autoSpaceDN w:val="0"/>
              <w:spacing w:line="240" w:lineRule="exact"/>
              <w:ind w:firstLineChars="0"/>
              <w:jc w:val="left"/>
              <w:rPr>
                <w:rFonts w:ascii="宋体" w:hAnsi="宋体"/>
                <w:color w:val="000000"/>
                <w:kern w:val="0"/>
              </w:rPr>
            </w:pPr>
            <w:r>
              <w:rPr>
                <w:rFonts w:hint="eastAsia" w:ascii="宋体" w:hAnsi="宋体"/>
                <w:color w:val="000000"/>
                <w:kern w:val="0"/>
              </w:rPr>
              <w:t>相关屋面为宽度48m，共2坡，设置有2道天沟，1道屋脊；</w:t>
            </w:r>
          </w:p>
          <w:p>
            <w:pPr>
              <w:pStyle w:val="125"/>
              <w:numPr>
                <w:ilvl w:val="0"/>
                <w:numId w:val="6"/>
              </w:numPr>
              <w:autoSpaceDE w:val="0"/>
              <w:autoSpaceDN w:val="0"/>
              <w:spacing w:line="240" w:lineRule="exact"/>
              <w:ind w:firstLineChars="0"/>
              <w:jc w:val="left"/>
              <w:rPr>
                <w:rFonts w:ascii="宋体" w:hAnsi="宋体"/>
                <w:color w:val="000000"/>
                <w:kern w:val="0"/>
              </w:rPr>
            </w:pPr>
            <w:r>
              <w:rPr>
                <w:rFonts w:hint="eastAsia" w:ascii="宋体" w:hAnsi="宋体"/>
                <w:color w:val="000000"/>
                <w:kern w:val="0"/>
              </w:rPr>
              <w:t>四周设有女儿墙，最高处墙高约2m；</w:t>
            </w:r>
          </w:p>
          <w:p>
            <w:pPr>
              <w:autoSpaceDE w:val="0"/>
              <w:autoSpaceDN w:val="0"/>
              <w:spacing w:line="310" w:lineRule="exact"/>
              <w:jc w:val="left"/>
              <w:rPr>
                <w:rFonts w:ascii="宋体" w:hAnsi="宋体"/>
                <w:color w:val="000000"/>
                <w:kern w:val="0"/>
                <w:sz w:val="24"/>
                <w:szCs w:val="24"/>
              </w:rPr>
            </w:pPr>
            <w:r>
              <w:rPr>
                <w:rFonts w:hint="eastAsia" w:ascii="宋体" w:hAnsi="宋体"/>
                <w:color w:val="000000"/>
                <w:kern w:val="0"/>
                <w:sz w:val="24"/>
                <w:szCs w:val="24"/>
              </w:rPr>
              <w:t>3、屋面未设置通风器和采光带。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46" w:type="dxa"/>
            <w:vAlign w:val="center"/>
          </w:tcPr>
          <w:p>
            <w:pPr>
              <w:widowControl/>
              <w:jc w:val="center"/>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2</w:t>
            </w:r>
          </w:p>
        </w:tc>
        <w:tc>
          <w:tcPr>
            <w:tcW w:w="2268" w:type="dxa"/>
            <w:vAlign w:val="center"/>
          </w:tcPr>
          <w:p>
            <w:pPr>
              <w:rPr>
                <w:rFonts w:ascii="仿宋_GB2312" w:hAnsi="Times New Roman" w:eastAsia="仿宋_GB2312" w:cs="Times New Roman"/>
                <w:kern w:val="0"/>
                <w:sz w:val="24"/>
                <w:szCs w:val="24"/>
                <w:lang w:bidi="ar"/>
              </w:rPr>
            </w:pPr>
            <w:r>
              <w:rPr>
                <w:kern w:val="0"/>
                <w:sz w:val="24"/>
                <w:szCs w:val="24"/>
              </w:rPr>
              <w:t>现有屋面做法</w:t>
            </w:r>
          </w:p>
        </w:tc>
        <w:tc>
          <w:tcPr>
            <w:tcW w:w="5386" w:type="dxa"/>
            <w:vAlign w:val="center"/>
          </w:tcPr>
          <w:p>
            <w:pPr>
              <w:autoSpaceDE w:val="0"/>
              <w:autoSpaceDN w:val="0"/>
              <w:spacing w:line="240" w:lineRule="exact"/>
              <w:jc w:val="left"/>
              <w:rPr>
                <w:rFonts w:ascii="宋体" w:hAnsi="宋体"/>
                <w:color w:val="000000"/>
                <w:kern w:val="0"/>
                <w:sz w:val="24"/>
                <w:szCs w:val="24"/>
              </w:rPr>
            </w:pPr>
            <w:r>
              <w:rPr>
                <w:rFonts w:hint="eastAsia" w:ascii="宋体" w:hAnsi="宋体"/>
                <w:color w:val="000000"/>
                <w:kern w:val="0"/>
                <w:sz w:val="24"/>
                <w:szCs w:val="24"/>
              </w:rPr>
              <w:t>屋面坡度10%，彩钢板，板型角驰760型。</w:t>
            </w:r>
          </w:p>
        </w:tc>
      </w:tr>
    </w:tbl>
    <w:p>
      <w:pPr>
        <w:widowControl/>
        <w:jc w:val="left"/>
        <w:rPr>
          <w:rFonts w:ascii="仿宋_GB2312" w:hAnsi="仿宋_GB2312" w:eastAsia="仿宋_GB2312" w:cs="仿宋_GB2312"/>
          <w:kern w:val="0"/>
          <w:sz w:val="24"/>
          <w:szCs w:val="24"/>
        </w:rPr>
      </w:pPr>
      <w:r>
        <w:rPr>
          <w:rFonts w:hint="eastAsia"/>
        </w:rPr>
        <w:t>1</w:t>
      </w:r>
      <w:r>
        <w:t>.3屋面现状</w:t>
      </w:r>
      <w:r>
        <w:rPr>
          <w:rFonts w:hint="eastAsia"/>
        </w:rPr>
        <w:t>（组织集中勘察现场，意向投标者务必到场实地查看现场）</w:t>
      </w:r>
    </w:p>
    <w:p>
      <w:pPr>
        <w:widowControl/>
        <w:jc w:val="left"/>
      </w:pPr>
    </w:p>
    <w:p>
      <w:pPr>
        <w:pStyle w:val="125"/>
        <w:ind w:left="480" w:firstLine="0" w:firstLineChars="0"/>
        <w:rPr>
          <w:kern w:val="0"/>
          <w:sz w:val="22"/>
          <w:szCs w:val="22"/>
        </w:rPr>
      </w:pPr>
      <w:r>
        <w:drawing>
          <wp:inline distT="0" distB="0" distL="0" distR="0">
            <wp:extent cx="5305425" cy="3209925"/>
            <wp:effectExtent l="0" t="0" r="9525" b="9525"/>
            <wp:docPr id="3" name="图片 3" descr="C:\Users\LENOVO\AppData\Local\Temp\ksohtml1977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LENOVO\AppData\Local\Temp\ksohtml19776\wps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305425" cy="3209925"/>
                    </a:xfrm>
                    <a:prstGeom prst="rect">
                      <a:avLst/>
                    </a:prstGeom>
                    <a:noFill/>
                    <a:ln>
                      <a:noFill/>
                    </a:ln>
                  </pic:spPr>
                </pic:pic>
              </a:graphicData>
            </a:graphic>
          </wp:inline>
        </w:drawing>
      </w:r>
    </w:p>
    <w:p>
      <w:pPr>
        <w:pStyle w:val="125"/>
        <w:widowControl/>
        <w:ind w:left="480" w:firstLine="0" w:firstLineChars="0"/>
        <w:jc w:val="left"/>
        <w:rPr>
          <w:rFonts w:ascii="仿宋_GB2312" w:hAnsi="仿宋_GB2312" w:eastAsia="仿宋_GB2312" w:cs="仿宋_GB2312"/>
          <w:kern w:val="0"/>
          <w:sz w:val="32"/>
          <w:szCs w:val="32"/>
        </w:rPr>
      </w:pPr>
    </w:p>
    <w:p>
      <w:pPr>
        <w:pStyle w:val="125"/>
        <w:widowControl/>
        <w:ind w:left="480" w:firstLine="0" w:firstLineChars="0"/>
        <w:jc w:val="left"/>
        <w:rPr>
          <w:rFonts w:ascii="仿宋_GB2312" w:hAnsi="仿宋_GB2312" w:eastAsia="仿宋_GB2312" w:cs="仿宋_GB2312"/>
          <w:kern w:val="0"/>
          <w:sz w:val="32"/>
          <w:szCs w:val="32"/>
        </w:rPr>
      </w:pPr>
    </w:p>
    <w:p>
      <w:pPr>
        <w:pStyle w:val="125"/>
        <w:widowControl/>
        <w:ind w:left="480" w:firstLine="0" w:firstLineChars="0"/>
        <w:jc w:val="left"/>
        <w:rPr>
          <w:rFonts w:ascii="仿宋_GB2312" w:hAnsi="仿宋_GB2312" w:eastAsia="仿宋_GB2312" w:cs="仿宋_GB2312"/>
          <w:kern w:val="0"/>
          <w:sz w:val="32"/>
          <w:szCs w:val="32"/>
        </w:rPr>
      </w:pPr>
    </w:p>
    <w:p>
      <w:pPr>
        <w:pStyle w:val="125"/>
        <w:widowControl/>
        <w:ind w:left="480" w:firstLine="0" w:firstLineChars="0"/>
        <w:jc w:val="left"/>
        <w:rPr>
          <w:rFonts w:ascii="仿宋_GB2312" w:hAnsi="仿宋_GB2312" w:eastAsia="仿宋_GB2312" w:cs="仿宋_GB2312"/>
          <w:kern w:val="0"/>
          <w:sz w:val="32"/>
          <w:szCs w:val="32"/>
        </w:rPr>
      </w:pPr>
    </w:p>
    <w:p>
      <w:pPr>
        <w:pStyle w:val="125"/>
        <w:widowControl/>
        <w:ind w:left="480" w:firstLine="0" w:firstLineChars="0"/>
        <w:jc w:val="left"/>
        <w:rPr>
          <w:rFonts w:ascii="仿宋_GB2312" w:hAnsi="仿宋_GB2312" w:eastAsia="仿宋_GB2312" w:cs="仿宋_GB2312"/>
          <w:kern w:val="0"/>
          <w:sz w:val="32"/>
          <w:szCs w:val="32"/>
        </w:rPr>
      </w:pPr>
    </w:p>
    <w:p>
      <w:pPr>
        <w:pStyle w:val="125"/>
        <w:numPr>
          <w:ilvl w:val="0"/>
          <w:numId w:val="4"/>
        </w:numPr>
        <w:autoSpaceDE w:val="0"/>
        <w:autoSpaceDN w:val="0"/>
        <w:spacing w:line="293" w:lineRule="exact"/>
        <w:ind w:firstLineChars="0"/>
        <w:jc w:val="left"/>
        <w:rPr>
          <w:rFonts w:ascii="宋体" w:hAnsi="宋体"/>
          <w:color w:val="000000"/>
          <w:sz w:val="28"/>
          <w:szCs w:val="28"/>
        </w:rPr>
      </w:pPr>
      <w:r>
        <w:rPr>
          <w:rFonts w:hint="eastAsia" w:ascii="宋体" w:hAnsi="宋体"/>
          <w:color w:val="000000"/>
          <w:sz w:val="28"/>
          <w:szCs w:val="28"/>
        </w:rPr>
        <w:t>现状问题及维修方案</w:t>
      </w:r>
    </w:p>
    <w:p>
      <w:pPr>
        <w:autoSpaceDE w:val="0"/>
        <w:autoSpaceDN w:val="0"/>
        <w:spacing w:line="293" w:lineRule="exact"/>
        <w:jc w:val="left"/>
        <w:rPr>
          <w:rFonts w:ascii="宋体" w:hAnsi="宋体"/>
          <w:color w:val="000000"/>
          <w:kern w:val="0"/>
          <w:sz w:val="28"/>
          <w:szCs w:val="28"/>
        </w:rPr>
      </w:pPr>
      <w:r>
        <w:rPr>
          <w:rFonts w:ascii="宋体" w:hAnsi="宋体"/>
          <w:color w:val="000000"/>
          <w:kern w:val="0"/>
          <w:sz w:val="28"/>
          <w:szCs w:val="28"/>
        </w:rPr>
        <w:t>2.1屋脊</w:t>
      </w:r>
    </w:p>
    <w:p>
      <w:pPr>
        <w:autoSpaceDE w:val="0"/>
        <w:autoSpaceDN w:val="0"/>
        <w:spacing w:line="293" w:lineRule="exact"/>
        <w:jc w:val="left"/>
        <w:rPr>
          <w:rFonts w:ascii="宋体" w:hAnsi="宋体"/>
          <w:color w:val="000000"/>
          <w:kern w:val="0"/>
          <w:sz w:val="28"/>
          <w:szCs w:val="28"/>
        </w:rPr>
      </w:pPr>
      <w:r>
        <w:drawing>
          <wp:anchor distT="0" distB="0" distL="114300" distR="114300" simplePos="0" relativeHeight="251661312" behindDoc="0" locked="0" layoutInCell="1" allowOverlap="1">
            <wp:simplePos x="0" y="0"/>
            <wp:positionH relativeFrom="margin">
              <wp:posOffset>-22860</wp:posOffset>
            </wp:positionH>
            <wp:positionV relativeFrom="paragraph">
              <wp:posOffset>113665</wp:posOffset>
            </wp:positionV>
            <wp:extent cx="5437505" cy="3285490"/>
            <wp:effectExtent l="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437505" cy="3285490"/>
                    </a:xfrm>
                    <a:prstGeom prst="rect">
                      <a:avLst/>
                    </a:prstGeom>
                  </pic:spPr>
                </pic:pic>
              </a:graphicData>
            </a:graphic>
          </wp:anchor>
        </w:drawing>
      </w: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autoSpaceDE w:val="0"/>
        <w:autoSpaceDN w:val="0"/>
        <w:spacing w:line="293" w:lineRule="exact"/>
        <w:jc w:val="left"/>
        <w:rPr>
          <w:rFonts w:ascii="宋体" w:hAnsi="宋体"/>
          <w:color w:val="000000"/>
          <w:kern w:val="0"/>
          <w:sz w:val="28"/>
          <w:szCs w:val="28"/>
        </w:rPr>
      </w:pPr>
    </w:p>
    <w:p>
      <w:pPr>
        <w:rPr>
          <w:kern w:val="0"/>
          <w:sz w:val="22"/>
        </w:rPr>
      </w:pPr>
      <w:r>
        <w:rPr>
          <w:rFonts w:hint="eastAsia" w:ascii="宋体" w:hAnsi="宋体"/>
          <w:color w:val="FFFFFF"/>
          <w:sz w:val="24"/>
          <w:szCs w:val="24"/>
        </w:rPr>
        <w:t>型问题</w:t>
      </w:r>
    </w:p>
    <w:p>
      <w:pPr>
        <w:autoSpaceDE w:val="0"/>
        <w:autoSpaceDN w:val="0"/>
        <w:spacing w:line="240" w:lineRule="exact"/>
        <w:jc w:val="left"/>
        <w:rPr>
          <w:rFonts w:ascii="宋体" w:hAnsi="宋体"/>
          <w:color w:val="FFFFFF"/>
          <w:kern w:val="0"/>
          <w:sz w:val="24"/>
          <w:szCs w:val="24"/>
        </w:rPr>
      </w:pPr>
      <w:r>
        <w:rPr>
          <w:rFonts w:hint="eastAsia" w:ascii="宋体" w:hAnsi="宋体"/>
          <w:color w:val="FFFFFF"/>
          <w:sz w:val="24"/>
          <w:szCs w:val="24"/>
        </w:rPr>
        <w:t>维修方案脊典型问题</w:t>
      </w:r>
    </w:p>
    <w:p>
      <w:pPr>
        <w:rPr>
          <w:b/>
          <w:kern w:val="0"/>
          <w:sz w:val="24"/>
          <w:szCs w:val="24"/>
        </w:rPr>
      </w:pPr>
      <w:r>
        <w:rPr>
          <w:b/>
          <w:kern w:val="0"/>
          <w:sz w:val="24"/>
          <w:szCs w:val="24"/>
        </w:rPr>
        <w:t>维修方案</w:t>
      </w:r>
      <w:r>
        <w:rPr>
          <w:rFonts w:hint="eastAsia"/>
          <w:b/>
          <w:kern w:val="0"/>
          <w:sz w:val="24"/>
          <w:szCs w:val="24"/>
        </w:rPr>
        <w:t>：</w:t>
      </w:r>
    </w:p>
    <w:p>
      <w:pPr>
        <w:widowControl/>
        <w:jc w:val="left"/>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1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①</w:t>
      </w:r>
      <w:r>
        <w:rPr>
          <w:rFonts w:ascii="仿宋_GB2312" w:hAnsi="Times New Roman" w:eastAsia="仿宋_GB2312" w:cs="Times New Roman"/>
          <w:sz w:val="28"/>
          <w:szCs w:val="28"/>
          <w:lang w:bidi="ar"/>
        </w:rPr>
        <w:fldChar w:fldCharType="end"/>
      </w:r>
      <w:r>
        <w:rPr>
          <w:rFonts w:ascii="仿宋_GB2312" w:hAnsi="Times New Roman" w:eastAsia="仿宋_GB2312" w:cs="Times New Roman"/>
          <w:sz w:val="28"/>
          <w:szCs w:val="28"/>
          <w:lang w:bidi="ar"/>
        </w:rPr>
        <w:t>剪切掉屋脊盖板在屋面板波峰处的三角形切角部分</w:t>
      </w:r>
      <w:r>
        <w:rPr>
          <w:rFonts w:hint="eastAsia" w:ascii="仿宋_GB2312" w:hAnsi="Times New Roman" w:eastAsia="仿宋_GB2312" w:cs="Times New Roman"/>
          <w:sz w:val="28"/>
          <w:szCs w:val="28"/>
          <w:lang w:bidi="ar"/>
        </w:rPr>
        <w:t>；</w:t>
      </w:r>
    </w:p>
    <w:p>
      <w:pPr>
        <w:widowControl/>
        <w:jc w:val="left"/>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2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②</w:t>
      </w:r>
      <w:r>
        <w:rPr>
          <w:rFonts w:ascii="仿宋_GB2312" w:hAnsi="Times New Roman" w:eastAsia="仿宋_GB2312" w:cs="Times New Roman"/>
          <w:sz w:val="28"/>
          <w:szCs w:val="28"/>
          <w:lang w:bidi="ar"/>
        </w:rPr>
        <w:fldChar w:fldCharType="end"/>
      </w:r>
      <w:r>
        <w:rPr>
          <w:rFonts w:ascii="仿宋_GB2312" w:hAnsi="Times New Roman" w:eastAsia="仿宋_GB2312" w:cs="Times New Roman"/>
          <w:sz w:val="28"/>
          <w:szCs w:val="28"/>
          <w:lang w:bidi="ar"/>
        </w:rPr>
        <w:t>总体检查所有自攻钉</w:t>
      </w:r>
      <w:r>
        <w:rPr>
          <w:rFonts w:hint="eastAsia" w:ascii="仿宋_GB2312" w:hAnsi="Times New Roman" w:eastAsia="仿宋_GB2312" w:cs="Times New Roman"/>
          <w:sz w:val="28"/>
          <w:szCs w:val="28"/>
          <w:lang w:bidi="ar"/>
        </w:rPr>
        <w:t>，</w:t>
      </w:r>
      <w:r>
        <w:rPr>
          <w:rFonts w:ascii="仿宋_GB2312" w:hAnsi="Times New Roman" w:eastAsia="仿宋_GB2312" w:cs="Times New Roman"/>
          <w:sz w:val="28"/>
          <w:szCs w:val="28"/>
          <w:lang w:bidi="ar"/>
        </w:rPr>
        <w:t>使用新钉替换生锈的自攻钉</w:t>
      </w:r>
      <w:r>
        <w:rPr>
          <w:rFonts w:hint="eastAsia" w:ascii="仿宋_GB2312" w:hAnsi="Times New Roman" w:eastAsia="仿宋_GB2312" w:cs="Times New Roman"/>
          <w:sz w:val="28"/>
          <w:szCs w:val="28"/>
          <w:lang w:bidi="ar"/>
        </w:rPr>
        <w:t>；</w:t>
      </w:r>
    </w:p>
    <w:p>
      <w:pPr>
        <w:widowControl/>
        <w:jc w:val="left"/>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3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③</w:t>
      </w:r>
      <w:r>
        <w:rPr>
          <w:rFonts w:ascii="仿宋_GB2312" w:hAnsi="Times New Roman" w:eastAsia="仿宋_GB2312" w:cs="Times New Roman"/>
          <w:sz w:val="28"/>
          <w:szCs w:val="28"/>
          <w:lang w:bidi="ar"/>
        </w:rPr>
        <w:fldChar w:fldCharType="end"/>
      </w:r>
      <w:r>
        <w:rPr>
          <w:rFonts w:ascii="仿宋_GB2312" w:hAnsi="Times New Roman" w:eastAsia="仿宋_GB2312" w:cs="Times New Roman"/>
          <w:sz w:val="28"/>
          <w:szCs w:val="28"/>
          <w:lang w:bidi="ar"/>
        </w:rPr>
        <w:t>屋脊盖板两侧</w:t>
      </w:r>
      <w:r>
        <w:rPr>
          <w:rFonts w:hint="eastAsia" w:ascii="仿宋_GB2312" w:hAnsi="Times New Roman" w:eastAsia="仿宋_GB2312" w:cs="Times New Roman"/>
          <w:sz w:val="28"/>
          <w:szCs w:val="28"/>
          <w:lang w:bidi="ar"/>
        </w:rPr>
        <w:t>、</w:t>
      </w:r>
      <w:r>
        <w:rPr>
          <w:rFonts w:ascii="仿宋_GB2312" w:hAnsi="Times New Roman" w:eastAsia="仿宋_GB2312" w:cs="Times New Roman"/>
          <w:sz w:val="28"/>
          <w:szCs w:val="28"/>
          <w:lang w:bidi="ar"/>
        </w:rPr>
        <w:t>相互搭接处及与山墙交接处</w:t>
      </w:r>
      <w:r>
        <w:rPr>
          <w:rFonts w:hint="eastAsia" w:ascii="仿宋_GB2312" w:hAnsi="Times New Roman" w:eastAsia="仿宋_GB2312" w:cs="Times New Roman"/>
          <w:sz w:val="28"/>
          <w:szCs w:val="28"/>
          <w:lang w:bidi="ar"/>
        </w:rPr>
        <w:t>，</w:t>
      </w:r>
      <w:r>
        <w:rPr>
          <w:rFonts w:ascii="仿宋_GB2312" w:hAnsi="Times New Roman" w:eastAsia="仿宋_GB2312" w:cs="Times New Roman"/>
          <w:sz w:val="28"/>
          <w:szCs w:val="28"/>
          <w:lang w:bidi="ar"/>
        </w:rPr>
        <w:t>清理表面脏污及防水材料</w:t>
      </w:r>
      <w:r>
        <w:rPr>
          <w:rFonts w:hint="eastAsia" w:ascii="仿宋_GB2312" w:hAnsi="Times New Roman" w:eastAsia="仿宋_GB2312" w:cs="Times New Roman"/>
          <w:sz w:val="28"/>
          <w:szCs w:val="28"/>
          <w:lang w:bidi="ar"/>
        </w:rPr>
        <w:t>；</w:t>
      </w:r>
    </w:p>
    <w:p>
      <w:pPr>
        <w:autoSpaceDE w:val="0"/>
        <w:autoSpaceDN w:val="0"/>
        <w:jc w:val="left"/>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4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④</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在屋脊盖板与屋面板交接的波谷处，安装L型连接件使用缝合钉分别与屋面</w:t>
      </w:r>
    </w:p>
    <w:p>
      <w:pPr>
        <w:autoSpaceDE w:val="0"/>
        <w:autoSpaceDN w:val="0"/>
        <w:jc w:val="left"/>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板和屋脊盖板固定，将屋脊盖板与屋面板连接到一起；</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5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⑤</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屋脊盖板相互搭接处，使用缝合钉加固连接，缝合钉间隔100mm一个；</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6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⑥</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屋脊盖板两端与山墙交接处，使用缝合钉加固连接；</w:t>
      </w:r>
    </w:p>
    <w:p>
      <w:pPr>
        <w:autoSpaceDE w:val="0"/>
        <w:autoSpaceDN w:val="0"/>
        <w:jc w:val="left"/>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7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⑦</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对屋脊盖板两侧、屋脊盖板相互搭接处、屋脊盖板端部，使用金属屋面专用丙烯酸高弹防水涂料（国标JG/T375-2012）“一布五涂”密封防水处理。</w:t>
      </w:r>
    </w:p>
    <w:p>
      <w:pPr>
        <w:autoSpaceDE w:val="0"/>
        <w:autoSpaceDN w:val="0"/>
        <w:spacing w:line="468" w:lineRule="exact"/>
        <w:jc w:val="left"/>
        <w:rPr>
          <w:rFonts w:ascii="仿宋_GB2312" w:hAnsi="Times New Roman" w:eastAsia="仿宋_GB2312" w:cs="Times New Roman"/>
          <w:sz w:val="28"/>
          <w:szCs w:val="28"/>
          <w:lang w:bidi="ar"/>
        </w:rPr>
      </w:pPr>
    </w:p>
    <w:p>
      <w:pPr>
        <w:rPr>
          <w:b/>
          <w:kern w:val="0"/>
          <w:sz w:val="24"/>
          <w:szCs w:val="24"/>
        </w:rPr>
      </w:pPr>
      <w:r>
        <w:rPr>
          <w:rFonts w:hint="eastAsia"/>
          <w:b/>
          <w:kern w:val="0"/>
          <w:sz w:val="24"/>
          <w:szCs w:val="24"/>
        </w:rPr>
        <w:t>施工技术要求：</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1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①</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涂刷第一遍基层涂料，然后贴高强聚酯布，再涂刷第二遍基层涂料；间隔2-4小时，等前面涂层实干后，涂刷第三遍基层涂料；再间隔2-3小时，等前面</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涂层实干后，涂刷第四遍面层涂料；等前面涂层实干后，涂刷第五遍面层涂</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料。最终成膜厚度≥1.2mm。</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2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②</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屋脊盖板相互搭接位置，涂料覆盖宽度为150mm。</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3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③</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屋脊盖板侧面，涂料覆盖宽度为250mm。</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4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④</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屋脊盖板两端与山墙交接处，涂料覆盖宽度为350mm。</w:t>
      </w:r>
    </w:p>
    <w:p>
      <w:pPr>
        <w:rPr>
          <w:kern w:val="0"/>
          <w:sz w:val="22"/>
        </w:rPr>
      </w:pPr>
    </w:p>
    <w:p>
      <w:pPr>
        <w:rPr>
          <w:kern w:val="0"/>
          <w:sz w:val="22"/>
        </w:rPr>
      </w:pPr>
    </w:p>
    <w:p>
      <w:pPr>
        <w:rPr>
          <w:rFonts w:ascii="宋体" w:hAnsi="宋体"/>
          <w:color w:val="000000"/>
          <w:kern w:val="0"/>
          <w:sz w:val="28"/>
          <w:szCs w:val="28"/>
        </w:rPr>
      </w:pPr>
      <w:r>
        <w:rPr>
          <w:rFonts w:hint="eastAsia" w:ascii="宋体" w:hAnsi="宋体"/>
          <w:color w:val="000000"/>
          <w:kern w:val="0"/>
          <w:sz w:val="28"/>
          <w:szCs w:val="28"/>
        </w:rPr>
        <w:t>2</w:t>
      </w:r>
      <w:r>
        <w:rPr>
          <w:rFonts w:ascii="宋体" w:hAnsi="宋体"/>
          <w:color w:val="000000"/>
          <w:kern w:val="0"/>
          <w:sz w:val="28"/>
          <w:szCs w:val="28"/>
        </w:rPr>
        <w:t>.2山墙</w:t>
      </w:r>
    </w:p>
    <w:p>
      <w:pPr>
        <w:rPr>
          <w:rFonts w:ascii="仿宋_GB2312" w:hAnsi="Times New Roman" w:eastAsia="仿宋_GB2312" w:cs="Times New Roman"/>
          <w:sz w:val="28"/>
          <w:szCs w:val="28"/>
          <w:lang w:bidi="ar"/>
        </w:rPr>
      </w:pPr>
      <w:r>
        <w:drawing>
          <wp:inline distT="0" distB="0" distL="0" distR="0">
            <wp:extent cx="5229225" cy="463105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33398" cy="4635040"/>
                    </a:xfrm>
                    <a:prstGeom prst="rect">
                      <a:avLst/>
                    </a:prstGeom>
                  </pic:spPr>
                </pic:pic>
              </a:graphicData>
            </a:graphic>
          </wp:inline>
        </w:drawing>
      </w:r>
    </w:p>
    <w:p>
      <w:pPr>
        <w:rPr>
          <w:b/>
          <w:kern w:val="0"/>
          <w:sz w:val="24"/>
          <w:szCs w:val="24"/>
        </w:rPr>
      </w:pPr>
    </w:p>
    <w:p>
      <w:pPr>
        <w:rPr>
          <w:b/>
          <w:kern w:val="0"/>
          <w:sz w:val="24"/>
          <w:szCs w:val="24"/>
        </w:rPr>
      </w:pPr>
      <w:r>
        <w:rPr>
          <w:b/>
          <w:kern w:val="0"/>
          <w:sz w:val="24"/>
          <w:szCs w:val="24"/>
        </w:rPr>
        <w:t>维修方案</w:t>
      </w:r>
      <w:r>
        <w:rPr>
          <w:rFonts w:hint="eastAsia"/>
          <w:b/>
          <w:kern w:val="0"/>
          <w:sz w:val="24"/>
          <w:szCs w:val="24"/>
        </w:rPr>
        <w:t>：</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1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①</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各接缝位置清理老化密封材料，涂料涂刷范围表面脏污清理；</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2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②</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锈蚀部位，除锈后，涂刷带锈转换剂做防锈处理；</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3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③</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压顶板相互搭接处，缝合钉加固，缝合钉间隔100mm一颗；</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4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④</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女儿墙下泛水板相互搭接处，缝合钉加固，缝合钉间隔100mm一颗；</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5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⑤</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女儿墙下泛水板与屋面板交接处，缝合钉加固，缝合钉间隔300mm一颗；</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6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⑥</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各接缝位置，使用金属屋面专用丙烯酸高弹防水涂料（国标JG/T375-2012）</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“一布五涂”密封防水处理。</w:t>
      </w:r>
    </w:p>
    <w:p>
      <w:pPr>
        <w:rPr>
          <w:rFonts w:ascii="仿宋_GB2312" w:hAnsi="Times New Roman" w:eastAsia="仿宋_GB2312" w:cs="Times New Roman"/>
          <w:sz w:val="28"/>
          <w:szCs w:val="28"/>
          <w:lang w:bidi="ar"/>
        </w:rPr>
      </w:pPr>
    </w:p>
    <w:p>
      <w:pPr>
        <w:rPr>
          <w:rFonts w:ascii="仿宋_GB2312" w:hAnsi="Times New Roman" w:eastAsia="仿宋_GB2312" w:cs="Times New Roman"/>
          <w:b/>
          <w:sz w:val="28"/>
          <w:szCs w:val="28"/>
          <w:lang w:bidi="ar"/>
        </w:rPr>
      </w:pPr>
      <w:r>
        <w:rPr>
          <w:rFonts w:ascii="仿宋_GB2312" w:hAnsi="Times New Roman" w:eastAsia="仿宋_GB2312" w:cs="Times New Roman"/>
          <w:b/>
          <w:sz w:val="28"/>
          <w:szCs w:val="28"/>
          <w:lang w:bidi="ar"/>
        </w:rPr>
        <w:t>施工技术要求</w:t>
      </w:r>
      <w:r>
        <w:rPr>
          <w:rFonts w:hint="eastAsia" w:ascii="仿宋_GB2312" w:hAnsi="Times New Roman" w:eastAsia="仿宋_GB2312" w:cs="Times New Roman"/>
          <w:b/>
          <w:sz w:val="28"/>
          <w:szCs w:val="28"/>
          <w:lang w:bidi="ar"/>
        </w:rPr>
        <w:t>：</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1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①</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涂刷第一遍基层涂料，然后贴高强聚酯布，再涂刷第二遍基层涂料；间隔2-4小时，等前面涂层实干后，涂刷第三遍基层涂料；再间隔2-3小时，等前面涂层实干后，涂刷第四遍面层涂料；等前面涂层实干后，涂刷第五遍面层涂</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料。最终成膜厚度≥1.2mm。</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2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②</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压顶板相互搭接处，涂料覆盖宽度为150mm。</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3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③</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女儿墙下泛水板相互搭接处，涂料覆盖宽度为150mm；被女儿墙内板遮挡的</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泛水板立面部分，将女儿墙内板打开进行涂刷。</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4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④</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女儿墙下泛水板与屋面板交接处，涂料覆盖宽度为200mm。</w:t>
      </w:r>
    </w:p>
    <w:p>
      <w:pPr>
        <w:rPr>
          <w:kern w:val="0"/>
          <w:sz w:val="22"/>
        </w:rPr>
      </w:pPr>
    </w:p>
    <w:p>
      <w:pPr>
        <w:rPr>
          <w:rFonts w:ascii="宋体" w:hAnsi="宋体"/>
          <w:color w:val="000000"/>
          <w:kern w:val="0"/>
          <w:sz w:val="28"/>
          <w:szCs w:val="28"/>
        </w:rPr>
      </w:pPr>
      <w:r>
        <w:rPr>
          <w:rFonts w:hint="eastAsia" w:ascii="宋体" w:hAnsi="宋体"/>
          <w:color w:val="000000"/>
          <w:kern w:val="0"/>
          <w:sz w:val="28"/>
          <w:szCs w:val="28"/>
        </w:rPr>
        <w:t>2</w:t>
      </w:r>
      <w:r>
        <w:rPr>
          <w:rFonts w:ascii="宋体" w:hAnsi="宋体"/>
          <w:color w:val="000000"/>
          <w:kern w:val="0"/>
          <w:sz w:val="28"/>
          <w:szCs w:val="28"/>
        </w:rPr>
        <w:t>.3屋面板</w:t>
      </w:r>
    </w:p>
    <w:p>
      <w:pPr>
        <w:autoSpaceDE w:val="0"/>
        <w:autoSpaceDN w:val="0"/>
        <w:spacing w:line="468" w:lineRule="exact"/>
        <w:jc w:val="left"/>
        <w:rPr>
          <w:rFonts w:ascii="仿宋_GB2312" w:hAnsi="Times New Roman" w:eastAsia="仿宋_GB2312" w:cs="Times New Roman"/>
          <w:sz w:val="28"/>
          <w:szCs w:val="28"/>
          <w:lang w:bidi="ar"/>
        </w:rPr>
      </w:pPr>
      <w:r>
        <w:drawing>
          <wp:anchor distT="0" distB="0" distL="114300" distR="114300" simplePos="0" relativeHeight="251662336" behindDoc="0" locked="0" layoutInCell="1" allowOverlap="1">
            <wp:simplePos x="0" y="0"/>
            <wp:positionH relativeFrom="margin">
              <wp:align>left</wp:align>
            </wp:positionH>
            <wp:positionV relativeFrom="paragraph">
              <wp:posOffset>38735</wp:posOffset>
            </wp:positionV>
            <wp:extent cx="4695825" cy="4564380"/>
            <wp:effectExtent l="0" t="0" r="0" b="762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695825" cy="4564473"/>
                    </a:xfrm>
                    <a:prstGeom prst="rect">
                      <a:avLst/>
                    </a:prstGeom>
                  </pic:spPr>
                </pic:pic>
              </a:graphicData>
            </a:graphic>
          </wp:anchor>
        </w:drawing>
      </w:r>
    </w:p>
    <w:p>
      <w:pPr>
        <w:rPr>
          <w:kern w:val="0"/>
          <w:sz w:val="22"/>
        </w:rPr>
      </w:pPr>
    </w:p>
    <w:p>
      <w:pPr>
        <w:rPr>
          <w:kern w:val="0"/>
          <w:sz w:val="22"/>
        </w:rPr>
      </w:pPr>
    </w:p>
    <w:p>
      <w:pPr>
        <w:autoSpaceDE w:val="0"/>
        <w:autoSpaceDN w:val="0"/>
        <w:spacing w:line="468" w:lineRule="exact"/>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Pr>
        <w:rPr>
          <w:b/>
          <w:kern w:val="0"/>
          <w:sz w:val="24"/>
          <w:szCs w:val="24"/>
        </w:rPr>
      </w:pPr>
      <w:r>
        <w:rPr>
          <w:b/>
          <w:kern w:val="0"/>
          <w:sz w:val="24"/>
          <w:szCs w:val="24"/>
        </w:rPr>
        <w:t>维修方案</w:t>
      </w:r>
      <w:r>
        <w:rPr>
          <w:rFonts w:hint="eastAsia"/>
          <w:b/>
          <w:kern w:val="0"/>
          <w:sz w:val="24"/>
          <w:szCs w:val="24"/>
        </w:rPr>
        <w:t>：</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1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①</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锈蚀穿孔区域，清理表面脏污及浮锈；</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2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②</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使用带锈转锈剂进行防锈处理；</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3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③</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使用彩钢板片及拉铆钉，修补加强；</w:t>
      </w:r>
    </w:p>
    <w:p>
      <w:pPr>
        <w:rPr>
          <w:rFonts w:ascii="仿宋_GB2312" w:hAnsi="Times New Roman" w:eastAsia="仿宋_GB2312" w:cs="Times New Roman"/>
          <w:sz w:val="28"/>
          <w:szCs w:val="28"/>
          <w:lang w:bidi="ar"/>
        </w:rPr>
      </w:pPr>
      <w:r>
        <w:rPr>
          <w:rFonts w:ascii="仿宋_GB2312" w:hAnsi="Times New Roman" w:eastAsia="仿宋_GB2312" w:cs="Times New Roman"/>
          <w:sz w:val="28"/>
          <w:szCs w:val="28"/>
          <w:lang w:bidi="ar"/>
        </w:rPr>
        <w:fldChar w:fldCharType="begin"/>
      </w:r>
      <w:r>
        <w:rPr>
          <w:rFonts w:ascii="仿宋_GB2312" w:hAnsi="Times New Roman" w:eastAsia="仿宋_GB2312" w:cs="Times New Roman"/>
          <w:sz w:val="28"/>
          <w:szCs w:val="28"/>
          <w:lang w:bidi="ar"/>
        </w:rPr>
        <w:instrText xml:space="preserve"> </w:instrText>
      </w:r>
      <w:r>
        <w:rPr>
          <w:rFonts w:hint="eastAsia" w:ascii="仿宋_GB2312" w:hAnsi="Times New Roman" w:eastAsia="仿宋_GB2312" w:cs="Times New Roman"/>
          <w:sz w:val="28"/>
          <w:szCs w:val="28"/>
          <w:lang w:bidi="ar"/>
        </w:rPr>
        <w:instrText xml:space="preserve">= 4 \* GB3</w:instrText>
      </w:r>
      <w:r>
        <w:rPr>
          <w:rFonts w:ascii="仿宋_GB2312" w:hAnsi="Times New Roman" w:eastAsia="仿宋_GB2312" w:cs="Times New Roman"/>
          <w:sz w:val="28"/>
          <w:szCs w:val="28"/>
          <w:lang w:bidi="ar"/>
        </w:rPr>
        <w:instrText xml:space="preserve"> </w:instrText>
      </w:r>
      <w:r>
        <w:rPr>
          <w:rFonts w:ascii="仿宋_GB2312" w:hAnsi="Times New Roman" w:eastAsia="仿宋_GB2312" w:cs="Times New Roman"/>
          <w:sz w:val="28"/>
          <w:szCs w:val="28"/>
          <w:lang w:bidi="ar"/>
        </w:rPr>
        <w:fldChar w:fldCharType="separate"/>
      </w:r>
      <w:r>
        <w:rPr>
          <w:rFonts w:hint="eastAsia" w:ascii="仿宋_GB2312" w:hAnsi="Times New Roman" w:eastAsia="仿宋_GB2312" w:cs="Times New Roman"/>
          <w:sz w:val="28"/>
          <w:szCs w:val="28"/>
          <w:lang w:bidi="ar"/>
        </w:rPr>
        <w:t>④</w:t>
      </w:r>
      <w:r>
        <w:rPr>
          <w:rFonts w:ascii="仿宋_GB2312" w:hAnsi="Times New Roman" w:eastAsia="仿宋_GB2312" w:cs="Times New Roman"/>
          <w:sz w:val="28"/>
          <w:szCs w:val="28"/>
          <w:lang w:bidi="ar"/>
        </w:rPr>
        <w:fldChar w:fldCharType="end"/>
      </w:r>
      <w:r>
        <w:rPr>
          <w:rFonts w:hint="eastAsia" w:ascii="仿宋_GB2312" w:hAnsi="Times New Roman" w:eastAsia="仿宋_GB2312" w:cs="Times New Roman"/>
          <w:sz w:val="28"/>
          <w:szCs w:val="28"/>
          <w:lang w:bidi="ar"/>
        </w:rPr>
        <w:t>使用金属屋面专用丙烯酸高弹防水涂料（国标JG/T375-2012）“一布五涂”</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密封防水处理。</w:t>
      </w:r>
    </w:p>
    <w:p>
      <w:pPr>
        <w:rPr>
          <w:kern w:val="0"/>
          <w:sz w:val="22"/>
        </w:rPr>
      </w:pPr>
    </w:p>
    <w:p>
      <w:pPr>
        <w:rPr>
          <w:b/>
          <w:kern w:val="0"/>
          <w:sz w:val="24"/>
          <w:szCs w:val="24"/>
        </w:rPr>
      </w:pPr>
      <w:r>
        <w:rPr>
          <w:b/>
          <w:kern w:val="0"/>
          <w:sz w:val="24"/>
          <w:szCs w:val="24"/>
        </w:rPr>
        <w:t>施工技术要求</w:t>
      </w:r>
      <w:r>
        <w:rPr>
          <w:rFonts w:hint="eastAsia"/>
          <w:b/>
          <w:kern w:val="0"/>
          <w:sz w:val="24"/>
          <w:szCs w:val="24"/>
        </w:rPr>
        <w:t>：</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涂刷第一遍基层涂料，然后贴高强聚酯布，再涂刷第二遍基层涂料；间隔2-4</w:t>
      </w:r>
    </w:p>
    <w:p>
      <w:pPr>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小时，等前面涂层实干后，涂刷第三遍基层涂料；再间隔2-3小时，等前面涂层实干后，涂刷第四遍面层涂料；等前面涂层实干后，涂刷第五遍面层涂料。最终成膜厚度≥1.2mm。</w:t>
      </w: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2.4屋面板接缝</w:t>
      </w: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rPr>
      </w:pPr>
      <w:r>
        <w:rPr>
          <w:rFonts w:ascii="仿宋_GB2312" w:hAnsi="Times New Roman" w:eastAsia="仿宋_GB2312" w:cs="Times New Roman"/>
          <w:sz w:val="28"/>
          <w:szCs w:val="28"/>
        </w:rPr>
        <mc:AlternateContent>
          <mc:Choice Requires="wps">
            <w:drawing>
              <wp:anchor distT="0" distB="0" distL="114300" distR="114300" simplePos="0" relativeHeight="251666432" behindDoc="0" locked="0" layoutInCell="1" allowOverlap="1">
                <wp:simplePos x="0" y="0"/>
                <wp:positionH relativeFrom="column">
                  <wp:posOffset>1678940</wp:posOffset>
                </wp:positionH>
                <wp:positionV relativeFrom="paragraph">
                  <wp:posOffset>2506980</wp:posOffset>
                </wp:positionV>
                <wp:extent cx="940435" cy="501015"/>
                <wp:effectExtent l="5715" t="11430" r="6350" b="1905"/>
                <wp:wrapNone/>
                <wp:docPr id="14" name="直接箭头连接符 14"/>
                <wp:cNvGraphicFramePr/>
                <a:graphic xmlns:a="http://schemas.openxmlformats.org/drawingml/2006/main">
                  <a:graphicData uri="http://schemas.microsoft.com/office/word/2010/wordprocessingShape">
                    <wps:wsp>
                      <wps:cNvCnPr/>
                      <wps:spPr>
                        <a:xfrm>
                          <a:off x="0" y="0"/>
                          <a:ext cx="940435" cy="501015"/>
                        </a:xfrm>
                        <a:prstGeom prst="straightConnector1">
                          <a:avLst/>
                        </a:prstGeom>
                        <a:ln w="254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32.2pt;margin-top:197.4pt;height:39.45pt;width:74.05pt;z-index:251666432;mso-width-relative:page;mso-height-relative:page;" filled="f" stroked="t" coordsize="21600,21600" o:gfxdata="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hY87LbAAAACwEAAA8AAAAAAAAAAQAgAAAAIgAAAGRycy9kb3ducmV2LnhtbFBLAQIUABQA&#10;AAAIAIdO4kDFhuxv7QEAAKkDAAAOAAAAAAAAAAEAIAAAACoBAABkcnMvZTJvRG9jLnhtbFBLBQYA&#10;AAAABgAGAFkBAACJBQAAAAA=&#10;">
                <v:fill on="f" focussize="0,0"/>
                <v:stroke weight="2pt" color="#FF0000" joinstyle="round" endarrow="block"/>
                <v:imagedata o:title=""/>
                <o:lock v:ext="edit" aspectratio="f"/>
              </v:shape>
            </w:pict>
          </mc:Fallback>
        </mc:AlternateContent>
      </w:r>
      <w:r>
        <w:rPr>
          <w:rFonts w:ascii="仿宋_GB2312" w:hAnsi="Times New Roman" w:eastAsia="仿宋_GB2312" w:cs="Times New Roman"/>
          <w:sz w:val="28"/>
          <w:szCs w:val="28"/>
        </w:rPr>
        <w:drawing>
          <wp:inline distT="0" distB="0" distL="0" distR="0">
            <wp:extent cx="5975985" cy="3769360"/>
            <wp:effectExtent l="0" t="0" r="5715"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3" cstate="print"/>
                    <a:srcRect/>
                    <a:stretch>
                      <a:fillRect/>
                    </a:stretch>
                  </pic:blipFill>
                  <pic:spPr>
                    <a:xfrm>
                      <a:off x="0" y="0"/>
                      <a:ext cx="5976620" cy="3770079"/>
                    </a:xfrm>
                    <a:prstGeom prst="rect">
                      <a:avLst/>
                    </a:prstGeom>
                    <a:noFill/>
                    <a:ln w="9525">
                      <a:noFill/>
                      <a:miter lim="800000"/>
                      <a:headEnd/>
                      <a:tailEnd/>
                    </a:ln>
                  </pic:spPr>
                </pic:pic>
              </a:graphicData>
            </a:graphic>
          </wp:inline>
        </w:drawing>
      </w:r>
    </w:p>
    <w:p>
      <w:pPr>
        <w:widowControl/>
        <w:jc w:val="left"/>
        <w:rPr>
          <w:rFonts w:ascii="仿宋_GB2312" w:hAnsi="Times New Roman" w:eastAsia="仿宋_GB2312" w:cs="Times New Roman"/>
          <w:sz w:val="28"/>
          <w:szCs w:val="28"/>
        </w:rPr>
      </w:pPr>
    </w:p>
    <w:p>
      <w:pPr>
        <w:rPr>
          <w:b/>
          <w:kern w:val="0"/>
          <w:sz w:val="24"/>
          <w:szCs w:val="24"/>
        </w:rPr>
      </w:pPr>
      <w:r>
        <w:rPr>
          <w:b/>
          <w:kern w:val="0"/>
          <w:sz w:val="24"/>
          <w:szCs w:val="24"/>
        </w:rPr>
        <w:t>施工技术要求</w:t>
      </w:r>
      <w:r>
        <w:rPr>
          <w:rFonts w:hint="eastAsia"/>
          <w:b/>
          <w:kern w:val="0"/>
          <w:sz w:val="24"/>
          <w:szCs w:val="24"/>
        </w:rPr>
        <w:t>：</w:t>
      </w:r>
    </w:p>
    <w:p>
      <w:pPr>
        <w:rPr>
          <w:rFonts w:ascii="仿宋_GB2312" w:hAnsi="Times New Roman" w:eastAsia="仿宋_GB2312" w:cs="Times New Roman"/>
          <w:sz w:val="28"/>
          <w:szCs w:val="28"/>
        </w:rPr>
      </w:pPr>
      <w:r>
        <w:rPr>
          <w:rFonts w:hint="eastAsia" w:ascii="仿宋_GB2312" w:hAnsi="Times New Roman" w:eastAsia="仿宋_GB2312" w:cs="Times New Roman"/>
          <w:sz w:val="28"/>
          <w:szCs w:val="28"/>
        </w:rPr>
        <w:t>涂刷第一遍基层涂料，然后贴高强聚酯布，再涂刷第二遍基层涂料；间隔2-4</w:t>
      </w:r>
    </w:p>
    <w:p>
      <w:pPr>
        <w:rPr>
          <w:rFonts w:ascii="仿宋_GB2312" w:hAnsi="Times New Roman" w:eastAsia="仿宋_GB2312" w:cs="Times New Roman"/>
          <w:sz w:val="28"/>
          <w:szCs w:val="28"/>
        </w:rPr>
      </w:pPr>
      <w:r>
        <w:rPr>
          <w:rFonts w:hint="eastAsia" w:ascii="仿宋_GB2312" w:hAnsi="Times New Roman" w:eastAsia="仿宋_GB2312" w:cs="Times New Roman"/>
          <w:sz w:val="28"/>
          <w:szCs w:val="28"/>
        </w:rPr>
        <w:t>小时，等前面涂层实干后，涂刷第三遍基层涂料；再间隔2-3小时，等前面涂层实干后，涂刷第四遍面层涂料；等前面涂层实干后，涂刷第五遍面层涂料。最终成膜厚度≥1.2mm，此次施工对100条变形比较大的彩钢瓦拼接缝修补。</w:t>
      </w:r>
    </w:p>
    <w:p>
      <w:pPr>
        <w:rPr>
          <w:rFonts w:ascii="仿宋_GB2312" w:hAnsi="Times New Roman" w:eastAsia="仿宋_GB2312" w:cs="Times New Roman"/>
          <w:sz w:val="28"/>
          <w:szCs w:val="28"/>
        </w:rPr>
      </w:pPr>
    </w:p>
    <w:p>
      <w:pPr>
        <w:rPr>
          <w:rFonts w:ascii="宋体" w:hAnsi="宋体"/>
          <w:color w:val="000000"/>
          <w:kern w:val="0"/>
          <w:sz w:val="28"/>
          <w:szCs w:val="28"/>
        </w:rPr>
      </w:pPr>
      <w:r>
        <w:rPr>
          <w:rFonts w:hint="eastAsia" w:ascii="仿宋_GB2312" w:hAnsi="Times New Roman" w:eastAsia="仿宋_GB2312" w:cs="Times New Roman"/>
          <w:sz w:val="28"/>
          <w:szCs w:val="28"/>
        </w:rPr>
        <w:t>2.5</w:t>
      </w:r>
      <w:r>
        <w:rPr>
          <w:rFonts w:hint="eastAsia" w:ascii="宋体" w:hAnsi="宋体"/>
          <w:color w:val="000000"/>
          <w:kern w:val="0"/>
          <w:sz w:val="28"/>
          <w:szCs w:val="28"/>
        </w:rPr>
        <w:t>屋面板接缝高起部位防腐油漆</w:t>
      </w:r>
    </w:p>
    <w:p>
      <w:pPr>
        <w:rPr>
          <w:rFonts w:ascii="宋体" w:hAnsi="宋体"/>
          <w:color w:val="000000"/>
          <w:kern w:val="0"/>
          <w:sz w:val="28"/>
          <w:szCs w:val="28"/>
        </w:rPr>
      </w:pPr>
      <w:r>
        <w:rPr>
          <w:b/>
          <w:sz w:val="28"/>
          <w:szCs w:val="28"/>
        </w:rPr>
        <mc:AlternateContent>
          <mc:Choice Requires="wps">
            <w:drawing>
              <wp:anchor distT="0" distB="0" distL="114300" distR="114300" simplePos="0" relativeHeight="251667456" behindDoc="0" locked="0" layoutInCell="1" allowOverlap="1">
                <wp:simplePos x="0" y="0"/>
                <wp:positionH relativeFrom="column">
                  <wp:posOffset>1904365</wp:posOffset>
                </wp:positionH>
                <wp:positionV relativeFrom="paragraph">
                  <wp:posOffset>304165</wp:posOffset>
                </wp:positionV>
                <wp:extent cx="698500" cy="836930"/>
                <wp:effectExtent l="9525" t="0" r="15875" b="20320"/>
                <wp:wrapNone/>
                <wp:docPr id="15" name="直接箭头连接符 15"/>
                <wp:cNvGraphicFramePr/>
                <a:graphic xmlns:a="http://schemas.openxmlformats.org/drawingml/2006/main">
                  <a:graphicData uri="http://schemas.microsoft.com/office/word/2010/wordprocessingShape">
                    <wps:wsp>
                      <wps:cNvCnPr/>
                      <wps:spPr>
                        <a:xfrm flipV="1">
                          <a:off x="0" y="0"/>
                          <a:ext cx="698500" cy="836930"/>
                        </a:xfrm>
                        <a:prstGeom prst="straightConnector1">
                          <a:avLst/>
                        </a:prstGeom>
                        <a:ln w="254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49.95pt;margin-top:23.95pt;height:65.9pt;width:55pt;z-index:251667456;mso-width-relative:page;mso-height-relative:page;" filled="f" stroked="t" coordsize="21600,21600" o:gfxdata="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cOwPs2QAAAAoBAAAPAAAAAAAAAAEAIAAAACIAAABkcnMvZG93bnJldi54&#10;bWxQSwECFAAUAAAACACHTuJArh1kIvkBAACzAwAADgAAAAAAAAABACAAAAAoAQAAZHJzL2Uyb0Rv&#10;Yy54bWxQSwUGAAAAAAYABgBZAQAAkwUAAAAA&#10;">
                <v:fill on="f" focussize="0,0"/>
                <v:stroke weight="2pt" color="#FF0000" joinstyle="round" endarrow="block"/>
                <v:imagedata o:title=""/>
                <o:lock v:ext="edit" aspectratio="f"/>
              </v:shape>
            </w:pict>
          </mc:Fallback>
        </mc:AlternateContent>
      </w:r>
      <w:r>
        <w:rPr>
          <w:b/>
          <w:sz w:val="28"/>
          <w:szCs w:val="28"/>
        </w:rPr>
        <w:drawing>
          <wp:inline distT="0" distB="0" distL="0" distR="0">
            <wp:extent cx="5274310" cy="3326765"/>
            <wp:effectExtent l="0" t="0" r="2540" b="698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noChangeArrowheads="1"/>
                    </pic:cNvPicPr>
                  </pic:nvPicPr>
                  <pic:blipFill>
                    <a:blip r:embed="rId13" cstate="print"/>
                    <a:srcRect/>
                    <a:stretch>
                      <a:fillRect/>
                    </a:stretch>
                  </pic:blipFill>
                  <pic:spPr>
                    <a:xfrm>
                      <a:off x="0" y="0"/>
                      <a:ext cx="5274310" cy="3327059"/>
                    </a:xfrm>
                    <a:prstGeom prst="rect">
                      <a:avLst/>
                    </a:prstGeom>
                    <a:noFill/>
                    <a:ln w="9525">
                      <a:noFill/>
                      <a:miter lim="800000"/>
                      <a:headEnd/>
                      <a:tailEnd/>
                    </a:ln>
                  </pic:spPr>
                </pic:pic>
              </a:graphicData>
            </a:graphic>
          </wp:inline>
        </w:drawing>
      </w:r>
    </w:p>
    <w:p>
      <w:pPr>
        <w:rPr>
          <w:b/>
          <w:kern w:val="0"/>
          <w:sz w:val="24"/>
          <w:szCs w:val="24"/>
        </w:rPr>
      </w:pPr>
      <w:r>
        <w:rPr>
          <w:b/>
          <w:kern w:val="0"/>
          <w:sz w:val="24"/>
          <w:szCs w:val="24"/>
        </w:rPr>
        <w:t>施工技术要求</w:t>
      </w:r>
      <w:r>
        <w:rPr>
          <w:rFonts w:hint="eastAsia"/>
          <w:b/>
          <w:kern w:val="0"/>
          <w:sz w:val="24"/>
          <w:szCs w:val="24"/>
        </w:rPr>
        <w:t>：</w:t>
      </w:r>
    </w:p>
    <w:p>
      <w:pPr>
        <w:rPr>
          <w:b/>
          <w:sz w:val="28"/>
          <w:szCs w:val="28"/>
        </w:rPr>
      </w:pPr>
      <w:r>
        <w:rPr>
          <w:rFonts w:hint="eastAsia"/>
          <w:b/>
          <w:sz w:val="28"/>
          <w:szCs w:val="28"/>
        </w:rPr>
        <mc:AlternateContent>
          <mc:Choice Requires="wps">
            <w:drawing>
              <wp:anchor distT="0" distB="0" distL="114300" distR="114300" simplePos="0" relativeHeight="251664384" behindDoc="0" locked="0" layoutInCell="1" allowOverlap="1">
                <wp:simplePos x="0" y="0"/>
                <wp:positionH relativeFrom="column">
                  <wp:posOffset>5059680</wp:posOffset>
                </wp:positionH>
                <wp:positionV relativeFrom="paragraph">
                  <wp:posOffset>180975</wp:posOffset>
                </wp:positionV>
                <wp:extent cx="474345" cy="635"/>
                <wp:effectExtent l="0" t="37465" r="1905" b="38100"/>
                <wp:wrapNone/>
                <wp:docPr id="9" name="直接箭头连接符 9"/>
                <wp:cNvGraphicFramePr/>
                <a:graphic xmlns:a="http://schemas.openxmlformats.org/drawingml/2006/main">
                  <a:graphicData uri="http://schemas.microsoft.com/office/word/2010/wordprocessingShape">
                    <wps:wsp>
                      <wps:cNvCnPr/>
                      <wps:spPr>
                        <a:xfrm>
                          <a:off x="0" y="0"/>
                          <a:ext cx="47434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398.4pt;margin-top:14.25pt;height:0.05pt;width:37.35pt;z-index:251664384;mso-width-relative:page;mso-height-relative:page;" filled="f" stroked="t" coordsize="21600,21600" o:gfxdata="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Od&#10;VWjaAAAACQEAAA8AAAAAAAAAAQAgAAAAIgAAAGRycy9kb3ducmV2LnhtbFBLAQIUABQAAAAIAIdO&#10;4kAPq5HB6AEAAKMDAAAOAAAAAAAAAAEAIAAAACkBAABkcnMvZTJvRG9jLnhtbFBLBQYAAAAABgAG&#10;AFkBAACDBQAAAAA=&#10;">
                <v:fill on="f" focussize="0,0"/>
                <v:stroke color="#000000" joinstyle="round" endarrow="block"/>
                <v:imagedata o:title=""/>
                <o:lock v:ext="edit" aspectratio="f"/>
              </v:shape>
            </w:pict>
          </mc:Fallback>
        </mc:AlternateContent>
      </w:r>
      <w:r>
        <w:rPr>
          <w:rFonts w:hint="eastAsia"/>
          <w:b/>
          <w:sz w:val="28"/>
          <w:szCs w:val="28"/>
        </w:rPr>
        <mc:AlternateContent>
          <mc:Choice Requires="wps">
            <w:drawing>
              <wp:anchor distT="0" distB="0" distL="114300" distR="114300" simplePos="0" relativeHeight="251663360" behindDoc="0" locked="0" layoutInCell="1" allowOverlap="1">
                <wp:simplePos x="0" y="0"/>
                <wp:positionH relativeFrom="column">
                  <wp:posOffset>2661920</wp:posOffset>
                </wp:positionH>
                <wp:positionV relativeFrom="paragraph">
                  <wp:posOffset>180340</wp:posOffset>
                </wp:positionV>
                <wp:extent cx="319405" cy="0"/>
                <wp:effectExtent l="0" t="38100" r="4445" b="38100"/>
                <wp:wrapNone/>
                <wp:docPr id="11" name="直接箭头连接符 11"/>
                <wp:cNvGraphicFramePr/>
                <a:graphic xmlns:a="http://schemas.openxmlformats.org/drawingml/2006/main">
                  <a:graphicData uri="http://schemas.microsoft.com/office/word/2010/wordprocessingShape">
                    <wps:wsp>
                      <wps:cNvCnPr/>
                      <wps:spPr>
                        <a:xfrm>
                          <a:off x="0" y="0"/>
                          <a:ext cx="31940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09.6pt;margin-top:14.2pt;height:0pt;width:25.15pt;z-index:251663360;mso-width-relative:page;mso-height-relative:page;" filled="f" stroked="t" coordsize="21600,21600" o:gfxdata="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exBv&#10;w9kAAAAJAQAADwAAAAAAAAABACAAAAAiAAAAZHJzL2Rvd25yZXYueG1sUEsBAhQAFAAAAAgAh07i&#10;QLtXABLoAQAAowMAAA4AAAAAAAAAAQAgAAAAKAEAAGRycy9lMm9Eb2MueG1sUEsFBgAAAAAGAAYA&#10;WQEAAIIFAAAAAA==&#10;">
                <v:fill on="f" focussize="0,0"/>
                <v:stroke color="#000000" joinstyle="round" endarrow="block"/>
                <v:imagedata o:title=""/>
                <o:lock v:ext="edit" aspectratio="f"/>
              </v:shape>
            </w:pict>
          </mc:Fallback>
        </mc:AlternateContent>
      </w:r>
      <w:r>
        <w:rPr>
          <w:rFonts w:hint="eastAsia"/>
          <w:b/>
          <w:sz w:val="28"/>
          <w:szCs w:val="28"/>
        </w:rPr>
        <mc:AlternateContent>
          <mc:Choice Requires="wps">
            <w:drawing>
              <wp:anchor distT="0" distB="0" distL="114300" distR="114300" simplePos="0" relativeHeight="251665408" behindDoc="0" locked="0" layoutInCell="1" allowOverlap="1">
                <wp:simplePos x="0" y="0"/>
                <wp:positionH relativeFrom="column">
                  <wp:posOffset>958850</wp:posOffset>
                </wp:positionH>
                <wp:positionV relativeFrom="paragraph">
                  <wp:posOffset>179705</wp:posOffset>
                </wp:positionV>
                <wp:extent cx="319405" cy="0"/>
                <wp:effectExtent l="0" t="38100" r="4445" b="38100"/>
                <wp:wrapNone/>
                <wp:docPr id="10" name="直接箭头连接符 10"/>
                <wp:cNvGraphicFramePr/>
                <a:graphic xmlns:a="http://schemas.openxmlformats.org/drawingml/2006/main">
                  <a:graphicData uri="http://schemas.microsoft.com/office/word/2010/wordprocessingShape">
                    <wps:wsp>
                      <wps:cNvCnPr/>
                      <wps:spPr>
                        <a:xfrm>
                          <a:off x="0" y="0"/>
                          <a:ext cx="31940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75.5pt;margin-top:14.15pt;height:0pt;width:25.15pt;z-index:251665408;mso-width-relative:page;mso-height-relative:page;" filled="f" stroked="t" coordsize="21600,21600" o:gfxdata="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B/jkH&#10;2AAAAAkBAAAPAAAAAAAAAAEAIAAAACIAAABkcnMvZG93bnJldi54bWxQSwECFAAUAAAACACHTuJA&#10;SW4gIegBAACjAwAADgAAAAAAAAABACAAAAAnAQAAZHJzL2Uyb0RvYy54bWxQSwUGAAAAAAYABgBZ&#10;AQAAgQUAAAAA&#10;">
                <v:fill on="f" focussize="0,0"/>
                <v:stroke color="#000000" joinstyle="round" endarrow="block"/>
                <v:imagedata o:title=""/>
                <o:lock v:ext="edit" aspectratio="f"/>
              </v:shape>
            </w:pict>
          </mc:Fallback>
        </mc:AlternateContent>
      </w:r>
      <w:r>
        <w:rPr>
          <w:rFonts w:hint="eastAsia"/>
          <w:b/>
          <w:sz w:val="28"/>
          <w:szCs w:val="28"/>
        </w:rPr>
        <w:t>先打磨除锈     然后涂刷固绣剂     防腐底漆（底层防锈漆）</w:t>
      </w:r>
    </w:p>
    <w:p>
      <w:pPr>
        <w:rPr>
          <w:b/>
          <w:sz w:val="28"/>
          <w:szCs w:val="28"/>
        </w:rPr>
      </w:pPr>
      <w:r>
        <w:rPr>
          <w:rFonts w:hint="eastAsia"/>
          <w:b/>
          <w:sz w:val="28"/>
          <w:szCs w:val="28"/>
        </w:rPr>
        <w:t>防腐面漆(面层防锈漆)</w:t>
      </w:r>
    </w:p>
    <w:p>
      <w:pPr>
        <w:widowControl/>
        <w:jc w:val="left"/>
        <w:rPr>
          <w:rFonts w:ascii="仿宋_GB2312" w:hAnsi="Times New Roman" w:eastAsia="仿宋_GB2312" w:cs="Times New Roman"/>
          <w:sz w:val="28"/>
          <w:szCs w:val="28"/>
          <w:lang w:bidi="ar"/>
        </w:rPr>
      </w:pPr>
    </w:p>
    <w:p>
      <w:pPr>
        <w:widowControl/>
        <w:jc w:val="left"/>
        <w:rPr>
          <w:rFonts w:ascii="仿宋_GB2312" w:hAnsi="Times New Roman" w:eastAsia="仿宋_GB2312" w:cs="Times New Roman"/>
          <w:sz w:val="28"/>
          <w:szCs w:val="28"/>
          <w:lang w:bidi="ar"/>
        </w:rPr>
      </w:pPr>
    </w:p>
    <w:p/>
    <w:p>
      <w:pPr>
        <w:pStyle w:val="48"/>
        <w:jc w:val="both"/>
      </w:pPr>
      <w:r>
        <w:rPr>
          <w:rFonts w:hint="eastAsia"/>
        </w:rPr>
        <w:t xml:space="preserve"> </w:t>
      </w:r>
      <w:r>
        <w:t xml:space="preserve">            </w:t>
      </w: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jc w:val="both"/>
      </w:pPr>
    </w:p>
    <w:p>
      <w:pPr>
        <w:pStyle w:val="48"/>
      </w:pPr>
      <w:r>
        <w:t>第</w:t>
      </w:r>
      <w:r>
        <w:rPr>
          <w:rFonts w:hint="eastAsia"/>
        </w:rPr>
        <w:t>六</w:t>
      </w:r>
      <w:r>
        <w:t>章  投标文件格式</w:t>
      </w:r>
      <w:bookmarkEnd w:id="96"/>
      <w:bookmarkEnd w:id="97"/>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二、</w:t>
      </w:r>
      <w:r>
        <w:rPr>
          <w:rFonts w:cs="Calibri" w:asciiTheme="minorEastAsia" w:hAnsiTheme="minorEastAsia"/>
          <w:color w:val="000000"/>
          <w:sz w:val="22"/>
        </w:rPr>
        <w:t>法定代表人资格证明书</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三、</w:t>
      </w:r>
      <w:r>
        <w:rPr>
          <w:rFonts w:cs="Calibri" w:asciiTheme="minorEastAsia" w:hAnsiTheme="minorEastAsia"/>
          <w:color w:val="000000"/>
          <w:sz w:val="22"/>
        </w:rPr>
        <w:t>授权委托书</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四、已标价工程量清单</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五、施工组织设计</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六、项目管理机构</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七、资格审查资料</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八、投标人认为</w:t>
      </w:r>
      <w:r>
        <w:rPr>
          <w:rFonts w:cs="Calibri" w:asciiTheme="minorEastAsia" w:hAnsiTheme="minorEastAsia"/>
          <w:color w:val="000000"/>
          <w:sz w:val="22"/>
        </w:rPr>
        <w:t>应该提供的其他材料</w:t>
      </w:r>
    </w:p>
    <w:p>
      <w:pPr>
        <w:adjustRightInd w:val="0"/>
        <w:snapToGrid w:val="0"/>
        <w:spacing w:line="400" w:lineRule="exact"/>
        <w:ind w:firstLine="440" w:firstLineChars="200"/>
        <w:rPr>
          <w:rFonts w:ascii="宋体" w:hAnsi="宋体" w:cs="Calibri"/>
          <w:color w:val="000000"/>
          <w:sz w:val="22"/>
        </w:rPr>
      </w:pPr>
    </w:p>
    <w:p>
      <w:pPr>
        <w:rPr>
          <w:rFonts w:ascii="宋体" w:hAnsi="宋体" w:cs="Calibri"/>
          <w:sz w:val="22"/>
        </w:rPr>
      </w:pPr>
    </w:p>
    <w:p>
      <w:pPr>
        <w:spacing w:line="440" w:lineRule="exact"/>
        <w:rPr>
          <w:rFonts w:ascii="宋体" w:hAnsi="宋体" w:cs="Calibri"/>
          <w:color w:val="000000"/>
          <w:sz w:val="22"/>
        </w:rPr>
      </w:pPr>
    </w:p>
    <w:p>
      <w:pPr>
        <w:widowControl/>
        <w:jc w:val="left"/>
        <w:rPr>
          <w:rFonts w:ascii="宋体" w:hAnsi="宋体" w:cs="Calibri"/>
          <w:color w:val="000000"/>
          <w:sz w:val="22"/>
        </w:rPr>
      </w:pPr>
      <w:r>
        <w:rPr>
          <w:rFonts w:hint="eastAsia" w:ascii="宋体" w:hAnsi="宋体" w:cs="Calibri"/>
          <w:color w:val="000000"/>
          <w:sz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98" w:name="_Toc171421958"/>
      <w:r>
        <w:rPr>
          <w:rFonts w:cs="Calibri"/>
          <w:color w:val="000000"/>
        </w:rPr>
        <w:t>封面</w:t>
      </w:r>
      <w:bookmarkEnd w:id="98"/>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浙江航空开发有限责任公司</w:t>
      </w:r>
    </w:p>
    <w:p>
      <w:pPr>
        <w:autoSpaceDE w:val="0"/>
        <w:autoSpaceDN w:val="0"/>
        <w:adjustRightInd w:val="0"/>
        <w:jc w:val="center"/>
        <w:rPr>
          <w:rFonts w:eastAsia="黑体" w:cs="Calibri"/>
          <w:b/>
          <w:sz w:val="44"/>
          <w:szCs w:val="44"/>
        </w:rPr>
      </w:pPr>
      <w:r>
        <w:rPr>
          <w:rFonts w:hint="eastAsia" w:eastAsia="黑体" w:cs="Calibri"/>
          <w:b/>
          <w:sz w:val="44"/>
          <w:szCs w:val="44"/>
          <w:u w:val="single"/>
        </w:rPr>
        <w:t xml:space="preserve">     </w:t>
      </w:r>
      <w:r>
        <w:rPr>
          <w:rFonts w:eastAsia="黑体" w:cs="Calibri"/>
          <w:b/>
          <w:sz w:val="44"/>
          <w:szCs w:val="44"/>
          <w:u w:val="single"/>
        </w:rPr>
        <w:t xml:space="preserve">      </w:t>
      </w:r>
      <w:r>
        <w:rPr>
          <w:rFonts w:hint="eastAsia" w:eastAsia="黑体" w:cs="Calibri"/>
          <w:b/>
          <w:sz w:val="44"/>
          <w:szCs w:val="44"/>
          <w:u w:val="single"/>
        </w:rPr>
        <w:t xml:space="preserve">    </w:t>
      </w:r>
      <w:r>
        <w:rPr>
          <w:rFonts w:hint="eastAsia" w:eastAsia="黑体" w:cs="Calibri"/>
          <w:b/>
          <w:sz w:val="44"/>
          <w:szCs w:val="44"/>
        </w:rPr>
        <w:t>工程</w:t>
      </w:r>
    </w:p>
    <w:p>
      <w:pPr>
        <w:spacing w:line="440" w:lineRule="exact"/>
        <w:rPr>
          <w:rFonts w:cs="Calibri"/>
          <w:color w:val="000000"/>
          <w:sz w:val="36"/>
          <w:szCs w:val="36"/>
        </w:rPr>
      </w:pPr>
    </w:p>
    <w:p>
      <w:pPr>
        <w:spacing w:line="440" w:lineRule="exact"/>
        <w:ind w:firstLine="420" w:firstLineChars="200"/>
        <w:jc w:val="center"/>
        <w:rPr>
          <w:rFonts w:cs="Calibri"/>
          <w:color w:val="000000"/>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20" w:firstLineChars="200"/>
        <w:jc w:val="center"/>
        <w:rPr>
          <w:rFonts w:cs="Calibri"/>
          <w:color w:val="000000"/>
        </w:rPr>
      </w:pPr>
    </w:p>
    <w:p>
      <w:pPr>
        <w:spacing w:line="440" w:lineRule="exact"/>
        <w:ind w:firstLine="420" w:firstLineChars="200"/>
        <w:rPr>
          <w:rFonts w:cs="Calibri"/>
          <w:color w:val="000000"/>
        </w:rPr>
      </w:pPr>
      <w:r>
        <w:rPr>
          <w:rFonts w:cs="Calibri"/>
          <w:color w:val="000000"/>
        </w:rPr>
        <w:t xml:space="preserve">                  </w:t>
      </w: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spacing w:line="440" w:lineRule="exact"/>
        <w:rPr>
          <w:rFonts w:ascii="宋体" w:hAnsi="宋体"/>
          <w:sz w:val="22"/>
        </w:rPr>
      </w:pPr>
      <w:r>
        <w:rPr>
          <w:rFonts w:ascii="宋体" w:hAnsi="宋体"/>
          <w:sz w:val="22"/>
        </w:rPr>
        <w:t>致：</w:t>
      </w:r>
      <w:r>
        <w:rPr>
          <w:rFonts w:hint="eastAsia" w:ascii="宋体" w:hAnsi="宋体"/>
          <w:sz w:val="22"/>
        </w:rPr>
        <w:t>*</w:t>
      </w:r>
      <w:r>
        <w:rPr>
          <w:rFonts w:ascii="宋体" w:hAnsi="宋体"/>
          <w:sz w:val="22"/>
        </w:rPr>
        <w:t xml:space="preserve">************* </w:t>
      </w:r>
    </w:p>
    <w:p>
      <w:pPr>
        <w:spacing w:line="440" w:lineRule="exact"/>
        <w:ind w:firstLine="376" w:firstLineChars="171"/>
        <w:rPr>
          <w:rFonts w:ascii="宋体" w:hAnsi="宋体"/>
          <w:sz w:val="22"/>
        </w:rPr>
      </w:pPr>
      <w:r>
        <w:rPr>
          <w:rFonts w:ascii="宋体" w:hAnsi="宋体"/>
          <w:sz w:val="22"/>
        </w:rPr>
        <w:t>1．我方已仔细研究了</w:t>
      </w:r>
      <w:r>
        <w:rPr>
          <w:rFonts w:ascii="宋体" w:hAnsi="宋体"/>
          <w:sz w:val="22"/>
          <w:u w:val="single"/>
        </w:rPr>
        <w:t xml:space="preserve">          </w:t>
      </w:r>
      <w:r>
        <w:rPr>
          <w:rFonts w:ascii="宋体" w:hAnsi="宋体"/>
          <w:sz w:val="22"/>
        </w:rPr>
        <w:t>（项目名称）施工招标文件的全部内容，愿意以人民币（大写）</w:t>
      </w:r>
      <w:r>
        <w:rPr>
          <w:rFonts w:ascii="宋体" w:hAnsi="宋体"/>
          <w:sz w:val="22"/>
          <w:u w:val="single"/>
        </w:rPr>
        <w:t xml:space="preserve">         </w:t>
      </w:r>
      <w:r>
        <w:rPr>
          <w:rFonts w:ascii="宋体" w:hAnsi="宋体"/>
          <w:sz w:val="22"/>
        </w:rPr>
        <w:t>元（¥</w:t>
      </w:r>
      <w:r>
        <w:rPr>
          <w:rFonts w:ascii="宋体" w:hAnsi="宋体"/>
          <w:sz w:val="22"/>
          <w:u w:val="single"/>
        </w:rPr>
        <w:t xml:space="preserve">           </w:t>
      </w:r>
      <w:r>
        <w:rPr>
          <w:rFonts w:ascii="宋体" w:hAnsi="宋体"/>
          <w:sz w:val="22"/>
        </w:rPr>
        <w:t>）的投标总报价</w:t>
      </w:r>
      <w:r>
        <w:rPr>
          <w:rFonts w:hint="eastAsia" w:ascii="宋体" w:hAnsi="宋体"/>
          <w:sz w:val="22"/>
        </w:rPr>
        <w:t>，工期</w:t>
      </w:r>
      <w:r>
        <w:rPr>
          <w:rFonts w:hint="eastAsia" w:ascii="宋体" w:hAnsi="宋体"/>
          <w:sz w:val="22"/>
          <w:u w:val="single"/>
        </w:rPr>
        <w:t xml:space="preserve">      </w:t>
      </w:r>
      <w:r>
        <w:rPr>
          <w:rFonts w:hint="eastAsia" w:ascii="宋体" w:hAnsi="宋体"/>
          <w:sz w:val="22"/>
        </w:rPr>
        <w:t>日历天，</w:t>
      </w:r>
      <w:r>
        <w:rPr>
          <w:rFonts w:ascii="宋体" w:hAnsi="宋体"/>
          <w:sz w:val="22"/>
        </w:rPr>
        <w:t>按合同约定实施和完成承包工程，修补工程中的任何缺陷，工程质量达到</w:t>
      </w:r>
      <w:r>
        <w:rPr>
          <w:rFonts w:hint="eastAsia" w:ascii="宋体" w:hAnsi="宋体"/>
          <w:sz w:val="22"/>
        </w:rPr>
        <w:t>一次验收合格</w:t>
      </w:r>
      <w:r>
        <w:rPr>
          <w:rFonts w:ascii="宋体" w:hAnsi="宋体"/>
          <w:sz w:val="22"/>
        </w:rPr>
        <w:t xml:space="preserve"> 。</w:t>
      </w:r>
    </w:p>
    <w:p>
      <w:pPr>
        <w:spacing w:line="440" w:lineRule="exact"/>
        <w:ind w:firstLine="440" w:firstLineChars="200"/>
        <w:rPr>
          <w:rFonts w:ascii="宋体" w:hAnsi="宋体"/>
          <w:sz w:val="22"/>
        </w:rPr>
      </w:pPr>
      <w:r>
        <w:rPr>
          <w:rFonts w:ascii="宋体" w:hAnsi="宋体"/>
          <w:sz w:val="22"/>
        </w:rPr>
        <w:t>2．我方承诺在投标有效期内不修改、撤销投标文件。</w:t>
      </w:r>
    </w:p>
    <w:p>
      <w:pPr>
        <w:spacing w:line="440" w:lineRule="exact"/>
        <w:ind w:firstLine="440" w:firstLineChars="200"/>
        <w:rPr>
          <w:rFonts w:ascii="宋体" w:hAnsi="宋体"/>
          <w:sz w:val="22"/>
        </w:rPr>
      </w:pPr>
      <w:r>
        <w:rPr>
          <w:rFonts w:hint="eastAsia" w:ascii="宋体" w:hAnsi="宋体"/>
          <w:sz w:val="22"/>
        </w:rPr>
        <w:t>3</w:t>
      </w:r>
      <w:r>
        <w:rPr>
          <w:rFonts w:ascii="宋体" w:hAnsi="宋体"/>
          <w:sz w:val="22"/>
        </w:rPr>
        <w:t>．如我方中标：</w:t>
      </w:r>
    </w:p>
    <w:p>
      <w:pPr>
        <w:spacing w:line="440" w:lineRule="exact"/>
        <w:ind w:firstLine="752" w:firstLineChars="342"/>
        <w:rPr>
          <w:rFonts w:ascii="宋体" w:hAnsi="宋体"/>
          <w:sz w:val="22"/>
        </w:rPr>
      </w:pPr>
      <w:r>
        <w:rPr>
          <w:rFonts w:ascii="宋体" w:hAnsi="宋体"/>
          <w:sz w:val="22"/>
        </w:rPr>
        <w:t>（1）我方承诺在收到中标通知书后，在中标通知书规定的期限内与你方签订合同。</w:t>
      </w:r>
    </w:p>
    <w:p>
      <w:pPr>
        <w:spacing w:line="440" w:lineRule="exact"/>
        <w:ind w:firstLine="752" w:firstLineChars="342"/>
        <w:rPr>
          <w:rFonts w:ascii="宋体" w:hAnsi="宋体"/>
          <w:sz w:val="22"/>
        </w:rPr>
      </w:pPr>
      <w:r>
        <w:rPr>
          <w:rFonts w:ascii="宋体" w:hAnsi="宋体"/>
          <w:sz w:val="22"/>
        </w:rPr>
        <w:t>（</w:t>
      </w:r>
      <w:r>
        <w:rPr>
          <w:rFonts w:hint="eastAsia" w:ascii="宋体" w:hAnsi="宋体"/>
          <w:sz w:val="22"/>
        </w:rPr>
        <w:t>2</w:t>
      </w:r>
      <w:r>
        <w:rPr>
          <w:rFonts w:ascii="宋体" w:hAnsi="宋体"/>
          <w:sz w:val="22"/>
        </w:rPr>
        <w:t>）我方承诺按照招标文件</w:t>
      </w:r>
      <w:r>
        <w:rPr>
          <w:rFonts w:hint="eastAsia" w:ascii="宋体" w:hAnsi="宋体"/>
          <w:sz w:val="22"/>
        </w:rPr>
        <w:t>及合同</w:t>
      </w:r>
      <w:r>
        <w:rPr>
          <w:rFonts w:ascii="宋体" w:hAnsi="宋体"/>
          <w:sz w:val="22"/>
        </w:rPr>
        <w:t>规定向你方递交履约</w:t>
      </w:r>
      <w:r>
        <w:rPr>
          <w:rFonts w:hint="eastAsia" w:ascii="宋体" w:hAnsi="宋体"/>
          <w:sz w:val="22"/>
        </w:rPr>
        <w:t>保证金</w:t>
      </w:r>
      <w:r>
        <w:rPr>
          <w:rFonts w:ascii="宋体" w:hAnsi="宋体"/>
          <w:sz w:val="22"/>
        </w:rPr>
        <w:t>。</w:t>
      </w:r>
    </w:p>
    <w:p>
      <w:pPr>
        <w:spacing w:line="440" w:lineRule="exact"/>
        <w:ind w:firstLine="752" w:firstLineChars="342"/>
        <w:rPr>
          <w:rFonts w:ascii="宋体" w:hAnsi="宋体"/>
          <w:sz w:val="22"/>
        </w:rPr>
      </w:pPr>
      <w:r>
        <w:rPr>
          <w:rFonts w:ascii="宋体" w:hAnsi="宋体"/>
          <w:sz w:val="22"/>
        </w:rPr>
        <w:t>（</w:t>
      </w:r>
      <w:r>
        <w:rPr>
          <w:rFonts w:hint="eastAsia" w:ascii="宋体" w:hAnsi="宋体"/>
          <w:sz w:val="22"/>
        </w:rPr>
        <w:t>3</w:t>
      </w:r>
      <w:r>
        <w:rPr>
          <w:rFonts w:ascii="宋体" w:hAnsi="宋体"/>
          <w:sz w:val="22"/>
        </w:rPr>
        <w:t>）我方承诺在合同约定的期限内完成并移交全部合同工程。</w:t>
      </w:r>
    </w:p>
    <w:p>
      <w:pPr>
        <w:spacing w:line="440" w:lineRule="exact"/>
        <w:ind w:firstLine="440" w:firstLineChars="200"/>
        <w:rPr>
          <w:rFonts w:ascii="宋体" w:hAnsi="宋体"/>
          <w:sz w:val="22"/>
        </w:rPr>
      </w:pPr>
      <w:r>
        <w:rPr>
          <w:rFonts w:hint="eastAsia" w:ascii="宋体" w:hAnsi="宋体"/>
          <w:sz w:val="22"/>
        </w:rPr>
        <w:t>4</w:t>
      </w:r>
      <w:r>
        <w:rPr>
          <w:rFonts w:ascii="宋体" w:hAnsi="宋体"/>
          <w:sz w:val="22"/>
        </w:rPr>
        <w:t>．</w:t>
      </w:r>
      <w:r>
        <w:rPr>
          <w:rFonts w:hint="eastAsia" w:ascii="宋体" w:hAnsi="宋体"/>
          <w:sz w:val="22"/>
        </w:rPr>
        <w:t>我方在此声明，所递交的投标文件及有关资料内容完整、真实和准确。</w:t>
      </w:r>
    </w:p>
    <w:p>
      <w:pPr>
        <w:spacing w:line="440" w:lineRule="exact"/>
        <w:ind w:firstLine="440" w:firstLineChars="200"/>
        <w:rPr>
          <w:rFonts w:ascii="宋体" w:hAnsi="宋体"/>
          <w:sz w:val="22"/>
        </w:rPr>
      </w:pPr>
      <w:r>
        <w:rPr>
          <w:rFonts w:hint="eastAsia" w:ascii="宋体" w:hAnsi="宋体"/>
          <w:sz w:val="22"/>
        </w:rPr>
        <w:t>5．</w:t>
      </w:r>
      <w:r>
        <w:rPr>
          <w:rFonts w:ascii="宋体" w:hAnsi="宋体"/>
          <w:sz w:val="22"/>
          <w:u w:val="single"/>
        </w:rPr>
        <w:t xml:space="preserve">                                       </w:t>
      </w:r>
      <w:r>
        <w:rPr>
          <w:rFonts w:ascii="宋体" w:hAnsi="宋体"/>
          <w:sz w:val="22"/>
        </w:rPr>
        <w:t>（</w:t>
      </w:r>
      <w:r>
        <w:rPr>
          <w:rFonts w:hint="eastAsia" w:ascii="宋体" w:hAnsi="宋体"/>
          <w:sz w:val="22"/>
        </w:rPr>
        <w:t>其他</w:t>
      </w:r>
      <w:r>
        <w:rPr>
          <w:rFonts w:ascii="宋体" w:hAnsi="宋体"/>
          <w:sz w:val="22"/>
        </w:rPr>
        <w:t>补充说明）。</w:t>
      </w: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投标人：（盖单位章）</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法定代表人或其委托代理人：（签字或盖章）</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地    址：</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邮政编码：</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电    话：</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传    真：</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开户银行：</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账    号：</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日    期：    年     月     日</w:t>
      </w:r>
    </w:p>
    <w:p>
      <w:pPr>
        <w:adjustRightInd w:val="0"/>
        <w:snapToGrid w:val="0"/>
        <w:jc w:val="center"/>
        <w:rPr>
          <w:rFonts w:eastAsia="黑体" w:cs="Calibri"/>
          <w:color w:val="000000"/>
          <w:sz w:val="32"/>
          <w:szCs w:val="32"/>
        </w:rPr>
      </w:pPr>
      <w:r>
        <w:rPr>
          <w:rFonts w:ascii="宋体" w:hAnsi="宋体" w:cs="Arial"/>
          <w:sz w:val="22"/>
        </w:rPr>
        <w:br w:type="page"/>
      </w: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rPr>
      </w:pPr>
    </w:p>
    <w:p>
      <w:pPr>
        <w:spacing w:after="120" w:afterLines="50" w:line="440" w:lineRule="exact"/>
        <w:rPr>
          <w:rFonts w:cs="Calibri"/>
          <w:color w:val="000000"/>
          <w:sz w:val="22"/>
          <w:u w:val="single"/>
        </w:rPr>
      </w:pPr>
      <w:r>
        <w:rPr>
          <w:rFonts w:cs="Calibri"/>
          <w:color w:val="000000"/>
          <w:sz w:val="22"/>
        </w:rPr>
        <w:t>投标人名称：</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单位性质：</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地址：</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成立时间：</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pacing w:after="120" w:afterLines="50" w:line="440" w:lineRule="exact"/>
        <w:rPr>
          <w:rFonts w:cs="Calibri"/>
          <w:color w:val="000000"/>
          <w:sz w:val="22"/>
          <w:u w:val="single"/>
        </w:rPr>
      </w:pPr>
      <w:r>
        <w:rPr>
          <w:rFonts w:cs="Calibri"/>
          <w:color w:val="000000"/>
          <w:sz w:val="22"/>
        </w:rPr>
        <w:t>经营期限：</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姓名：</w:t>
      </w:r>
      <w:r>
        <w:rPr>
          <w:rFonts w:cs="Calibri"/>
          <w:color w:val="000000"/>
          <w:sz w:val="22"/>
          <w:u w:val="single"/>
        </w:rPr>
        <w:t xml:space="preserve">         </w:t>
      </w:r>
      <w:r>
        <w:rPr>
          <w:rFonts w:cs="Calibri"/>
          <w:color w:val="000000"/>
          <w:sz w:val="22"/>
        </w:rPr>
        <w:t xml:space="preserve">  性别：</w:t>
      </w:r>
      <w:r>
        <w:rPr>
          <w:rFonts w:cs="Calibri"/>
          <w:color w:val="000000"/>
          <w:sz w:val="22"/>
          <w:u w:val="single"/>
        </w:rPr>
        <w:t xml:space="preserve">         </w:t>
      </w:r>
      <w:r>
        <w:rPr>
          <w:rFonts w:cs="Calibri"/>
          <w:color w:val="000000"/>
          <w:sz w:val="22"/>
        </w:rPr>
        <w:t xml:space="preserve">  年龄：</w:t>
      </w:r>
      <w:r>
        <w:rPr>
          <w:rFonts w:cs="Calibri"/>
          <w:color w:val="000000"/>
          <w:sz w:val="22"/>
          <w:u w:val="single"/>
        </w:rPr>
        <w:t xml:space="preserve">         </w:t>
      </w:r>
      <w:r>
        <w:rPr>
          <w:rFonts w:cs="Calibri"/>
          <w:color w:val="000000"/>
          <w:sz w:val="22"/>
        </w:rPr>
        <w:t xml:space="preserve">  职务：</w:t>
      </w:r>
      <w:r>
        <w:rPr>
          <w:rFonts w:cs="Calibri"/>
          <w:color w:val="000000"/>
          <w:sz w:val="22"/>
          <w:u w:val="single"/>
        </w:rPr>
        <w:t xml:space="preserve">         </w:t>
      </w:r>
      <w:r>
        <w:rPr>
          <w:rFonts w:cs="Calibri"/>
          <w:color w:val="000000"/>
          <w:sz w:val="22"/>
        </w:rPr>
        <w:t xml:space="preserve">  </w:t>
      </w:r>
    </w:p>
    <w:p>
      <w:pPr>
        <w:spacing w:after="120" w:afterLines="50" w:line="440" w:lineRule="exact"/>
        <w:rPr>
          <w:rFonts w:cs="Calibri"/>
          <w:color w:val="000000"/>
          <w:sz w:val="22"/>
          <w:u w:val="single"/>
        </w:rPr>
      </w:pPr>
      <w:r>
        <w:rPr>
          <w:rFonts w:cs="Calibri"/>
          <w:color w:val="000000"/>
          <w:sz w:val="22"/>
        </w:rPr>
        <w:t>身份证号码：</w:t>
      </w:r>
      <w:r>
        <w:rPr>
          <w:rFonts w:cs="Calibri"/>
          <w:color w:val="000000"/>
          <w:sz w:val="22"/>
          <w:u w:val="single"/>
        </w:rPr>
        <w:t xml:space="preserve">                           </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 xml:space="preserve">    系</w:t>
      </w:r>
      <w:r>
        <w:rPr>
          <w:rFonts w:cs="Calibri"/>
          <w:color w:val="000000"/>
          <w:sz w:val="22"/>
          <w:u w:val="single"/>
        </w:rPr>
        <w:t xml:space="preserve">                          </w:t>
      </w:r>
      <w:r>
        <w:rPr>
          <w:rFonts w:cs="Calibri"/>
          <w:color w:val="000000"/>
          <w:sz w:val="22"/>
        </w:rPr>
        <w:t>（投标人名称）的法定代表人。</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特此证明。</w:t>
      </w:r>
    </w:p>
    <w:p>
      <w:pPr>
        <w:spacing w:line="440" w:lineRule="exact"/>
        <w:rPr>
          <w:rFonts w:cs="Calibri"/>
          <w:color w:val="000000"/>
          <w:sz w:val="22"/>
        </w:rPr>
      </w:pPr>
      <w:r>
        <w:rPr>
          <w:rFonts w:cs="Calibri"/>
          <w:color w:val="000000"/>
          <w:sz w:val="22"/>
        </w:rPr>
        <w:t>附：法定代表人身份证复印件</w:t>
      </w:r>
    </w:p>
    <w:p>
      <w:pPr>
        <w:spacing w:line="440" w:lineRule="exact"/>
        <w:rPr>
          <w:rFonts w:cs="Calibri"/>
          <w:color w:val="000000"/>
          <w:sz w:val="22"/>
        </w:rPr>
      </w:pPr>
      <w:r>
        <w:rPr>
          <w:rFonts w:cs="Calibri"/>
          <w:color w:val="000000"/>
          <w:sz w:val="22"/>
        </w:rPr>
        <w:t xml:space="preserve">投标人：（盖单位章） </w:t>
      </w:r>
    </w:p>
    <w:p>
      <w:pPr>
        <w:spacing w:line="440" w:lineRule="exact"/>
        <w:ind w:firstLine="4936" w:firstLineChars="2235"/>
        <w:rPr>
          <w:rFonts w:cs="Calibri"/>
          <w:b/>
          <w:color w:val="000000"/>
          <w:sz w:val="22"/>
        </w:rPr>
      </w:pPr>
      <w:r>
        <w:rPr>
          <w:rFonts w:cs="Calibri"/>
          <w:b/>
          <w:color w:val="000000"/>
          <w:sz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803275</wp:posOffset>
                </wp:positionV>
                <wp:extent cx="5372100" cy="2179320"/>
                <wp:effectExtent l="0" t="0" r="19050" b="1143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63.25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M&#10;zC8j1wAAAAgBAAAPAAAAAAAAAAEAIAAAACIAAABkcnMvZG93bnJldi54bWxQSwECFAAUAAAACACH&#10;TuJAGzSERiUCAAA6BAAADgAAAAAAAAABACAAAAAmAQAAZHJzL2Uyb0RvYy54bWxQSwUGAAAAAAYA&#10;BgBZAQAAvQ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mc:Fallback>
        </mc:AlternateContent>
      </w:r>
      <w:r>
        <w:rPr>
          <w:rFonts w:cs="Calibri"/>
          <w:color w:val="000000"/>
          <w:sz w:val="22"/>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40" w:firstLineChars="200"/>
        <w:rPr>
          <w:rFonts w:cs="Calibri"/>
          <w:color w:val="000000"/>
          <w:sz w:val="22"/>
        </w:rPr>
      </w:pPr>
      <w:r>
        <w:rPr>
          <w:rFonts w:cs="Calibri"/>
          <w:color w:val="000000"/>
          <w:sz w:val="22"/>
        </w:rPr>
        <w:t>本人</w:t>
      </w:r>
      <w:r>
        <w:rPr>
          <w:rFonts w:cs="Calibri"/>
          <w:color w:val="000000"/>
          <w:sz w:val="22"/>
          <w:u w:val="single"/>
        </w:rPr>
        <w:t xml:space="preserve">        </w:t>
      </w:r>
      <w:r>
        <w:rPr>
          <w:rFonts w:cs="Calibri"/>
          <w:color w:val="000000"/>
          <w:sz w:val="22"/>
        </w:rPr>
        <w:t>（姓名）系</w:t>
      </w:r>
      <w:r>
        <w:rPr>
          <w:rFonts w:cs="Calibri"/>
          <w:color w:val="000000"/>
          <w:sz w:val="22"/>
          <w:u w:val="single"/>
        </w:rPr>
        <w:t xml:space="preserve">                </w:t>
      </w:r>
      <w:r>
        <w:rPr>
          <w:rFonts w:cs="Calibri"/>
          <w:color w:val="000000"/>
          <w:sz w:val="22"/>
        </w:rPr>
        <w:t>（投标人名称）的法定代表人，现委托</w:t>
      </w:r>
      <w:r>
        <w:rPr>
          <w:rFonts w:cs="Calibri"/>
          <w:color w:val="000000"/>
          <w:sz w:val="22"/>
          <w:u w:val="single"/>
        </w:rPr>
        <w:t xml:space="preserve">      </w:t>
      </w:r>
      <w:r>
        <w:rPr>
          <w:rFonts w:cs="Calibri"/>
          <w:color w:val="000000"/>
          <w:sz w:val="22"/>
        </w:rPr>
        <w:t>（姓名）为我方代理人。代理人根据授权，以我方名义签署、澄清、说明、补正、递交、撤回、修改</w:t>
      </w:r>
      <w:r>
        <w:rPr>
          <w:rFonts w:cs="Calibri"/>
          <w:color w:val="000000"/>
          <w:sz w:val="22"/>
          <w:u w:val="single"/>
        </w:rPr>
        <w:t xml:space="preserve">              </w:t>
      </w:r>
      <w:r>
        <w:rPr>
          <w:rFonts w:cs="Calibri"/>
          <w:color w:val="000000"/>
          <w:sz w:val="22"/>
        </w:rPr>
        <w:t>（项目名称）投标文件、签订合同和处理有关事宜，其法律后果由我方承担。</w:t>
      </w:r>
    </w:p>
    <w:p>
      <w:pPr>
        <w:spacing w:line="440" w:lineRule="exact"/>
        <w:ind w:firstLine="440" w:firstLineChars="200"/>
        <w:rPr>
          <w:rFonts w:cs="Calibri"/>
          <w:color w:val="000000"/>
          <w:sz w:val="22"/>
        </w:rPr>
      </w:pPr>
      <w:r>
        <w:rPr>
          <w:rFonts w:cs="Calibri"/>
          <w:color w:val="000000"/>
          <w:sz w:val="22"/>
        </w:rPr>
        <w:t>代理人无转委托权。</w:t>
      </w:r>
    </w:p>
    <w:p>
      <w:pPr>
        <w:spacing w:line="440" w:lineRule="exact"/>
        <w:ind w:firstLine="440" w:firstLineChars="200"/>
        <w:rPr>
          <w:rFonts w:cs="Calibri"/>
          <w:color w:val="000000"/>
          <w:sz w:val="22"/>
        </w:rPr>
      </w:pPr>
      <w:r>
        <w:rPr>
          <w:rFonts w:cs="Calibri"/>
          <w:color w:val="000000"/>
          <w:sz w:val="22"/>
        </w:rPr>
        <w:t>附：委托代理人身份证复印件</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投标人：（盖单位章）</w:t>
      </w:r>
    </w:p>
    <w:p>
      <w:pPr>
        <w:spacing w:line="440" w:lineRule="exact"/>
        <w:rPr>
          <w:rFonts w:cs="Calibri"/>
          <w:color w:val="000000"/>
          <w:sz w:val="22"/>
        </w:rPr>
      </w:pPr>
      <w:r>
        <w:rPr>
          <w:rFonts w:cs="Calibri"/>
          <w:color w:val="000000"/>
          <w:sz w:val="22"/>
        </w:rPr>
        <w:t>法定代表人：（签字或盖章）</w:t>
      </w:r>
    </w:p>
    <w:p>
      <w:pPr>
        <w:spacing w:line="440" w:lineRule="exact"/>
        <w:rPr>
          <w:rFonts w:cs="Calibri"/>
          <w:color w:val="000000"/>
          <w:sz w:val="22"/>
        </w:rPr>
      </w:pPr>
      <w:r>
        <w:rPr>
          <w:rFonts w:cs="Calibri"/>
          <w:color w:val="000000"/>
          <w:sz w:val="22"/>
        </w:rPr>
        <w:t>身份证号码：</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委托的代理人：（签字或盖章）</w:t>
      </w:r>
    </w:p>
    <w:p>
      <w:pPr>
        <w:spacing w:line="440" w:lineRule="exact"/>
        <w:rPr>
          <w:rFonts w:cs="Calibri"/>
          <w:color w:val="000000"/>
          <w:sz w:val="22"/>
        </w:rPr>
      </w:pPr>
      <w:r>
        <w:rPr>
          <w:rFonts w:cs="Calibri"/>
          <w:color w:val="000000"/>
          <w:sz w:val="22"/>
        </w:rPr>
        <w:t>身份证号码：</w:t>
      </w:r>
    </w:p>
    <w:p>
      <w:pPr>
        <w:spacing w:line="440" w:lineRule="exact"/>
        <w:ind w:firstLine="4730" w:firstLineChars="2150"/>
        <w:rPr>
          <w:rFonts w:cs="Calibri"/>
          <w:color w:val="000000"/>
          <w:sz w:val="22"/>
        </w:rPr>
      </w:pPr>
      <w:r>
        <w:rPr>
          <w:rFonts w:cs="Calibri"/>
          <w:color w:val="000000"/>
          <w:sz w:val="22"/>
        </w:rPr>
        <w:t>日期：</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napToGrid w:val="0"/>
        <w:spacing w:line="440" w:lineRule="exact"/>
        <w:rPr>
          <w:rFonts w:cs="Calibri"/>
          <w:color w:val="000000"/>
          <w:szCs w:val="21"/>
        </w:rPr>
      </w:pPr>
      <w:r>
        <w:rPr>
          <w:rFonts w:cs="Calibri"/>
          <w:b/>
          <w:color w:val="000000"/>
          <w:szCs w:val="21"/>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264160</wp:posOffset>
                </wp:positionV>
                <wp:extent cx="5372100" cy="2179320"/>
                <wp:effectExtent l="0" t="0" r="19050" b="11430"/>
                <wp:wrapSquare wrapText="bothSides"/>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9.15pt;margin-top:20.8pt;height:171.6pt;width:423pt;mso-wrap-distance-bottom:0pt;mso-wrap-distance-left:9pt;mso-wrap-distance-right:9pt;mso-wrap-distance-top:0pt;z-index:251660288;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qT3rB1wAAAAkBAAAPAAAAAAAAAAEAIAAAACIAAABkcnMvZG93bnJldi54bWxQSwECFAAUAAAA&#10;CACHTuJAQ8k0QygCAAA6BAAADgAAAAAAAAABACAAAAAmAQAAZHJzL2Uyb0RvYy54bWxQSwUGAAAA&#10;AAYABgBZAQAAwA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rPr>
      </w:pPr>
      <w:r>
        <w:rPr>
          <w:rFonts w:cs="Calibri"/>
          <w:color w:val="000000"/>
          <w:sz w:val="22"/>
        </w:rPr>
        <w:t>注：如投标文件由委托代理人签字或盖章的，投标文件必须附此授权委托书。</w:t>
      </w:r>
      <w:r>
        <w:rPr>
          <w:rFonts w:cs="Calibri"/>
          <w:b/>
          <w:bCs/>
          <w:color w:val="000000"/>
          <w:sz w:val="22"/>
        </w:rPr>
        <w:t xml:space="preserve">     </w:t>
      </w:r>
    </w:p>
    <w:p>
      <w:pPr>
        <w:spacing w:line="360" w:lineRule="auto"/>
        <w:jc w:val="left"/>
        <w:rPr>
          <w:rFonts w:ascii="宋体" w:hAnsi="宋体" w:cs="宋体"/>
          <w:sz w:val="22"/>
        </w:rPr>
      </w:pPr>
    </w:p>
    <w:p>
      <w:pPr>
        <w:pStyle w:val="29"/>
        <w:spacing w:after="120" w:afterLines="50" w:line="360" w:lineRule="auto"/>
        <w:ind w:left="1382" w:hanging="422"/>
        <w:jc w:val="left"/>
        <w:rPr>
          <w:rFonts w:hAnsi="宋体" w:cs="宋体"/>
          <w:b/>
        </w:rPr>
      </w:pPr>
      <w:r>
        <w:rPr>
          <w:rFonts w:hAnsi="宋体" w:cs="宋体"/>
          <w:b/>
        </w:rPr>
        <w:br w:type="page"/>
      </w:r>
      <w:bookmarkStart w:id="99" w:name="_Toc133214102"/>
      <w:bookmarkStart w:id="100" w:name="_Toc133214309"/>
      <w:bookmarkStart w:id="101" w:name="_Toc133470542"/>
      <w:bookmarkStart w:id="102" w:name="_Toc137373398"/>
      <w:bookmarkStart w:id="103" w:name="_Toc144265958"/>
    </w:p>
    <w:p>
      <w:pPr>
        <w:pStyle w:val="29"/>
        <w:spacing w:after="120" w:afterLines="50" w:line="360" w:lineRule="auto"/>
        <w:ind w:left="1400" w:hanging="440"/>
        <w:jc w:val="left"/>
        <w:rPr>
          <w:rFonts w:hAnsi="宋体" w:cs="宋体"/>
          <w:sz w:val="22"/>
          <w:szCs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四、已标价工程量清单</w:t>
      </w:r>
    </w:p>
    <w:p>
      <w:pPr>
        <w:pStyle w:val="29"/>
        <w:spacing w:after="120" w:afterLines="50" w:line="360" w:lineRule="auto"/>
        <w:ind w:left="1380" w:hanging="420"/>
        <w:jc w:val="center"/>
        <w:rPr>
          <w:rFonts w:hAnsi="宋体" w:cs="宋体"/>
        </w:rPr>
      </w:pPr>
    </w:p>
    <w:bookmarkEnd w:id="99"/>
    <w:bookmarkEnd w:id="100"/>
    <w:bookmarkEnd w:id="101"/>
    <w:bookmarkEnd w:id="102"/>
    <w:bookmarkEnd w:id="103"/>
    <w:p>
      <w:pPr>
        <w:snapToGrid w:val="0"/>
        <w:spacing w:before="120" w:beforeLines="50" w:line="360" w:lineRule="exact"/>
        <w:ind w:left="1134"/>
        <w:rPr>
          <w:rFonts w:ascii="宋体" w:hAnsi="宋体" w:cs="宋体"/>
          <w:sz w:val="22"/>
        </w:rPr>
      </w:pPr>
    </w:p>
    <w:p>
      <w:pPr>
        <w:spacing w:line="360" w:lineRule="auto"/>
        <w:jc w:val="center"/>
        <w:rPr>
          <w:rFonts w:ascii="宋体" w:hAnsi="宋体" w:cs="宋体"/>
          <w:sz w:val="22"/>
        </w:rPr>
      </w:pPr>
      <w:r>
        <w:rPr>
          <w:rFonts w:ascii="宋体" w:hAnsi="宋体" w:cs="宋体"/>
          <w:sz w:val="22"/>
        </w:rPr>
        <w:br w:type="page"/>
      </w:r>
    </w:p>
    <w:p>
      <w:pPr>
        <w:spacing w:line="440" w:lineRule="exact"/>
        <w:jc w:val="center"/>
        <w:rPr>
          <w:rFonts w:ascii="宋体" w:hAnsi="宋体" w:cs="Arial"/>
          <w:b/>
          <w:sz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五、施工组织设计</w:t>
      </w:r>
    </w:p>
    <w:p>
      <w:pPr>
        <w:spacing w:line="440" w:lineRule="exact"/>
        <w:jc w:val="center"/>
        <w:rPr>
          <w:rFonts w:ascii="Calibri" w:hAnsi="Calibri" w:eastAsia="黑体" w:cs="Calibri"/>
          <w:color w:val="000000"/>
          <w:sz w:val="32"/>
          <w:szCs w:val="32"/>
        </w:rPr>
      </w:pPr>
    </w:p>
    <w:p>
      <w:pPr>
        <w:tabs>
          <w:tab w:val="left" w:pos="720"/>
        </w:tabs>
        <w:spacing w:line="440" w:lineRule="exact"/>
        <w:ind w:firstLine="440" w:firstLineChars="200"/>
        <w:rPr>
          <w:rFonts w:ascii="宋体" w:hAnsi="宋体"/>
          <w:sz w:val="22"/>
        </w:rPr>
      </w:pPr>
      <w:r>
        <w:rPr>
          <w:rFonts w:hint="eastAsia" w:ascii="宋体" w:hAnsi="宋体"/>
          <w:sz w:val="22"/>
        </w:rPr>
        <w:t xml:space="preserve">1. </w:t>
      </w:r>
      <w:r>
        <w:rPr>
          <w:rFonts w:hint="eastAsia" w:ascii="宋体" w:hAnsi="宋体"/>
          <w:sz w:val="22"/>
        </w:rPr>
        <w:tab/>
      </w:r>
      <w:r>
        <w:rPr>
          <w:rFonts w:hint="eastAsia" w:ascii="宋体" w:hAnsi="宋体"/>
          <w:sz w:val="22"/>
        </w:rPr>
        <w:t>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tabs>
          <w:tab w:val="left" w:pos="720"/>
        </w:tabs>
        <w:spacing w:line="440" w:lineRule="exact"/>
        <w:ind w:firstLine="440" w:firstLineChars="200"/>
        <w:rPr>
          <w:rFonts w:ascii="宋体" w:hAnsi="宋体"/>
          <w:sz w:val="22"/>
        </w:rPr>
      </w:pPr>
      <w:r>
        <w:rPr>
          <w:rFonts w:hint="eastAsia" w:ascii="宋体" w:hAnsi="宋体"/>
          <w:sz w:val="22"/>
        </w:rPr>
        <w:t xml:space="preserve">2. </w:t>
      </w:r>
      <w:r>
        <w:rPr>
          <w:rFonts w:hint="eastAsia" w:ascii="宋体" w:hAnsi="宋体"/>
          <w:sz w:val="22"/>
        </w:rPr>
        <w:tab/>
      </w:r>
      <w:r>
        <w:rPr>
          <w:rFonts w:hint="eastAsia" w:ascii="宋体" w:hAnsi="宋体"/>
          <w:sz w:val="22"/>
        </w:rPr>
        <w:t>施工组织设计除采用文字表述外可附下列图表，图表及格式要求附后。</w:t>
      </w:r>
    </w:p>
    <w:p>
      <w:pPr>
        <w:tabs>
          <w:tab w:val="left" w:pos="720"/>
        </w:tabs>
        <w:spacing w:line="440" w:lineRule="exact"/>
        <w:ind w:firstLine="792" w:firstLineChars="360"/>
        <w:rPr>
          <w:rFonts w:ascii="宋体" w:hAnsi="宋体"/>
          <w:sz w:val="22"/>
        </w:rPr>
      </w:pPr>
      <w:r>
        <w:rPr>
          <w:rFonts w:hint="eastAsia" w:ascii="宋体" w:hAnsi="宋体"/>
          <w:sz w:val="22"/>
        </w:rPr>
        <w:t>附表一  拟投入本标段的主要施工设备表</w:t>
      </w:r>
    </w:p>
    <w:p>
      <w:pPr>
        <w:tabs>
          <w:tab w:val="left" w:pos="720"/>
        </w:tabs>
        <w:spacing w:line="440" w:lineRule="exact"/>
        <w:ind w:firstLine="792" w:firstLineChars="360"/>
        <w:rPr>
          <w:rFonts w:ascii="宋体" w:hAnsi="宋体"/>
          <w:sz w:val="22"/>
        </w:rPr>
      </w:pPr>
      <w:r>
        <w:rPr>
          <w:rFonts w:hint="eastAsia" w:ascii="宋体" w:hAnsi="宋体"/>
          <w:sz w:val="22"/>
        </w:rPr>
        <w:t>附表二  拟配备本标段的试验和检测仪器设备表</w:t>
      </w:r>
    </w:p>
    <w:p>
      <w:pPr>
        <w:tabs>
          <w:tab w:val="left" w:pos="720"/>
        </w:tabs>
        <w:spacing w:line="440" w:lineRule="exact"/>
        <w:ind w:firstLine="792" w:firstLineChars="360"/>
        <w:rPr>
          <w:rFonts w:ascii="宋体" w:hAnsi="宋体"/>
          <w:sz w:val="22"/>
        </w:rPr>
      </w:pPr>
      <w:r>
        <w:rPr>
          <w:rFonts w:hint="eastAsia" w:ascii="宋体" w:hAnsi="宋体"/>
          <w:sz w:val="22"/>
        </w:rPr>
        <w:t>附表三  劳动力计划表</w:t>
      </w:r>
    </w:p>
    <w:p>
      <w:pPr>
        <w:tabs>
          <w:tab w:val="left" w:pos="720"/>
        </w:tabs>
        <w:spacing w:line="440" w:lineRule="exact"/>
        <w:ind w:firstLine="792" w:firstLineChars="360"/>
        <w:rPr>
          <w:rFonts w:ascii="宋体" w:hAnsi="宋体"/>
          <w:sz w:val="22"/>
        </w:rPr>
      </w:pPr>
      <w:r>
        <w:rPr>
          <w:rFonts w:hint="eastAsia" w:ascii="宋体" w:hAnsi="宋体"/>
          <w:sz w:val="22"/>
        </w:rPr>
        <w:t>附表四  计划开、竣工日期和施工进度网络图</w:t>
      </w:r>
    </w:p>
    <w:p>
      <w:pPr>
        <w:tabs>
          <w:tab w:val="left" w:pos="720"/>
        </w:tabs>
        <w:spacing w:line="440" w:lineRule="exact"/>
        <w:ind w:firstLine="792" w:firstLineChars="360"/>
        <w:rPr>
          <w:rFonts w:ascii="宋体" w:hAnsi="宋体"/>
          <w:sz w:val="22"/>
        </w:rPr>
      </w:pPr>
      <w:r>
        <w:rPr>
          <w:rFonts w:hint="eastAsia" w:ascii="宋体" w:hAnsi="宋体"/>
          <w:sz w:val="22"/>
        </w:rPr>
        <w:t>附表五  施工总平面图</w:t>
      </w:r>
    </w:p>
    <w:p>
      <w:pPr>
        <w:widowControl/>
        <w:jc w:val="left"/>
        <w:rPr>
          <w:rFonts w:ascii="宋体" w:hAnsi="宋体" w:cs="宋体"/>
          <w:b/>
          <w:sz w:val="32"/>
          <w:szCs w:val="32"/>
        </w:rPr>
      </w:pPr>
      <w:r>
        <w:rPr>
          <w:rFonts w:ascii="宋体" w:hAnsi="宋体" w:cs="宋体"/>
          <w:b/>
          <w:sz w:val="32"/>
          <w:szCs w:val="32"/>
        </w:rPr>
        <w:br w:type="page"/>
      </w:r>
    </w:p>
    <w:p>
      <w:pPr>
        <w:pStyle w:val="126"/>
        <w:rPr>
          <w:rFonts w:ascii="宋体" w:hAnsi="宋体" w:eastAsia="宋体"/>
          <w:szCs w:val="23"/>
        </w:rPr>
      </w:pPr>
      <w:bookmarkStart w:id="104" w:name="_Toc144974865"/>
      <w:bookmarkStart w:id="105" w:name="_Toc152042586"/>
      <w:bookmarkStart w:id="106" w:name="_Toc11710"/>
      <w:bookmarkStart w:id="107" w:name="_Toc179632817"/>
      <w:bookmarkStart w:id="108" w:name="_Toc246392155"/>
      <w:bookmarkStart w:id="109" w:name="_Toc152045797"/>
      <w:r>
        <w:rPr>
          <w:rFonts w:hint="eastAsia" w:ascii="宋体" w:hAnsi="宋体" w:eastAsia="宋体"/>
        </w:rPr>
        <w:t>附表一：</w:t>
      </w:r>
      <w:r>
        <w:rPr>
          <w:rFonts w:hint="eastAsia" w:ascii="宋体" w:hAnsi="宋体" w:eastAsia="宋体"/>
          <w:szCs w:val="23"/>
        </w:rPr>
        <w:t>拟投入本标段的主要施工设备表</w:t>
      </w:r>
      <w:bookmarkEnd w:id="104"/>
      <w:bookmarkEnd w:id="105"/>
      <w:bookmarkEnd w:id="106"/>
      <w:bookmarkEnd w:id="107"/>
      <w:bookmarkEnd w:id="108"/>
      <w:bookmarkEnd w:id="109"/>
    </w:p>
    <w:p>
      <w:pPr>
        <w:spacing w:line="440" w:lineRule="exact"/>
        <w:rPr>
          <w:rFonts w:ascii="宋体" w:hAnsi="宋体"/>
          <w:sz w:val="20"/>
          <w:szCs w:val="20"/>
        </w:rPr>
      </w:pP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83"/>
        <w:gridCol w:w="908"/>
        <w:gridCol w:w="880"/>
        <w:gridCol w:w="802"/>
        <w:gridCol w:w="879"/>
        <w:gridCol w:w="903"/>
        <w:gridCol w:w="1043"/>
        <w:gridCol w:w="940"/>
        <w:gridCol w:w="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pPr>
              <w:spacing w:line="440" w:lineRule="exact"/>
              <w:rPr>
                <w:rFonts w:ascii="宋体" w:hAnsi="宋体"/>
                <w:szCs w:val="21"/>
              </w:rPr>
            </w:pPr>
            <w:r>
              <w:rPr>
                <w:rFonts w:hint="eastAsia" w:ascii="宋体" w:hAnsi="宋体"/>
                <w:szCs w:val="21"/>
              </w:rPr>
              <w:t>序号</w:t>
            </w:r>
          </w:p>
        </w:tc>
        <w:tc>
          <w:tcPr>
            <w:tcW w:w="1183" w:type="dxa"/>
            <w:vAlign w:val="center"/>
          </w:tcPr>
          <w:p>
            <w:pPr>
              <w:spacing w:line="440" w:lineRule="exact"/>
              <w:jc w:val="center"/>
              <w:rPr>
                <w:rFonts w:ascii="宋体" w:hAnsi="宋体"/>
                <w:szCs w:val="21"/>
              </w:rPr>
            </w:pPr>
            <w:r>
              <w:rPr>
                <w:rFonts w:hint="eastAsia" w:ascii="宋体" w:hAnsi="宋体"/>
                <w:szCs w:val="21"/>
              </w:rPr>
              <w:t>设备名称</w:t>
            </w:r>
          </w:p>
        </w:tc>
        <w:tc>
          <w:tcPr>
            <w:tcW w:w="908" w:type="dxa"/>
            <w:vAlign w:val="center"/>
          </w:tcPr>
          <w:p>
            <w:pPr>
              <w:spacing w:line="440" w:lineRule="exact"/>
              <w:jc w:val="center"/>
              <w:rPr>
                <w:rFonts w:ascii="宋体" w:hAnsi="宋体"/>
                <w:szCs w:val="21"/>
              </w:rPr>
            </w:pPr>
            <w:r>
              <w:rPr>
                <w:rFonts w:hint="eastAsia" w:ascii="宋体" w:hAnsi="宋体"/>
                <w:szCs w:val="21"/>
              </w:rPr>
              <w:t>型号</w:t>
            </w:r>
          </w:p>
          <w:p>
            <w:pPr>
              <w:spacing w:line="440" w:lineRule="exact"/>
              <w:jc w:val="center"/>
              <w:rPr>
                <w:rFonts w:ascii="宋体" w:hAnsi="宋体"/>
                <w:szCs w:val="21"/>
              </w:rPr>
            </w:pPr>
            <w:r>
              <w:rPr>
                <w:rFonts w:hint="eastAsia" w:ascii="宋体" w:hAnsi="宋体"/>
                <w:szCs w:val="21"/>
              </w:rPr>
              <w:t>规格</w:t>
            </w:r>
          </w:p>
        </w:tc>
        <w:tc>
          <w:tcPr>
            <w:tcW w:w="880" w:type="dxa"/>
            <w:vAlign w:val="center"/>
          </w:tcPr>
          <w:p>
            <w:pPr>
              <w:spacing w:line="440" w:lineRule="exact"/>
              <w:jc w:val="center"/>
              <w:rPr>
                <w:rFonts w:ascii="宋体" w:hAnsi="宋体"/>
                <w:szCs w:val="21"/>
              </w:rPr>
            </w:pPr>
            <w:r>
              <w:rPr>
                <w:rFonts w:hint="eastAsia" w:ascii="宋体" w:hAnsi="宋体"/>
                <w:szCs w:val="21"/>
              </w:rPr>
              <w:t>数量</w:t>
            </w:r>
          </w:p>
        </w:tc>
        <w:tc>
          <w:tcPr>
            <w:tcW w:w="802" w:type="dxa"/>
            <w:vAlign w:val="center"/>
          </w:tcPr>
          <w:p>
            <w:pPr>
              <w:spacing w:line="440" w:lineRule="exact"/>
              <w:jc w:val="center"/>
              <w:rPr>
                <w:rFonts w:ascii="宋体" w:hAnsi="宋体"/>
                <w:szCs w:val="21"/>
              </w:rPr>
            </w:pPr>
            <w:r>
              <w:rPr>
                <w:rFonts w:hint="eastAsia" w:ascii="宋体" w:hAnsi="宋体"/>
                <w:szCs w:val="21"/>
              </w:rPr>
              <w:t>国别</w:t>
            </w:r>
          </w:p>
          <w:p>
            <w:pPr>
              <w:spacing w:line="440" w:lineRule="exact"/>
              <w:jc w:val="center"/>
              <w:rPr>
                <w:rFonts w:ascii="宋体" w:hAnsi="宋体"/>
                <w:szCs w:val="21"/>
              </w:rPr>
            </w:pPr>
            <w:r>
              <w:rPr>
                <w:rFonts w:hint="eastAsia" w:ascii="宋体" w:hAnsi="宋体"/>
                <w:szCs w:val="21"/>
              </w:rPr>
              <w:t>产地</w:t>
            </w:r>
          </w:p>
        </w:tc>
        <w:tc>
          <w:tcPr>
            <w:tcW w:w="879" w:type="dxa"/>
            <w:vAlign w:val="center"/>
          </w:tcPr>
          <w:p>
            <w:pPr>
              <w:spacing w:line="440" w:lineRule="exact"/>
              <w:jc w:val="center"/>
              <w:rPr>
                <w:rFonts w:ascii="宋体" w:hAnsi="宋体"/>
                <w:szCs w:val="21"/>
              </w:rPr>
            </w:pPr>
            <w:r>
              <w:rPr>
                <w:rFonts w:hint="eastAsia" w:ascii="宋体" w:hAnsi="宋体"/>
                <w:szCs w:val="21"/>
              </w:rPr>
              <w:t>制造</w:t>
            </w:r>
          </w:p>
          <w:p>
            <w:pPr>
              <w:spacing w:line="440" w:lineRule="exact"/>
              <w:jc w:val="center"/>
              <w:rPr>
                <w:rFonts w:ascii="宋体" w:hAnsi="宋体"/>
                <w:szCs w:val="21"/>
              </w:rPr>
            </w:pPr>
            <w:r>
              <w:rPr>
                <w:rFonts w:hint="eastAsia" w:ascii="宋体" w:hAnsi="宋体"/>
                <w:szCs w:val="21"/>
              </w:rPr>
              <w:t>年份</w:t>
            </w:r>
          </w:p>
        </w:tc>
        <w:tc>
          <w:tcPr>
            <w:tcW w:w="903" w:type="dxa"/>
            <w:vAlign w:val="center"/>
          </w:tcPr>
          <w:p>
            <w:pPr>
              <w:spacing w:line="440" w:lineRule="exact"/>
              <w:jc w:val="center"/>
              <w:rPr>
                <w:rFonts w:ascii="宋体" w:hAnsi="宋体"/>
                <w:szCs w:val="21"/>
              </w:rPr>
            </w:pPr>
            <w:r>
              <w:rPr>
                <w:rFonts w:hint="eastAsia" w:ascii="宋体" w:hAnsi="宋体"/>
                <w:szCs w:val="21"/>
              </w:rPr>
              <w:t>额定功率（KW）</w:t>
            </w:r>
          </w:p>
        </w:tc>
        <w:tc>
          <w:tcPr>
            <w:tcW w:w="1043" w:type="dxa"/>
            <w:vAlign w:val="center"/>
          </w:tcPr>
          <w:p>
            <w:pPr>
              <w:spacing w:line="440" w:lineRule="exact"/>
              <w:jc w:val="center"/>
              <w:rPr>
                <w:rFonts w:ascii="宋体" w:hAnsi="宋体"/>
                <w:szCs w:val="21"/>
              </w:rPr>
            </w:pPr>
            <w:r>
              <w:rPr>
                <w:rFonts w:hint="eastAsia" w:ascii="宋体" w:hAnsi="宋体"/>
                <w:szCs w:val="21"/>
              </w:rPr>
              <w:t>生产</w:t>
            </w:r>
          </w:p>
          <w:p>
            <w:pPr>
              <w:spacing w:line="440" w:lineRule="exact"/>
              <w:jc w:val="center"/>
              <w:rPr>
                <w:rFonts w:ascii="宋体" w:hAnsi="宋体"/>
                <w:szCs w:val="21"/>
              </w:rPr>
            </w:pPr>
            <w:r>
              <w:rPr>
                <w:rFonts w:hint="eastAsia" w:ascii="宋体" w:hAnsi="宋体"/>
                <w:szCs w:val="21"/>
              </w:rPr>
              <w:t>能力</w:t>
            </w:r>
          </w:p>
        </w:tc>
        <w:tc>
          <w:tcPr>
            <w:tcW w:w="940" w:type="dxa"/>
            <w:vAlign w:val="center"/>
          </w:tcPr>
          <w:p>
            <w:pPr>
              <w:spacing w:line="440" w:lineRule="exact"/>
              <w:jc w:val="center"/>
              <w:rPr>
                <w:rFonts w:ascii="宋体" w:hAnsi="宋体"/>
                <w:szCs w:val="21"/>
              </w:rPr>
            </w:pPr>
            <w:r>
              <w:rPr>
                <w:rFonts w:hint="eastAsia" w:ascii="宋体" w:hAnsi="宋体"/>
                <w:szCs w:val="21"/>
              </w:rPr>
              <w:t>用于施工部位</w:t>
            </w:r>
          </w:p>
        </w:tc>
        <w:tc>
          <w:tcPr>
            <w:tcW w:w="656"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pPr>
              <w:spacing w:line="440" w:lineRule="exact"/>
              <w:jc w:val="center"/>
              <w:rPr>
                <w:rFonts w:ascii="宋体" w:hAnsi="宋体"/>
                <w:szCs w:val="21"/>
              </w:rPr>
            </w:pPr>
          </w:p>
        </w:tc>
        <w:tc>
          <w:tcPr>
            <w:tcW w:w="1183" w:type="dxa"/>
            <w:vAlign w:val="center"/>
          </w:tcPr>
          <w:p>
            <w:pPr>
              <w:spacing w:line="440" w:lineRule="exact"/>
              <w:jc w:val="center"/>
              <w:rPr>
                <w:rFonts w:ascii="宋体" w:hAnsi="宋体"/>
                <w:szCs w:val="21"/>
              </w:rPr>
            </w:pPr>
          </w:p>
        </w:tc>
        <w:tc>
          <w:tcPr>
            <w:tcW w:w="908" w:type="dxa"/>
            <w:vAlign w:val="center"/>
          </w:tcPr>
          <w:p>
            <w:pPr>
              <w:spacing w:line="440" w:lineRule="exact"/>
              <w:jc w:val="center"/>
              <w:rPr>
                <w:rFonts w:ascii="宋体" w:hAnsi="宋体"/>
                <w:szCs w:val="21"/>
              </w:rPr>
            </w:pPr>
          </w:p>
        </w:tc>
        <w:tc>
          <w:tcPr>
            <w:tcW w:w="880" w:type="dxa"/>
            <w:vAlign w:val="center"/>
          </w:tcPr>
          <w:p>
            <w:pPr>
              <w:spacing w:line="440" w:lineRule="exact"/>
              <w:jc w:val="center"/>
              <w:rPr>
                <w:rFonts w:ascii="宋体" w:hAnsi="宋体"/>
                <w:szCs w:val="21"/>
              </w:rPr>
            </w:pPr>
          </w:p>
        </w:tc>
        <w:tc>
          <w:tcPr>
            <w:tcW w:w="802" w:type="dxa"/>
            <w:vAlign w:val="center"/>
          </w:tcPr>
          <w:p>
            <w:pPr>
              <w:spacing w:line="440" w:lineRule="exact"/>
              <w:jc w:val="center"/>
              <w:rPr>
                <w:rFonts w:ascii="宋体" w:hAnsi="宋体"/>
                <w:szCs w:val="21"/>
              </w:rPr>
            </w:pPr>
          </w:p>
        </w:tc>
        <w:tc>
          <w:tcPr>
            <w:tcW w:w="879" w:type="dxa"/>
            <w:vAlign w:val="center"/>
          </w:tcPr>
          <w:p>
            <w:pPr>
              <w:spacing w:line="440" w:lineRule="exact"/>
              <w:jc w:val="center"/>
              <w:rPr>
                <w:rFonts w:ascii="宋体" w:hAnsi="宋体"/>
                <w:szCs w:val="21"/>
              </w:rPr>
            </w:pPr>
          </w:p>
        </w:tc>
        <w:tc>
          <w:tcPr>
            <w:tcW w:w="903" w:type="dxa"/>
            <w:vAlign w:val="center"/>
          </w:tcPr>
          <w:p>
            <w:pPr>
              <w:spacing w:line="440" w:lineRule="exact"/>
              <w:jc w:val="center"/>
              <w:rPr>
                <w:rFonts w:ascii="宋体" w:hAnsi="宋体"/>
                <w:szCs w:val="21"/>
              </w:rPr>
            </w:pPr>
          </w:p>
        </w:tc>
        <w:tc>
          <w:tcPr>
            <w:tcW w:w="1043" w:type="dxa"/>
            <w:vAlign w:val="center"/>
          </w:tcPr>
          <w:p>
            <w:pPr>
              <w:spacing w:line="440" w:lineRule="exact"/>
              <w:jc w:val="center"/>
              <w:rPr>
                <w:rFonts w:ascii="宋体" w:hAnsi="宋体"/>
                <w:szCs w:val="21"/>
              </w:rPr>
            </w:pPr>
          </w:p>
        </w:tc>
        <w:tc>
          <w:tcPr>
            <w:tcW w:w="940" w:type="dxa"/>
            <w:vAlign w:val="center"/>
          </w:tcPr>
          <w:p>
            <w:pPr>
              <w:spacing w:line="440" w:lineRule="exact"/>
              <w:jc w:val="center"/>
              <w:rPr>
                <w:rFonts w:ascii="宋体" w:hAnsi="宋体"/>
                <w:szCs w:val="21"/>
              </w:rPr>
            </w:pPr>
          </w:p>
        </w:tc>
        <w:tc>
          <w:tcPr>
            <w:tcW w:w="65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Align w:val="center"/>
          </w:tcPr>
          <w:p>
            <w:pPr>
              <w:spacing w:line="440" w:lineRule="exact"/>
              <w:jc w:val="center"/>
              <w:rPr>
                <w:rFonts w:ascii="宋体" w:hAnsi="宋体"/>
                <w:szCs w:val="21"/>
              </w:rPr>
            </w:pPr>
          </w:p>
        </w:tc>
        <w:tc>
          <w:tcPr>
            <w:tcW w:w="1183" w:type="dxa"/>
            <w:vAlign w:val="center"/>
          </w:tcPr>
          <w:p>
            <w:pPr>
              <w:spacing w:line="440" w:lineRule="exact"/>
              <w:jc w:val="center"/>
              <w:rPr>
                <w:rFonts w:ascii="宋体" w:hAnsi="宋体"/>
                <w:szCs w:val="21"/>
              </w:rPr>
            </w:pPr>
          </w:p>
        </w:tc>
        <w:tc>
          <w:tcPr>
            <w:tcW w:w="908" w:type="dxa"/>
            <w:vAlign w:val="center"/>
          </w:tcPr>
          <w:p>
            <w:pPr>
              <w:spacing w:line="440" w:lineRule="exact"/>
              <w:jc w:val="center"/>
              <w:rPr>
                <w:rFonts w:ascii="宋体" w:hAnsi="宋体"/>
                <w:szCs w:val="21"/>
              </w:rPr>
            </w:pPr>
          </w:p>
        </w:tc>
        <w:tc>
          <w:tcPr>
            <w:tcW w:w="880" w:type="dxa"/>
            <w:vAlign w:val="center"/>
          </w:tcPr>
          <w:p>
            <w:pPr>
              <w:spacing w:line="440" w:lineRule="exact"/>
              <w:jc w:val="center"/>
              <w:rPr>
                <w:rFonts w:ascii="宋体" w:hAnsi="宋体"/>
                <w:szCs w:val="21"/>
              </w:rPr>
            </w:pPr>
          </w:p>
        </w:tc>
        <w:tc>
          <w:tcPr>
            <w:tcW w:w="802" w:type="dxa"/>
            <w:vAlign w:val="center"/>
          </w:tcPr>
          <w:p>
            <w:pPr>
              <w:spacing w:line="440" w:lineRule="exact"/>
              <w:jc w:val="center"/>
              <w:rPr>
                <w:rFonts w:ascii="宋体" w:hAnsi="宋体"/>
                <w:szCs w:val="21"/>
              </w:rPr>
            </w:pPr>
          </w:p>
        </w:tc>
        <w:tc>
          <w:tcPr>
            <w:tcW w:w="879" w:type="dxa"/>
            <w:vAlign w:val="center"/>
          </w:tcPr>
          <w:p>
            <w:pPr>
              <w:spacing w:line="440" w:lineRule="exact"/>
              <w:jc w:val="center"/>
              <w:rPr>
                <w:rFonts w:ascii="宋体" w:hAnsi="宋体"/>
                <w:szCs w:val="21"/>
              </w:rPr>
            </w:pPr>
          </w:p>
        </w:tc>
        <w:tc>
          <w:tcPr>
            <w:tcW w:w="903" w:type="dxa"/>
            <w:vAlign w:val="center"/>
          </w:tcPr>
          <w:p>
            <w:pPr>
              <w:spacing w:line="440" w:lineRule="exact"/>
              <w:jc w:val="center"/>
              <w:rPr>
                <w:rFonts w:ascii="宋体" w:hAnsi="宋体"/>
                <w:szCs w:val="21"/>
              </w:rPr>
            </w:pPr>
          </w:p>
        </w:tc>
        <w:tc>
          <w:tcPr>
            <w:tcW w:w="1043" w:type="dxa"/>
            <w:vAlign w:val="center"/>
          </w:tcPr>
          <w:p>
            <w:pPr>
              <w:spacing w:line="440" w:lineRule="exact"/>
              <w:jc w:val="center"/>
              <w:rPr>
                <w:rFonts w:ascii="宋体" w:hAnsi="宋体"/>
                <w:szCs w:val="21"/>
              </w:rPr>
            </w:pPr>
          </w:p>
        </w:tc>
        <w:tc>
          <w:tcPr>
            <w:tcW w:w="940" w:type="dxa"/>
            <w:vAlign w:val="center"/>
          </w:tcPr>
          <w:p>
            <w:pPr>
              <w:spacing w:line="440" w:lineRule="exact"/>
              <w:jc w:val="center"/>
              <w:rPr>
                <w:rFonts w:ascii="宋体" w:hAnsi="宋体"/>
                <w:szCs w:val="21"/>
              </w:rPr>
            </w:pPr>
          </w:p>
        </w:tc>
        <w:tc>
          <w:tcPr>
            <w:tcW w:w="65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bl>
    <w:p>
      <w:pPr>
        <w:spacing w:line="440" w:lineRule="exact"/>
        <w:rPr>
          <w:rFonts w:ascii="宋体" w:hAnsi="宋体"/>
          <w:sz w:val="20"/>
          <w:szCs w:val="20"/>
        </w:rPr>
      </w:pPr>
    </w:p>
    <w:p>
      <w:pPr>
        <w:spacing w:line="440" w:lineRule="exact"/>
        <w:rPr>
          <w:rFonts w:ascii="宋体" w:hAnsi="宋体"/>
          <w:sz w:val="20"/>
          <w:szCs w:val="20"/>
        </w:rPr>
      </w:pPr>
      <w:r>
        <w:rPr>
          <w:rFonts w:hint="eastAsia" w:ascii="宋体" w:hAnsi="宋体"/>
          <w:sz w:val="20"/>
          <w:szCs w:val="20"/>
        </w:rPr>
        <w:br w:type="page"/>
      </w:r>
    </w:p>
    <w:p>
      <w:pPr>
        <w:pStyle w:val="126"/>
        <w:rPr>
          <w:rFonts w:ascii="宋体" w:hAnsi="宋体" w:eastAsia="宋体"/>
        </w:rPr>
      </w:pPr>
      <w:bookmarkStart w:id="110" w:name="_Toc152042587"/>
      <w:bookmarkStart w:id="111" w:name="_Toc4957"/>
      <w:bookmarkStart w:id="112" w:name="_Toc179632818"/>
      <w:bookmarkStart w:id="113" w:name="_Toc144974866"/>
      <w:bookmarkStart w:id="114" w:name="_Toc152045798"/>
      <w:bookmarkStart w:id="115" w:name="_Toc246392156"/>
      <w:r>
        <w:rPr>
          <w:rFonts w:hint="eastAsia" w:ascii="宋体" w:hAnsi="宋体" w:eastAsia="宋体"/>
        </w:rPr>
        <w:t>附表二：拟配备本标段的试验和检测仪器设备表</w:t>
      </w:r>
      <w:bookmarkEnd w:id="110"/>
      <w:bookmarkEnd w:id="111"/>
      <w:bookmarkEnd w:id="112"/>
      <w:bookmarkEnd w:id="113"/>
      <w:bookmarkEnd w:id="114"/>
      <w:bookmarkEnd w:id="115"/>
    </w:p>
    <w:p>
      <w:pPr>
        <w:spacing w:line="440" w:lineRule="exact"/>
        <w:rPr>
          <w:rFonts w:ascii="宋体" w:hAnsi="宋体"/>
          <w:sz w:val="20"/>
          <w:szCs w:val="20"/>
        </w:rPr>
      </w:pP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307"/>
        <w:gridCol w:w="915"/>
        <w:gridCol w:w="739"/>
        <w:gridCol w:w="809"/>
        <w:gridCol w:w="888"/>
        <w:gridCol w:w="1458"/>
        <w:gridCol w:w="1111"/>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pPr>
              <w:spacing w:line="440" w:lineRule="exact"/>
              <w:rPr>
                <w:rFonts w:ascii="宋体" w:hAnsi="宋体"/>
                <w:szCs w:val="21"/>
              </w:rPr>
            </w:pPr>
            <w:r>
              <w:rPr>
                <w:rFonts w:hint="eastAsia" w:ascii="宋体" w:hAnsi="宋体"/>
                <w:szCs w:val="21"/>
              </w:rPr>
              <w:t>序号</w:t>
            </w:r>
          </w:p>
        </w:tc>
        <w:tc>
          <w:tcPr>
            <w:tcW w:w="1307" w:type="dxa"/>
            <w:vAlign w:val="center"/>
          </w:tcPr>
          <w:p>
            <w:pPr>
              <w:spacing w:line="440" w:lineRule="exact"/>
              <w:jc w:val="center"/>
              <w:rPr>
                <w:rFonts w:ascii="宋体" w:hAnsi="宋体"/>
                <w:szCs w:val="21"/>
              </w:rPr>
            </w:pPr>
            <w:r>
              <w:rPr>
                <w:rFonts w:hint="eastAsia" w:ascii="宋体" w:hAnsi="宋体"/>
                <w:szCs w:val="21"/>
              </w:rPr>
              <w:t>仪器设备名称</w:t>
            </w:r>
          </w:p>
        </w:tc>
        <w:tc>
          <w:tcPr>
            <w:tcW w:w="915" w:type="dxa"/>
            <w:vAlign w:val="center"/>
          </w:tcPr>
          <w:p>
            <w:pPr>
              <w:spacing w:line="440" w:lineRule="exact"/>
              <w:jc w:val="center"/>
              <w:rPr>
                <w:rFonts w:ascii="宋体" w:hAnsi="宋体"/>
                <w:szCs w:val="21"/>
              </w:rPr>
            </w:pPr>
            <w:r>
              <w:rPr>
                <w:rFonts w:hint="eastAsia" w:ascii="宋体" w:hAnsi="宋体"/>
                <w:szCs w:val="21"/>
              </w:rPr>
              <w:t>型号</w:t>
            </w:r>
          </w:p>
          <w:p>
            <w:pPr>
              <w:spacing w:line="440" w:lineRule="exact"/>
              <w:jc w:val="center"/>
              <w:rPr>
                <w:rFonts w:ascii="宋体" w:hAnsi="宋体"/>
                <w:szCs w:val="21"/>
              </w:rPr>
            </w:pPr>
            <w:r>
              <w:rPr>
                <w:rFonts w:hint="eastAsia" w:ascii="宋体" w:hAnsi="宋体"/>
                <w:szCs w:val="21"/>
              </w:rPr>
              <w:t>规格</w:t>
            </w:r>
          </w:p>
        </w:tc>
        <w:tc>
          <w:tcPr>
            <w:tcW w:w="739" w:type="dxa"/>
            <w:vAlign w:val="center"/>
          </w:tcPr>
          <w:p>
            <w:pPr>
              <w:spacing w:line="440" w:lineRule="exact"/>
              <w:jc w:val="center"/>
              <w:rPr>
                <w:rFonts w:ascii="宋体" w:hAnsi="宋体"/>
                <w:szCs w:val="21"/>
              </w:rPr>
            </w:pPr>
            <w:r>
              <w:rPr>
                <w:rFonts w:hint="eastAsia" w:ascii="宋体" w:hAnsi="宋体"/>
                <w:szCs w:val="21"/>
              </w:rPr>
              <w:t>数量</w:t>
            </w:r>
          </w:p>
        </w:tc>
        <w:tc>
          <w:tcPr>
            <w:tcW w:w="809" w:type="dxa"/>
            <w:vAlign w:val="center"/>
          </w:tcPr>
          <w:p>
            <w:pPr>
              <w:spacing w:line="440" w:lineRule="exact"/>
              <w:jc w:val="center"/>
              <w:rPr>
                <w:rFonts w:ascii="宋体" w:hAnsi="宋体"/>
                <w:szCs w:val="21"/>
              </w:rPr>
            </w:pPr>
            <w:r>
              <w:rPr>
                <w:rFonts w:hint="eastAsia" w:ascii="宋体" w:hAnsi="宋体"/>
                <w:szCs w:val="21"/>
              </w:rPr>
              <w:t>国别</w:t>
            </w:r>
          </w:p>
          <w:p>
            <w:pPr>
              <w:spacing w:line="440" w:lineRule="exact"/>
              <w:jc w:val="center"/>
              <w:rPr>
                <w:rFonts w:ascii="宋体" w:hAnsi="宋体"/>
                <w:szCs w:val="21"/>
              </w:rPr>
            </w:pPr>
            <w:r>
              <w:rPr>
                <w:rFonts w:hint="eastAsia" w:ascii="宋体" w:hAnsi="宋体"/>
                <w:szCs w:val="21"/>
              </w:rPr>
              <w:t>产地</w:t>
            </w:r>
          </w:p>
        </w:tc>
        <w:tc>
          <w:tcPr>
            <w:tcW w:w="888" w:type="dxa"/>
            <w:vAlign w:val="center"/>
          </w:tcPr>
          <w:p>
            <w:pPr>
              <w:spacing w:line="440" w:lineRule="exact"/>
              <w:jc w:val="center"/>
              <w:rPr>
                <w:rFonts w:ascii="宋体" w:hAnsi="宋体"/>
                <w:szCs w:val="21"/>
              </w:rPr>
            </w:pPr>
            <w:r>
              <w:rPr>
                <w:rFonts w:hint="eastAsia" w:ascii="宋体" w:hAnsi="宋体"/>
                <w:szCs w:val="21"/>
              </w:rPr>
              <w:t>制造</w:t>
            </w:r>
          </w:p>
          <w:p>
            <w:pPr>
              <w:spacing w:line="440" w:lineRule="exact"/>
              <w:jc w:val="center"/>
              <w:rPr>
                <w:rFonts w:ascii="宋体" w:hAnsi="宋体"/>
                <w:szCs w:val="21"/>
              </w:rPr>
            </w:pPr>
            <w:r>
              <w:rPr>
                <w:rFonts w:hint="eastAsia" w:ascii="宋体" w:hAnsi="宋体"/>
                <w:szCs w:val="21"/>
              </w:rPr>
              <w:t>年份</w:t>
            </w:r>
          </w:p>
        </w:tc>
        <w:tc>
          <w:tcPr>
            <w:tcW w:w="1458" w:type="dxa"/>
            <w:vAlign w:val="center"/>
          </w:tcPr>
          <w:p>
            <w:pPr>
              <w:spacing w:line="440" w:lineRule="exact"/>
              <w:jc w:val="center"/>
              <w:rPr>
                <w:rFonts w:ascii="宋体" w:hAnsi="宋体"/>
                <w:szCs w:val="21"/>
              </w:rPr>
            </w:pPr>
            <w:r>
              <w:rPr>
                <w:rFonts w:hint="eastAsia" w:ascii="宋体" w:hAnsi="宋体"/>
                <w:szCs w:val="21"/>
              </w:rPr>
              <w:t>已使用台时数</w:t>
            </w:r>
          </w:p>
        </w:tc>
        <w:tc>
          <w:tcPr>
            <w:tcW w:w="1111" w:type="dxa"/>
            <w:vAlign w:val="center"/>
          </w:tcPr>
          <w:p>
            <w:pPr>
              <w:spacing w:line="440" w:lineRule="exact"/>
              <w:jc w:val="center"/>
              <w:rPr>
                <w:rFonts w:ascii="宋体" w:hAnsi="宋体"/>
                <w:szCs w:val="21"/>
              </w:rPr>
            </w:pPr>
            <w:r>
              <w:rPr>
                <w:rFonts w:hint="eastAsia" w:ascii="宋体" w:hAnsi="宋体"/>
                <w:szCs w:val="21"/>
              </w:rPr>
              <w:t>用途</w:t>
            </w:r>
          </w:p>
        </w:tc>
        <w:tc>
          <w:tcPr>
            <w:tcW w:w="827"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pPr>
              <w:spacing w:line="440" w:lineRule="exact"/>
              <w:jc w:val="center"/>
              <w:rPr>
                <w:rFonts w:ascii="宋体" w:hAnsi="宋体"/>
                <w:szCs w:val="21"/>
              </w:rPr>
            </w:pPr>
          </w:p>
        </w:tc>
        <w:tc>
          <w:tcPr>
            <w:tcW w:w="1307" w:type="dxa"/>
            <w:vAlign w:val="center"/>
          </w:tcPr>
          <w:p>
            <w:pPr>
              <w:spacing w:line="440" w:lineRule="exact"/>
              <w:jc w:val="center"/>
              <w:rPr>
                <w:rFonts w:ascii="宋体" w:hAnsi="宋体"/>
                <w:szCs w:val="21"/>
              </w:rPr>
            </w:pPr>
          </w:p>
        </w:tc>
        <w:tc>
          <w:tcPr>
            <w:tcW w:w="915" w:type="dxa"/>
            <w:vAlign w:val="center"/>
          </w:tcPr>
          <w:p>
            <w:pPr>
              <w:spacing w:line="440" w:lineRule="exact"/>
              <w:jc w:val="center"/>
              <w:rPr>
                <w:rFonts w:ascii="宋体" w:hAnsi="宋体"/>
                <w:szCs w:val="21"/>
              </w:rPr>
            </w:pPr>
          </w:p>
        </w:tc>
        <w:tc>
          <w:tcPr>
            <w:tcW w:w="739" w:type="dxa"/>
            <w:vAlign w:val="center"/>
          </w:tcPr>
          <w:p>
            <w:pPr>
              <w:spacing w:line="440" w:lineRule="exact"/>
              <w:jc w:val="center"/>
              <w:rPr>
                <w:rFonts w:ascii="宋体" w:hAnsi="宋体"/>
                <w:szCs w:val="21"/>
              </w:rPr>
            </w:pPr>
          </w:p>
        </w:tc>
        <w:tc>
          <w:tcPr>
            <w:tcW w:w="809" w:type="dxa"/>
            <w:vAlign w:val="center"/>
          </w:tcPr>
          <w:p>
            <w:pPr>
              <w:spacing w:line="440" w:lineRule="exact"/>
              <w:jc w:val="center"/>
              <w:rPr>
                <w:rFonts w:ascii="宋体" w:hAnsi="宋体"/>
                <w:szCs w:val="21"/>
              </w:rPr>
            </w:pPr>
          </w:p>
        </w:tc>
        <w:tc>
          <w:tcPr>
            <w:tcW w:w="888" w:type="dxa"/>
            <w:vAlign w:val="center"/>
          </w:tcPr>
          <w:p>
            <w:pPr>
              <w:spacing w:line="440" w:lineRule="exact"/>
              <w:jc w:val="center"/>
              <w:rPr>
                <w:rFonts w:ascii="宋体" w:hAnsi="宋体"/>
                <w:szCs w:val="21"/>
              </w:rPr>
            </w:pPr>
          </w:p>
        </w:tc>
        <w:tc>
          <w:tcPr>
            <w:tcW w:w="1458" w:type="dxa"/>
            <w:vAlign w:val="center"/>
          </w:tcPr>
          <w:p>
            <w:pPr>
              <w:spacing w:line="440" w:lineRule="exact"/>
              <w:jc w:val="center"/>
              <w:rPr>
                <w:rFonts w:ascii="宋体" w:hAnsi="宋体"/>
                <w:szCs w:val="21"/>
              </w:rPr>
            </w:pPr>
          </w:p>
        </w:tc>
        <w:tc>
          <w:tcPr>
            <w:tcW w:w="1111" w:type="dxa"/>
            <w:vAlign w:val="center"/>
          </w:tcPr>
          <w:p>
            <w:pPr>
              <w:spacing w:line="440" w:lineRule="exact"/>
              <w:jc w:val="center"/>
              <w:rPr>
                <w:rFonts w:ascii="宋体" w:hAnsi="宋体"/>
                <w:szCs w:val="21"/>
              </w:rPr>
            </w:pPr>
          </w:p>
        </w:tc>
        <w:tc>
          <w:tcPr>
            <w:tcW w:w="827"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pPr>
              <w:spacing w:line="440" w:lineRule="exact"/>
              <w:jc w:val="center"/>
              <w:rPr>
                <w:rFonts w:ascii="宋体" w:hAnsi="宋体"/>
                <w:szCs w:val="21"/>
              </w:rPr>
            </w:pPr>
          </w:p>
        </w:tc>
        <w:tc>
          <w:tcPr>
            <w:tcW w:w="1307" w:type="dxa"/>
            <w:vAlign w:val="center"/>
          </w:tcPr>
          <w:p>
            <w:pPr>
              <w:spacing w:line="440" w:lineRule="exact"/>
              <w:jc w:val="center"/>
              <w:rPr>
                <w:rFonts w:ascii="宋体" w:hAnsi="宋体"/>
                <w:szCs w:val="21"/>
              </w:rPr>
            </w:pPr>
          </w:p>
        </w:tc>
        <w:tc>
          <w:tcPr>
            <w:tcW w:w="915" w:type="dxa"/>
            <w:vAlign w:val="center"/>
          </w:tcPr>
          <w:p>
            <w:pPr>
              <w:spacing w:line="440" w:lineRule="exact"/>
              <w:jc w:val="center"/>
              <w:rPr>
                <w:rFonts w:ascii="宋体" w:hAnsi="宋体"/>
                <w:szCs w:val="21"/>
              </w:rPr>
            </w:pPr>
          </w:p>
        </w:tc>
        <w:tc>
          <w:tcPr>
            <w:tcW w:w="739" w:type="dxa"/>
            <w:vAlign w:val="center"/>
          </w:tcPr>
          <w:p>
            <w:pPr>
              <w:spacing w:line="440" w:lineRule="exact"/>
              <w:jc w:val="center"/>
              <w:rPr>
                <w:rFonts w:ascii="宋体" w:hAnsi="宋体"/>
                <w:szCs w:val="21"/>
              </w:rPr>
            </w:pPr>
          </w:p>
        </w:tc>
        <w:tc>
          <w:tcPr>
            <w:tcW w:w="809" w:type="dxa"/>
            <w:vAlign w:val="center"/>
          </w:tcPr>
          <w:p>
            <w:pPr>
              <w:spacing w:line="440" w:lineRule="exact"/>
              <w:jc w:val="center"/>
              <w:rPr>
                <w:rFonts w:ascii="宋体" w:hAnsi="宋体"/>
                <w:szCs w:val="21"/>
              </w:rPr>
            </w:pPr>
          </w:p>
        </w:tc>
        <w:tc>
          <w:tcPr>
            <w:tcW w:w="888" w:type="dxa"/>
            <w:vAlign w:val="center"/>
          </w:tcPr>
          <w:p>
            <w:pPr>
              <w:spacing w:line="440" w:lineRule="exact"/>
              <w:jc w:val="center"/>
              <w:rPr>
                <w:rFonts w:ascii="宋体" w:hAnsi="宋体"/>
                <w:szCs w:val="21"/>
              </w:rPr>
            </w:pPr>
          </w:p>
        </w:tc>
        <w:tc>
          <w:tcPr>
            <w:tcW w:w="1458" w:type="dxa"/>
            <w:vAlign w:val="center"/>
          </w:tcPr>
          <w:p>
            <w:pPr>
              <w:spacing w:line="440" w:lineRule="exact"/>
              <w:jc w:val="center"/>
              <w:rPr>
                <w:rFonts w:ascii="宋体" w:hAnsi="宋体"/>
                <w:szCs w:val="21"/>
              </w:rPr>
            </w:pPr>
          </w:p>
        </w:tc>
        <w:tc>
          <w:tcPr>
            <w:tcW w:w="1111" w:type="dxa"/>
            <w:vAlign w:val="center"/>
          </w:tcPr>
          <w:p>
            <w:pPr>
              <w:spacing w:line="440" w:lineRule="exact"/>
              <w:jc w:val="center"/>
              <w:rPr>
                <w:rFonts w:ascii="宋体" w:hAnsi="宋体"/>
                <w:szCs w:val="21"/>
              </w:rPr>
            </w:pPr>
          </w:p>
        </w:tc>
        <w:tc>
          <w:tcPr>
            <w:tcW w:w="827"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bl>
    <w:p>
      <w:pPr>
        <w:spacing w:line="440" w:lineRule="exact"/>
        <w:rPr>
          <w:rFonts w:ascii="宋体" w:hAnsi="宋体"/>
          <w:sz w:val="20"/>
          <w:szCs w:val="20"/>
        </w:rPr>
      </w:pPr>
      <w:r>
        <w:rPr>
          <w:rFonts w:hint="eastAsia" w:ascii="宋体" w:hAnsi="宋体"/>
          <w:sz w:val="20"/>
          <w:szCs w:val="20"/>
        </w:rPr>
        <w:br w:type="page"/>
      </w:r>
    </w:p>
    <w:p>
      <w:pPr>
        <w:pStyle w:val="126"/>
        <w:rPr>
          <w:rFonts w:ascii="宋体" w:hAnsi="宋体" w:eastAsia="宋体"/>
        </w:rPr>
      </w:pPr>
      <w:bookmarkStart w:id="116" w:name="_Toc179632819"/>
      <w:bookmarkStart w:id="117" w:name="_Toc152042588"/>
      <w:bookmarkStart w:id="118" w:name="_Toc8928"/>
      <w:bookmarkStart w:id="119" w:name="_Toc152045799"/>
      <w:bookmarkStart w:id="120" w:name="_Toc144974867"/>
      <w:bookmarkStart w:id="121" w:name="_Toc246392157"/>
      <w:r>
        <w:rPr>
          <w:rFonts w:hint="eastAsia" w:ascii="宋体" w:hAnsi="宋体" w:eastAsia="宋体"/>
        </w:rPr>
        <w:t>附表三：劳动力计划表</w:t>
      </w:r>
      <w:bookmarkEnd w:id="116"/>
      <w:bookmarkEnd w:id="117"/>
      <w:bookmarkEnd w:id="118"/>
      <w:bookmarkEnd w:id="119"/>
      <w:bookmarkEnd w:id="120"/>
      <w:bookmarkEnd w:id="121"/>
    </w:p>
    <w:p>
      <w:pPr>
        <w:spacing w:line="440" w:lineRule="exact"/>
        <w:ind w:right="200"/>
        <w:jc w:val="right"/>
        <w:rPr>
          <w:rFonts w:ascii="宋体" w:hAnsi="宋体"/>
          <w:szCs w:val="21"/>
        </w:rPr>
      </w:pPr>
      <w:r>
        <w:rPr>
          <w:rFonts w:hint="eastAsia" w:ascii="宋体" w:hAnsi="宋体"/>
          <w:szCs w:val="21"/>
        </w:rPr>
        <w:t>单位：人</w:t>
      </w: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1250"/>
        <w:gridCol w:w="995"/>
        <w:gridCol w:w="1034"/>
        <w:gridCol w:w="1092"/>
        <w:gridCol w:w="1140"/>
        <w:gridCol w:w="1188"/>
        <w:gridCol w:w="1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r>
              <w:rPr>
                <w:rFonts w:hint="eastAsia" w:ascii="宋体" w:hAnsi="宋体"/>
                <w:szCs w:val="21"/>
              </w:rPr>
              <w:t>工种</w:t>
            </w:r>
          </w:p>
        </w:tc>
        <w:tc>
          <w:tcPr>
            <w:tcW w:w="7803" w:type="dxa"/>
            <w:gridSpan w:val="7"/>
            <w:vAlign w:val="center"/>
          </w:tcPr>
          <w:p>
            <w:pPr>
              <w:spacing w:line="440" w:lineRule="exact"/>
              <w:jc w:val="center"/>
              <w:rPr>
                <w:rFonts w:ascii="宋体" w:hAnsi="宋体"/>
                <w:szCs w:val="21"/>
              </w:rPr>
            </w:pPr>
            <w:r>
              <w:rPr>
                <w:rFonts w:hint="eastAsia" w:ascii="宋体" w:hAnsi="宋体"/>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p>
        </w:tc>
        <w:tc>
          <w:tcPr>
            <w:tcW w:w="1250" w:type="dxa"/>
            <w:vAlign w:val="center"/>
          </w:tcPr>
          <w:p>
            <w:pPr>
              <w:spacing w:line="440" w:lineRule="exact"/>
              <w:jc w:val="center"/>
              <w:rPr>
                <w:rFonts w:ascii="宋体" w:hAnsi="宋体"/>
                <w:szCs w:val="21"/>
              </w:rPr>
            </w:pPr>
          </w:p>
        </w:tc>
        <w:tc>
          <w:tcPr>
            <w:tcW w:w="995" w:type="dxa"/>
            <w:vAlign w:val="center"/>
          </w:tcPr>
          <w:p>
            <w:pPr>
              <w:spacing w:line="440" w:lineRule="exact"/>
              <w:jc w:val="center"/>
              <w:rPr>
                <w:rFonts w:ascii="宋体" w:hAnsi="宋体"/>
                <w:szCs w:val="21"/>
              </w:rPr>
            </w:pPr>
          </w:p>
        </w:tc>
        <w:tc>
          <w:tcPr>
            <w:tcW w:w="1034" w:type="dxa"/>
            <w:vAlign w:val="center"/>
          </w:tcPr>
          <w:p>
            <w:pPr>
              <w:spacing w:line="440" w:lineRule="exact"/>
              <w:jc w:val="center"/>
              <w:rPr>
                <w:rFonts w:ascii="宋体" w:hAnsi="宋体"/>
                <w:szCs w:val="21"/>
              </w:rPr>
            </w:pPr>
          </w:p>
        </w:tc>
        <w:tc>
          <w:tcPr>
            <w:tcW w:w="1092" w:type="dxa"/>
            <w:vAlign w:val="center"/>
          </w:tcPr>
          <w:p>
            <w:pPr>
              <w:spacing w:line="440" w:lineRule="exact"/>
              <w:jc w:val="center"/>
              <w:rPr>
                <w:rFonts w:ascii="宋体" w:hAnsi="宋体"/>
                <w:szCs w:val="21"/>
              </w:rPr>
            </w:pPr>
          </w:p>
        </w:tc>
        <w:tc>
          <w:tcPr>
            <w:tcW w:w="1140" w:type="dxa"/>
            <w:vAlign w:val="center"/>
          </w:tcPr>
          <w:p>
            <w:pPr>
              <w:spacing w:line="440" w:lineRule="exact"/>
              <w:jc w:val="center"/>
              <w:rPr>
                <w:rFonts w:ascii="宋体" w:hAnsi="宋体"/>
                <w:szCs w:val="21"/>
              </w:rPr>
            </w:pPr>
          </w:p>
        </w:tc>
        <w:tc>
          <w:tcPr>
            <w:tcW w:w="1188" w:type="dxa"/>
            <w:vAlign w:val="center"/>
          </w:tcPr>
          <w:p>
            <w:pPr>
              <w:spacing w:line="440" w:lineRule="exact"/>
              <w:jc w:val="center"/>
              <w:rPr>
                <w:rFonts w:ascii="宋体" w:hAnsi="宋体"/>
                <w:szCs w:val="21"/>
              </w:rPr>
            </w:pPr>
          </w:p>
        </w:tc>
        <w:tc>
          <w:tcPr>
            <w:tcW w:w="110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p>
        </w:tc>
        <w:tc>
          <w:tcPr>
            <w:tcW w:w="1250" w:type="dxa"/>
            <w:vAlign w:val="center"/>
          </w:tcPr>
          <w:p>
            <w:pPr>
              <w:spacing w:line="440" w:lineRule="exact"/>
              <w:jc w:val="center"/>
              <w:rPr>
                <w:rFonts w:ascii="宋体" w:hAnsi="宋体"/>
                <w:szCs w:val="21"/>
              </w:rPr>
            </w:pPr>
          </w:p>
        </w:tc>
        <w:tc>
          <w:tcPr>
            <w:tcW w:w="995" w:type="dxa"/>
            <w:vAlign w:val="center"/>
          </w:tcPr>
          <w:p>
            <w:pPr>
              <w:spacing w:line="440" w:lineRule="exact"/>
              <w:jc w:val="center"/>
              <w:rPr>
                <w:rFonts w:ascii="宋体" w:hAnsi="宋体"/>
                <w:szCs w:val="21"/>
              </w:rPr>
            </w:pPr>
          </w:p>
        </w:tc>
        <w:tc>
          <w:tcPr>
            <w:tcW w:w="1034" w:type="dxa"/>
            <w:vAlign w:val="center"/>
          </w:tcPr>
          <w:p>
            <w:pPr>
              <w:spacing w:line="440" w:lineRule="exact"/>
              <w:jc w:val="center"/>
              <w:rPr>
                <w:rFonts w:ascii="宋体" w:hAnsi="宋体"/>
                <w:szCs w:val="21"/>
              </w:rPr>
            </w:pPr>
          </w:p>
        </w:tc>
        <w:tc>
          <w:tcPr>
            <w:tcW w:w="1092" w:type="dxa"/>
            <w:vAlign w:val="center"/>
          </w:tcPr>
          <w:p>
            <w:pPr>
              <w:spacing w:line="440" w:lineRule="exact"/>
              <w:jc w:val="center"/>
              <w:rPr>
                <w:rFonts w:ascii="宋体" w:hAnsi="宋体"/>
                <w:szCs w:val="21"/>
              </w:rPr>
            </w:pPr>
          </w:p>
        </w:tc>
        <w:tc>
          <w:tcPr>
            <w:tcW w:w="1140" w:type="dxa"/>
            <w:vAlign w:val="center"/>
          </w:tcPr>
          <w:p>
            <w:pPr>
              <w:spacing w:line="440" w:lineRule="exact"/>
              <w:jc w:val="center"/>
              <w:rPr>
                <w:rFonts w:ascii="宋体" w:hAnsi="宋体"/>
                <w:szCs w:val="21"/>
              </w:rPr>
            </w:pPr>
          </w:p>
        </w:tc>
        <w:tc>
          <w:tcPr>
            <w:tcW w:w="1188" w:type="dxa"/>
            <w:vAlign w:val="center"/>
          </w:tcPr>
          <w:p>
            <w:pPr>
              <w:spacing w:line="440" w:lineRule="exact"/>
              <w:jc w:val="center"/>
              <w:rPr>
                <w:rFonts w:ascii="宋体" w:hAnsi="宋体"/>
                <w:szCs w:val="21"/>
              </w:rPr>
            </w:pPr>
          </w:p>
        </w:tc>
        <w:tc>
          <w:tcPr>
            <w:tcW w:w="110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bl>
    <w:p>
      <w:pPr>
        <w:spacing w:line="440" w:lineRule="exact"/>
        <w:rPr>
          <w:rFonts w:ascii="宋体" w:hAnsi="宋体"/>
          <w:sz w:val="20"/>
          <w:szCs w:val="20"/>
        </w:rPr>
      </w:pPr>
    </w:p>
    <w:p>
      <w:pPr>
        <w:spacing w:line="440" w:lineRule="exact"/>
        <w:rPr>
          <w:rFonts w:ascii="宋体" w:hAnsi="宋体"/>
          <w:sz w:val="20"/>
          <w:szCs w:val="20"/>
        </w:rPr>
      </w:pPr>
    </w:p>
    <w:p>
      <w:pPr>
        <w:topLinePunct/>
        <w:spacing w:line="440" w:lineRule="exact"/>
        <w:jc w:val="center"/>
        <w:rPr>
          <w:rFonts w:ascii="宋体" w:hAnsi="宋体"/>
        </w:rPr>
      </w:pPr>
    </w:p>
    <w:p>
      <w:pPr>
        <w:pStyle w:val="126"/>
        <w:rPr>
          <w:rFonts w:ascii="宋体" w:hAnsi="宋体" w:eastAsia="宋体"/>
          <w:sz w:val="22"/>
          <w:szCs w:val="22"/>
        </w:rPr>
      </w:pPr>
      <w:bookmarkStart w:id="122" w:name="_Toc246392158"/>
      <w:bookmarkStart w:id="123" w:name="_Toc152045800"/>
      <w:bookmarkStart w:id="124" w:name="_Toc144974868"/>
      <w:bookmarkStart w:id="125" w:name="_Toc179632820"/>
      <w:bookmarkStart w:id="126" w:name="_Toc3750"/>
      <w:bookmarkStart w:id="127" w:name="_Toc152042589"/>
      <w:r>
        <w:rPr>
          <w:rFonts w:hint="eastAsia" w:ascii="宋体" w:hAnsi="宋体" w:eastAsia="宋体"/>
          <w:sz w:val="22"/>
          <w:szCs w:val="22"/>
        </w:rPr>
        <w:t>附表四：计划开、竣工日期和施工进度网络图</w:t>
      </w:r>
      <w:bookmarkEnd w:id="122"/>
      <w:bookmarkEnd w:id="123"/>
      <w:bookmarkEnd w:id="124"/>
      <w:bookmarkEnd w:id="125"/>
      <w:bookmarkEnd w:id="126"/>
      <w:bookmarkEnd w:id="127"/>
    </w:p>
    <w:p>
      <w:pPr>
        <w:spacing w:line="440" w:lineRule="exact"/>
        <w:rPr>
          <w:rFonts w:ascii="宋体" w:hAnsi="宋体"/>
          <w:sz w:val="22"/>
        </w:rPr>
      </w:pPr>
    </w:p>
    <w:p>
      <w:pPr>
        <w:spacing w:line="440" w:lineRule="exact"/>
        <w:ind w:firstLine="440" w:firstLineChars="200"/>
        <w:rPr>
          <w:rFonts w:ascii="宋体" w:hAnsi="宋体"/>
          <w:sz w:val="22"/>
        </w:rPr>
      </w:pPr>
      <w:r>
        <w:rPr>
          <w:rFonts w:hint="eastAsia" w:ascii="宋体" w:hAnsi="宋体"/>
          <w:sz w:val="22"/>
        </w:rPr>
        <w:t>1. 投标人应递交施工进度网络图或施工进度表，说明按招标文件要求的计划工期进行施工的各个关键日期。</w:t>
      </w:r>
    </w:p>
    <w:p>
      <w:pPr>
        <w:spacing w:line="440" w:lineRule="exact"/>
        <w:ind w:firstLine="440" w:firstLineChars="200"/>
        <w:rPr>
          <w:rFonts w:ascii="宋体" w:hAnsi="宋体"/>
          <w:sz w:val="22"/>
        </w:rPr>
      </w:pPr>
      <w:r>
        <w:rPr>
          <w:rFonts w:hint="eastAsia" w:ascii="宋体" w:hAnsi="宋体"/>
          <w:sz w:val="22"/>
        </w:rPr>
        <w:t>2. 施工进度表可采用网络图（或横道图）表示。</w:t>
      </w:r>
    </w:p>
    <w:p>
      <w:pPr>
        <w:spacing w:line="440" w:lineRule="exact"/>
        <w:rPr>
          <w:rFonts w:ascii="宋体" w:hAnsi="宋体"/>
          <w:sz w:val="22"/>
        </w:rPr>
      </w:pPr>
    </w:p>
    <w:p>
      <w:pPr>
        <w:spacing w:line="440" w:lineRule="exact"/>
        <w:rPr>
          <w:rFonts w:ascii="宋体" w:hAnsi="宋体"/>
          <w:sz w:val="22"/>
        </w:rPr>
      </w:pPr>
    </w:p>
    <w:p>
      <w:pPr>
        <w:spacing w:line="440" w:lineRule="exact"/>
        <w:rPr>
          <w:rFonts w:ascii="宋体" w:hAnsi="宋体"/>
          <w:sz w:val="22"/>
        </w:rPr>
      </w:pPr>
      <w:bookmarkStart w:id="128" w:name="_Toc179632821"/>
      <w:bookmarkStart w:id="129" w:name="_Toc152042590"/>
      <w:bookmarkStart w:id="130" w:name="_Toc246392159"/>
      <w:bookmarkStart w:id="131" w:name="_Toc144974869"/>
      <w:bookmarkStart w:id="132" w:name="_Toc152045801"/>
      <w:r>
        <w:rPr>
          <w:rFonts w:hint="eastAsia" w:ascii="宋体" w:hAnsi="宋体"/>
          <w:sz w:val="22"/>
        </w:rPr>
        <w:t>附表五：施工总平面图</w:t>
      </w:r>
      <w:bookmarkEnd w:id="128"/>
      <w:bookmarkEnd w:id="129"/>
      <w:bookmarkEnd w:id="130"/>
      <w:bookmarkEnd w:id="131"/>
      <w:bookmarkEnd w:id="132"/>
    </w:p>
    <w:p>
      <w:pPr>
        <w:spacing w:line="440" w:lineRule="exact"/>
        <w:rPr>
          <w:rFonts w:ascii="宋体" w:hAnsi="宋体"/>
          <w:sz w:val="22"/>
        </w:rPr>
      </w:pPr>
      <w:r>
        <w:rPr>
          <w:rFonts w:hint="eastAsia" w:ascii="宋体" w:hAnsi="宋体"/>
          <w:sz w:val="22"/>
        </w:rPr>
        <w:tab/>
      </w:r>
    </w:p>
    <w:p>
      <w:pPr>
        <w:spacing w:line="440" w:lineRule="exact"/>
        <w:ind w:firstLine="440" w:firstLineChars="200"/>
        <w:rPr>
          <w:rFonts w:ascii="宋体" w:hAnsi="宋体"/>
          <w:sz w:val="22"/>
        </w:rPr>
      </w:pPr>
      <w:r>
        <w:rPr>
          <w:rFonts w:hint="eastAsia" w:ascii="宋体" w:hAnsi="宋体"/>
          <w:sz w:val="22"/>
        </w:rPr>
        <w:t>投标人应递交一份施工总平面图，绘出现场临时设施布置图表并附文字说明，说明临时设施、加工车间、现场办公、设备及仓储、供电、供水、卫生、生活、道路、消防等设施的情况和布置。</w:t>
      </w:r>
    </w:p>
    <w:p>
      <w:pPr>
        <w:widowControl/>
        <w:jc w:val="left"/>
        <w:rPr>
          <w:rFonts w:ascii="宋体" w:hAnsi="宋体" w:cs="宋体"/>
          <w:b/>
          <w:sz w:val="32"/>
          <w:szCs w:val="32"/>
        </w:rPr>
      </w:pPr>
      <w:r>
        <w:rPr>
          <w:rFonts w:ascii="宋体" w:hAnsi="宋体" w:cs="宋体"/>
          <w:b/>
          <w:sz w:val="32"/>
          <w:szCs w:val="32"/>
        </w:rPr>
        <w:br w:type="page"/>
      </w: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六、项目管理机构</w:t>
      </w:r>
    </w:p>
    <w:p>
      <w:pPr>
        <w:pStyle w:val="126"/>
        <w:rPr>
          <w:rFonts w:ascii="宋体" w:hAnsi="宋体" w:eastAsia="宋体"/>
          <w:szCs w:val="23"/>
        </w:rPr>
      </w:pPr>
      <w:bookmarkStart w:id="133" w:name="_Toc152045804"/>
      <w:bookmarkStart w:id="134" w:name="_Toc152042593"/>
      <w:bookmarkStart w:id="135" w:name="_Toc144974872"/>
      <w:bookmarkStart w:id="136" w:name="_Toc246392161"/>
      <w:bookmarkStart w:id="137" w:name="_Toc179632824"/>
      <w:bookmarkStart w:id="138" w:name="_Toc29304"/>
      <w:r>
        <w:rPr>
          <w:rFonts w:hint="eastAsia" w:ascii="宋体" w:hAnsi="宋体" w:eastAsia="宋体"/>
          <w:szCs w:val="23"/>
        </w:rPr>
        <w:t>（一）项目管理机构组成表</w:t>
      </w:r>
      <w:bookmarkEnd w:id="133"/>
      <w:bookmarkEnd w:id="134"/>
      <w:bookmarkEnd w:id="135"/>
      <w:bookmarkEnd w:id="136"/>
      <w:bookmarkEnd w:id="137"/>
      <w:bookmarkEnd w:id="138"/>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864"/>
        <w:gridCol w:w="862"/>
        <w:gridCol w:w="1296"/>
        <w:gridCol w:w="863"/>
        <w:gridCol w:w="865"/>
        <w:gridCol w:w="863"/>
        <w:gridCol w:w="1661"/>
        <w:gridCol w:w="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Merge w:val="restart"/>
            <w:vAlign w:val="center"/>
          </w:tcPr>
          <w:p>
            <w:pPr>
              <w:spacing w:line="440" w:lineRule="exact"/>
              <w:jc w:val="center"/>
              <w:rPr>
                <w:rFonts w:ascii="宋体" w:hAnsi="宋体"/>
                <w:szCs w:val="21"/>
              </w:rPr>
            </w:pPr>
            <w:r>
              <w:rPr>
                <w:rFonts w:hint="eastAsia" w:ascii="宋体" w:hAnsi="宋体"/>
                <w:szCs w:val="21"/>
              </w:rPr>
              <w:t>职务</w:t>
            </w:r>
          </w:p>
        </w:tc>
        <w:tc>
          <w:tcPr>
            <w:tcW w:w="864" w:type="dxa"/>
            <w:vMerge w:val="restart"/>
            <w:vAlign w:val="center"/>
          </w:tcPr>
          <w:p>
            <w:pPr>
              <w:spacing w:line="440" w:lineRule="exact"/>
              <w:jc w:val="center"/>
              <w:rPr>
                <w:rFonts w:ascii="宋体" w:hAnsi="宋体"/>
                <w:szCs w:val="21"/>
              </w:rPr>
            </w:pPr>
            <w:r>
              <w:rPr>
                <w:rFonts w:hint="eastAsia" w:ascii="宋体" w:hAnsi="宋体"/>
                <w:szCs w:val="21"/>
              </w:rPr>
              <w:t>姓名</w:t>
            </w:r>
          </w:p>
        </w:tc>
        <w:tc>
          <w:tcPr>
            <w:tcW w:w="862" w:type="dxa"/>
            <w:vMerge w:val="restart"/>
            <w:vAlign w:val="center"/>
          </w:tcPr>
          <w:p>
            <w:pPr>
              <w:spacing w:line="440" w:lineRule="exact"/>
              <w:jc w:val="center"/>
              <w:rPr>
                <w:rFonts w:ascii="宋体" w:hAnsi="宋体"/>
                <w:szCs w:val="21"/>
              </w:rPr>
            </w:pPr>
            <w:r>
              <w:rPr>
                <w:rFonts w:hint="eastAsia" w:ascii="宋体" w:hAnsi="宋体"/>
                <w:szCs w:val="21"/>
              </w:rPr>
              <w:t>职称</w:t>
            </w:r>
          </w:p>
        </w:tc>
        <w:tc>
          <w:tcPr>
            <w:tcW w:w="5548" w:type="dxa"/>
            <w:gridSpan w:val="5"/>
            <w:vAlign w:val="center"/>
          </w:tcPr>
          <w:p>
            <w:pPr>
              <w:spacing w:line="440" w:lineRule="exact"/>
              <w:jc w:val="center"/>
              <w:rPr>
                <w:rFonts w:ascii="宋体" w:hAnsi="宋体"/>
                <w:szCs w:val="21"/>
              </w:rPr>
            </w:pPr>
            <w:r>
              <w:rPr>
                <w:rFonts w:hint="eastAsia" w:ascii="宋体" w:hAnsi="宋体"/>
                <w:szCs w:val="21"/>
              </w:rPr>
              <w:t>执业或职业资格证明</w:t>
            </w:r>
          </w:p>
        </w:tc>
        <w:tc>
          <w:tcPr>
            <w:tcW w:w="806"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Merge w:val="continue"/>
            <w:vAlign w:val="center"/>
          </w:tcPr>
          <w:p>
            <w:pPr>
              <w:spacing w:line="440" w:lineRule="exact"/>
              <w:jc w:val="center"/>
              <w:rPr>
                <w:rFonts w:ascii="宋体" w:hAnsi="宋体"/>
                <w:szCs w:val="21"/>
              </w:rPr>
            </w:pPr>
          </w:p>
        </w:tc>
        <w:tc>
          <w:tcPr>
            <w:tcW w:w="864" w:type="dxa"/>
            <w:vMerge w:val="continue"/>
            <w:vAlign w:val="center"/>
          </w:tcPr>
          <w:p>
            <w:pPr>
              <w:spacing w:line="440" w:lineRule="exact"/>
              <w:jc w:val="center"/>
              <w:rPr>
                <w:rFonts w:ascii="宋体" w:hAnsi="宋体"/>
                <w:szCs w:val="21"/>
              </w:rPr>
            </w:pPr>
          </w:p>
        </w:tc>
        <w:tc>
          <w:tcPr>
            <w:tcW w:w="862" w:type="dxa"/>
            <w:vMerge w:val="continue"/>
            <w:vAlign w:val="center"/>
          </w:tcPr>
          <w:p>
            <w:pPr>
              <w:spacing w:line="440" w:lineRule="exact"/>
              <w:jc w:val="center"/>
              <w:rPr>
                <w:rFonts w:ascii="宋体" w:hAnsi="宋体"/>
                <w:szCs w:val="21"/>
              </w:rPr>
            </w:pPr>
          </w:p>
        </w:tc>
        <w:tc>
          <w:tcPr>
            <w:tcW w:w="1296" w:type="dxa"/>
            <w:vAlign w:val="center"/>
          </w:tcPr>
          <w:p>
            <w:pPr>
              <w:spacing w:line="440" w:lineRule="exact"/>
              <w:jc w:val="center"/>
              <w:rPr>
                <w:rFonts w:ascii="宋体" w:hAnsi="宋体"/>
                <w:szCs w:val="21"/>
              </w:rPr>
            </w:pPr>
            <w:r>
              <w:rPr>
                <w:rFonts w:hint="eastAsia" w:ascii="宋体" w:hAnsi="宋体"/>
                <w:szCs w:val="21"/>
              </w:rPr>
              <w:t>证书名称</w:t>
            </w:r>
          </w:p>
        </w:tc>
        <w:tc>
          <w:tcPr>
            <w:tcW w:w="863" w:type="dxa"/>
            <w:vAlign w:val="center"/>
          </w:tcPr>
          <w:p>
            <w:pPr>
              <w:spacing w:line="440" w:lineRule="exact"/>
              <w:jc w:val="center"/>
              <w:rPr>
                <w:rFonts w:ascii="宋体" w:hAnsi="宋体"/>
                <w:szCs w:val="21"/>
              </w:rPr>
            </w:pPr>
            <w:r>
              <w:rPr>
                <w:rFonts w:hint="eastAsia" w:ascii="宋体" w:hAnsi="宋体"/>
                <w:szCs w:val="21"/>
              </w:rPr>
              <w:t>级别</w:t>
            </w:r>
          </w:p>
        </w:tc>
        <w:tc>
          <w:tcPr>
            <w:tcW w:w="865" w:type="dxa"/>
            <w:vAlign w:val="center"/>
          </w:tcPr>
          <w:p>
            <w:pPr>
              <w:spacing w:line="440" w:lineRule="exact"/>
              <w:jc w:val="center"/>
              <w:rPr>
                <w:rFonts w:ascii="宋体" w:hAnsi="宋体"/>
                <w:szCs w:val="21"/>
              </w:rPr>
            </w:pPr>
            <w:r>
              <w:rPr>
                <w:rFonts w:hint="eastAsia" w:ascii="宋体" w:hAnsi="宋体"/>
                <w:szCs w:val="21"/>
              </w:rPr>
              <w:t>证号</w:t>
            </w:r>
          </w:p>
        </w:tc>
        <w:tc>
          <w:tcPr>
            <w:tcW w:w="863" w:type="dxa"/>
            <w:vAlign w:val="center"/>
          </w:tcPr>
          <w:p>
            <w:pPr>
              <w:spacing w:line="440" w:lineRule="exact"/>
              <w:jc w:val="center"/>
              <w:rPr>
                <w:rFonts w:ascii="宋体" w:hAnsi="宋体"/>
                <w:szCs w:val="21"/>
              </w:rPr>
            </w:pPr>
            <w:r>
              <w:rPr>
                <w:rFonts w:hint="eastAsia" w:ascii="宋体" w:hAnsi="宋体"/>
                <w:szCs w:val="21"/>
              </w:rPr>
              <w:t>专业</w:t>
            </w:r>
          </w:p>
        </w:tc>
        <w:tc>
          <w:tcPr>
            <w:tcW w:w="1661" w:type="dxa"/>
            <w:vAlign w:val="center"/>
          </w:tcPr>
          <w:p>
            <w:pPr>
              <w:spacing w:line="440" w:lineRule="exact"/>
              <w:jc w:val="center"/>
              <w:rPr>
                <w:rFonts w:ascii="宋体" w:hAnsi="宋体"/>
                <w:szCs w:val="21"/>
              </w:rPr>
            </w:pPr>
            <w:r>
              <w:rPr>
                <w:rFonts w:hint="eastAsia" w:ascii="宋体" w:hAnsi="宋体"/>
                <w:szCs w:val="21"/>
              </w:rPr>
              <w:t>养老保险</w:t>
            </w:r>
          </w:p>
        </w:tc>
        <w:tc>
          <w:tcPr>
            <w:tcW w:w="80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pPr>
              <w:spacing w:line="440" w:lineRule="exact"/>
              <w:jc w:val="center"/>
              <w:rPr>
                <w:rFonts w:ascii="宋体" w:hAnsi="宋体"/>
                <w:szCs w:val="21"/>
              </w:rPr>
            </w:pPr>
          </w:p>
        </w:tc>
        <w:tc>
          <w:tcPr>
            <w:tcW w:w="864" w:type="dxa"/>
            <w:vAlign w:val="center"/>
          </w:tcPr>
          <w:p>
            <w:pPr>
              <w:spacing w:line="440" w:lineRule="exact"/>
              <w:jc w:val="center"/>
              <w:rPr>
                <w:rFonts w:ascii="宋体" w:hAnsi="宋体"/>
                <w:szCs w:val="21"/>
              </w:rPr>
            </w:pPr>
          </w:p>
        </w:tc>
        <w:tc>
          <w:tcPr>
            <w:tcW w:w="862" w:type="dxa"/>
            <w:vAlign w:val="center"/>
          </w:tcPr>
          <w:p>
            <w:pPr>
              <w:spacing w:line="440" w:lineRule="exact"/>
              <w:jc w:val="center"/>
              <w:rPr>
                <w:rFonts w:ascii="宋体" w:hAnsi="宋体"/>
                <w:szCs w:val="21"/>
              </w:rPr>
            </w:pPr>
          </w:p>
        </w:tc>
        <w:tc>
          <w:tcPr>
            <w:tcW w:w="1296" w:type="dxa"/>
            <w:vAlign w:val="center"/>
          </w:tcPr>
          <w:p>
            <w:pPr>
              <w:spacing w:line="440" w:lineRule="exact"/>
              <w:jc w:val="center"/>
              <w:rPr>
                <w:rFonts w:ascii="宋体" w:hAnsi="宋体"/>
                <w:szCs w:val="21"/>
              </w:rPr>
            </w:pPr>
          </w:p>
        </w:tc>
        <w:tc>
          <w:tcPr>
            <w:tcW w:w="863" w:type="dxa"/>
            <w:vAlign w:val="center"/>
          </w:tcPr>
          <w:p>
            <w:pPr>
              <w:spacing w:line="440" w:lineRule="exact"/>
              <w:jc w:val="center"/>
              <w:rPr>
                <w:rFonts w:ascii="宋体" w:hAnsi="宋体"/>
                <w:szCs w:val="21"/>
              </w:rPr>
            </w:pPr>
          </w:p>
        </w:tc>
        <w:tc>
          <w:tcPr>
            <w:tcW w:w="865" w:type="dxa"/>
            <w:vAlign w:val="center"/>
          </w:tcPr>
          <w:p>
            <w:pPr>
              <w:spacing w:line="440" w:lineRule="exact"/>
              <w:jc w:val="center"/>
              <w:rPr>
                <w:rFonts w:ascii="宋体" w:hAnsi="宋体"/>
                <w:szCs w:val="21"/>
              </w:rPr>
            </w:pPr>
          </w:p>
        </w:tc>
        <w:tc>
          <w:tcPr>
            <w:tcW w:w="863" w:type="dxa"/>
            <w:vAlign w:val="center"/>
          </w:tcPr>
          <w:p>
            <w:pPr>
              <w:spacing w:line="440" w:lineRule="exact"/>
              <w:jc w:val="center"/>
              <w:rPr>
                <w:rFonts w:ascii="宋体" w:hAnsi="宋体"/>
                <w:szCs w:val="21"/>
              </w:rPr>
            </w:pPr>
          </w:p>
        </w:tc>
        <w:tc>
          <w:tcPr>
            <w:tcW w:w="1661" w:type="dxa"/>
            <w:vAlign w:val="center"/>
          </w:tcPr>
          <w:p>
            <w:pPr>
              <w:spacing w:line="440" w:lineRule="exact"/>
              <w:jc w:val="center"/>
              <w:rPr>
                <w:rFonts w:ascii="宋体" w:hAnsi="宋体"/>
                <w:szCs w:val="21"/>
              </w:rPr>
            </w:pPr>
          </w:p>
        </w:tc>
        <w:tc>
          <w:tcPr>
            <w:tcW w:w="80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bl>
    <w:p>
      <w:pPr>
        <w:topLinePunct/>
        <w:spacing w:line="440" w:lineRule="exact"/>
        <w:jc w:val="center"/>
        <w:rPr>
          <w:rFonts w:ascii="宋体" w:hAnsi="宋体"/>
          <w:sz w:val="20"/>
        </w:rPr>
      </w:pPr>
      <w:r>
        <w:rPr>
          <w:rFonts w:hint="eastAsia" w:ascii="宋体" w:hAnsi="宋体"/>
          <w:sz w:val="20"/>
        </w:rPr>
        <w:br w:type="page"/>
      </w:r>
    </w:p>
    <w:p>
      <w:pPr>
        <w:pStyle w:val="126"/>
        <w:rPr>
          <w:rFonts w:ascii="宋体" w:hAnsi="宋体" w:eastAsia="宋体"/>
          <w:szCs w:val="23"/>
        </w:rPr>
      </w:pPr>
      <w:bookmarkStart w:id="139" w:name="_Toc152042594"/>
      <w:bookmarkStart w:id="140" w:name="_Toc144974873"/>
      <w:bookmarkStart w:id="141" w:name="_Toc25718"/>
      <w:bookmarkStart w:id="142" w:name="_Toc152045805"/>
      <w:bookmarkStart w:id="143" w:name="_Toc179632825"/>
      <w:bookmarkStart w:id="144" w:name="_Toc246392162"/>
      <w:r>
        <w:rPr>
          <w:rFonts w:hint="eastAsia" w:ascii="宋体" w:hAnsi="宋体" w:eastAsia="宋体"/>
          <w:szCs w:val="23"/>
        </w:rPr>
        <w:t>（二）主要人员简历表</w:t>
      </w:r>
      <w:bookmarkEnd w:id="139"/>
      <w:bookmarkEnd w:id="140"/>
      <w:bookmarkEnd w:id="141"/>
      <w:bookmarkEnd w:id="142"/>
      <w:bookmarkEnd w:id="143"/>
      <w:bookmarkEnd w:id="144"/>
    </w:p>
    <w:p>
      <w:pPr>
        <w:spacing w:line="400" w:lineRule="exact"/>
        <w:ind w:firstLine="420" w:firstLineChars="200"/>
        <w:rPr>
          <w:rFonts w:ascii="宋体" w:hAnsi="宋体"/>
        </w:rPr>
      </w:pPr>
    </w:p>
    <w:p>
      <w:pPr>
        <w:spacing w:line="400" w:lineRule="exact"/>
        <w:ind w:firstLine="420" w:firstLineChars="200"/>
        <w:rPr>
          <w:rFonts w:ascii="宋体" w:hAnsi="宋体"/>
        </w:rPr>
      </w:pPr>
      <w:r>
        <w:rPr>
          <w:rFonts w:hint="eastAsia" w:ascii="宋体" w:hAnsi="宋体"/>
        </w:rPr>
        <w:t>“主要人员简历表”中的项目经理应附项目经理证、身份证、职称证、学历证、建造师执业资格证（注册证）复印件，管理过的项目业绩须附合同协议书复印件；技术负责人应附身份证、职称证、学历证复印件，管理过的项目业绩须附证明其所任技术职务的企业文件或用户证明；其他主要人员应附职称证（执业证或上岗证书）复印件。</w:t>
      </w:r>
    </w:p>
    <w:p>
      <w:pPr>
        <w:topLinePunct/>
        <w:spacing w:line="440" w:lineRule="exact"/>
        <w:jc w:val="center"/>
        <w:rPr>
          <w:rFonts w:ascii="宋体" w:hAnsi="宋体"/>
          <w:sz w:val="23"/>
          <w:szCs w:val="23"/>
        </w:rPr>
      </w:pPr>
    </w:p>
    <w:tbl>
      <w:tblPr>
        <w:tblStyle w:val="52"/>
        <w:tblW w:w="8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362"/>
        <w:gridCol w:w="1261"/>
        <w:gridCol w:w="161"/>
        <w:gridCol w:w="2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pPr>
              <w:spacing w:line="440" w:lineRule="exact"/>
              <w:rPr>
                <w:rFonts w:asciiTheme="minorEastAsia" w:hAnsiTheme="minorEastAsia"/>
                <w:sz w:val="22"/>
              </w:rPr>
            </w:pPr>
            <w:r>
              <w:rPr>
                <w:rFonts w:hint="eastAsia" w:asciiTheme="minorEastAsia" w:hAnsiTheme="minorEastAsia"/>
                <w:sz w:val="22"/>
              </w:rPr>
              <w:t>姓  名</w:t>
            </w:r>
          </w:p>
        </w:tc>
        <w:tc>
          <w:tcPr>
            <w:tcW w:w="1079" w:type="dxa"/>
            <w:gridSpan w:val="2"/>
            <w:vAlign w:val="center"/>
          </w:tcPr>
          <w:p>
            <w:pPr>
              <w:spacing w:line="440" w:lineRule="exact"/>
              <w:rPr>
                <w:rFonts w:asciiTheme="minorEastAsia" w:hAnsiTheme="minorEastAsia"/>
                <w:sz w:val="22"/>
              </w:rPr>
            </w:pPr>
          </w:p>
        </w:tc>
        <w:tc>
          <w:tcPr>
            <w:tcW w:w="927" w:type="dxa"/>
            <w:vAlign w:val="center"/>
          </w:tcPr>
          <w:p>
            <w:pPr>
              <w:spacing w:line="440" w:lineRule="exact"/>
              <w:rPr>
                <w:rFonts w:asciiTheme="minorEastAsia" w:hAnsiTheme="minorEastAsia"/>
                <w:sz w:val="22"/>
              </w:rPr>
            </w:pPr>
            <w:r>
              <w:rPr>
                <w:rFonts w:hint="eastAsia" w:asciiTheme="minorEastAsia" w:hAnsiTheme="minorEastAsia"/>
                <w:sz w:val="22"/>
              </w:rPr>
              <w:t>年 龄</w:t>
            </w:r>
          </w:p>
        </w:tc>
        <w:tc>
          <w:tcPr>
            <w:tcW w:w="1065" w:type="dxa"/>
            <w:vAlign w:val="center"/>
          </w:tcPr>
          <w:p>
            <w:pPr>
              <w:spacing w:line="440" w:lineRule="exact"/>
              <w:rPr>
                <w:rFonts w:asciiTheme="minorEastAsia" w:hAnsiTheme="minorEastAsia"/>
                <w:sz w:val="22"/>
              </w:rPr>
            </w:pPr>
          </w:p>
        </w:tc>
        <w:tc>
          <w:tcPr>
            <w:tcW w:w="1784" w:type="dxa"/>
            <w:gridSpan w:val="3"/>
            <w:vAlign w:val="center"/>
          </w:tcPr>
          <w:p>
            <w:pPr>
              <w:spacing w:line="440" w:lineRule="exact"/>
              <w:rPr>
                <w:rFonts w:asciiTheme="minorEastAsia" w:hAnsiTheme="minorEastAsia"/>
                <w:sz w:val="22"/>
              </w:rPr>
            </w:pPr>
            <w:r>
              <w:rPr>
                <w:rFonts w:hint="eastAsia" w:asciiTheme="minorEastAsia" w:hAnsiTheme="minorEastAsia"/>
                <w:sz w:val="22"/>
              </w:rPr>
              <w:t>学历</w:t>
            </w:r>
          </w:p>
        </w:tc>
        <w:tc>
          <w:tcPr>
            <w:tcW w:w="2135" w:type="dxa"/>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pPr>
              <w:spacing w:line="440" w:lineRule="exact"/>
              <w:rPr>
                <w:rFonts w:asciiTheme="minorEastAsia" w:hAnsiTheme="minorEastAsia"/>
                <w:sz w:val="22"/>
              </w:rPr>
            </w:pPr>
            <w:r>
              <w:rPr>
                <w:rFonts w:hint="eastAsia" w:asciiTheme="minorEastAsia" w:hAnsiTheme="minorEastAsia"/>
                <w:sz w:val="22"/>
              </w:rPr>
              <w:t>职  称</w:t>
            </w:r>
          </w:p>
        </w:tc>
        <w:tc>
          <w:tcPr>
            <w:tcW w:w="1079" w:type="dxa"/>
            <w:gridSpan w:val="2"/>
            <w:vAlign w:val="center"/>
          </w:tcPr>
          <w:p>
            <w:pPr>
              <w:spacing w:line="440" w:lineRule="exact"/>
              <w:rPr>
                <w:rFonts w:asciiTheme="minorEastAsia" w:hAnsiTheme="minorEastAsia"/>
                <w:sz w:val="22"/>
              </w:rPr>
            </w:pPr>
          </w:p>
        </w:tc>
        <w:tc>
          <w:tcPr>
            <w:tcW w:w="927" w:type="dxa"/>
            <w:vAlign w:val="center"/>
          </w:tcPr>
          <w:p>
            <w:pPr>
              <w:spacing w:line="440" w:lineRule="exact"/>
              <w:rPr>
                <w:rFonts w:asciiTheme="minorEastAsia" w:hAnsiTheme="minorEastAsia"/>
                <w:sz w:val="22"/>
              </w:rPr>
            </w:pPr>
            <w:r>
              <w:rPr>
                <w:rFonts w:hint="eastAsia" w:asciiTheme="minorEastAsia" w:hAnsiTheme="minorEastAsia"/>
                <w:sz w:val="22"/>
              </w:rPr>
              <w:t>职 务</w:t>
            </w:r>
          </w:p>
        </w:tc>
        <w:tc>
          <w:tcPr>
            <w:tcW w:w="1065" w:type="dxa"/>
            <w:vAlign w:val="center"/>
          </w:tcPr>
          <w:p>
            <w:pPr>
              <w:spacing w:line="440" w:lineRule="exact"/>
              <w:rPr>
                <w:rFonts w:asciiTheme="minorEastAsia" w:hAnsiTheme="minorEastAsia"/>
                <w:sz w:val="22"/>
              </w:rPr>
            </w:pPr>
          </w:p>
        </w:tc>
        <w:tc>
          <w:tcPr>
            <w:tcW w:w="1784" w:type="dxa"/>
            <w:gridSpan w:val="3"/>
            <w:vAlign w:val="center"/>
          </w:tcPr>
          <w:p>
            <w:pPr>
              <w:spacing w:line="440" w:lineRule="exact"/>
              <w:rPr>
                <w:rFonts w:asciiTheme="minorEastAsia" w:hAnsiTheme="minorEastAsia"/>
                <w:sz w:val="22"/>
              </w:rPr>
            </w:pPr>
            <w:r>
              <w:rPr>
                <w:rFonts w:hint="eastAsia" w:asciiTheme="minorEastAsia" w:hAnsiTheme="minorEastAsia"/>
                <w:sz w:val="22"/>
              </w:rPr>
              <w:t>拟在本合同任职</w:t>
            </w:r>
          </w:p>
        </w:tc>
        <w:tc>
          <w:tcPr>
            <w:tcW w:w="2135" w:type="dxa"/>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pPr>
              <w:spacing w:line="440" w:lineRule="exact"/>
              <w:rPr>
                <w:rFonts w:asciiTheme="minorEastAsia" w:hAnsiTheme="minorEastAsia"/>
                <w:sz w:val="22"/>
              </w:rPr>
            </w:pPr>
            <w:r>
              <w:rPr>
                <w:rFonts w:hint="eastAsia" w:asciiTheme="minorEastAsia" w:hAnsiTheme="minorEastAsia"/>
                <w:sz w:val="22"/>
              </w:rPr>
              <w:t>毕业学校</w:t>
            </w:r>
          </w:p>
        </w:tc>
        <w:tc>
          <w:tcPr>
            <w:tcW w:w="6990" w:type="dxa"/>
            <w:gridSpan w:val="8"/>
          </w:tcPr>
          <w:p>
            <w:pPr>
              <w:spacing w:line="440" w:lineRule="exact"/>
              <w:rPr>
                <w:rFonts w:asciiTheme="minorEastAsia" w:hAnsiTheme="minorEastAsia"/>
                <w:sz w:val="22"/>
              </w:rPr>
            </w:pPr>
            <w:r>
              <w:rPr>
                <w:rFonts w:hint="eastAsia" w:asciiTheme="minorEastAsia" w:hAnsiTheme="minorEastAsia"/>
                <w:sz w:val="22"/>
              </w:rPr>
              <w:t xml:space="preserve">      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6" w:type="dxa"/>
            <w:gridSpan w:val="9"/>
            <w:vAlign w:val="center"/>
          </w:tcPr>
          <w:p>
            <w:pPr>
              <w:spacing w:line="440" w:lineRule="exact"/>
              <w:rPr>
                <w:rFonts w:asciiTheme="minorEastAsia" w:hAnsiTheme="minorEastAsia"/>
                <w:sz w:val="22"/>
              </w:rPr>
            </w:pPr>
            <w:r>
              <w:rPr>
                <w:rFonts w:hint="eastAsia" w:asciiTheme="minorEastAsia" w:hAnsiTheme="minorEastAsia"/>
                <w:sz w:val="22"/>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vAlign w:val="center"/>
          </w:tcPr>
          <w:p>
            <w:pPr>
              <w:spacing w:line="440" w:lineRule="exact"/>
              <w:rPr>
                <w:rFonts w:asciiTheme="minorEastAsia" w:hAnsiTheme="minorEastAsia"/>
                <w:sz w:val="22"/>
              </w:rPr>
            </w:pPr>
            <w:r>
              <w:rPr>
                <w:rFonts w:hint="eastAsia" w:asciiTheme="minorEastAsia" w:hAnsiTheme="minorEastAsia"/>
                <w:sz w:val="22"/>
              </w:rPr>
              <w:t>时  间</w:t>
            </w:r>
          </w:p>
        </w:tc>
        <w:tc>
          <w:tcPr>
            <w:tcW w:w="3074" w:type="dxa"/>
            <w:gridSpan w:val="4"/>
            <w:vAlign w:val="center"/>
          </w:tcPr>
          <w:p>
            <w:pPr>
              <w:spacing w:line="440" w:lineRule="exact"/>
              <w:rPr>
                <w:rFonts w:asciiTheme="minorEastAsia" w:hAnsiTheme="minorEastAsia"/>
                <w:sz w:val="22"/>
              </w:rPr>
            </w:pPr>
            <w:r>
              <w:rPr>
                <w:rFonts w:hint="eastAsia" w:asciiTheme="minorEastAsia" w:hAnsiTheme="minorEastAsia"/>
                <w:sz w:val="22"/>
              </w:rPr>
              <w:t>参加过的类似项目</w:t>
            </w:r>
          </w:p>
        </w:tc>
        <w:tc>
          <w:tcPr>
            <w:tcW w:w="1261" w:type="dxa"/>
            <w:vAlign w:val="center"/>
          </w:tcPr>
          <w:p>
            <w:pPr>
              <w:spacing w:line="440" w:lineRule="exact"/>
              <w:rPr>
                <w:rFonts w:asciiTheme="minorEastAsia" w:hAnsiTheme="minorEastAsia"/>
                <w:sz w:val="22"/>
              </w:rPr>
            </w:pPr>
            <w:r>
              <w:rPr>
                <w:rFonts w:hint="eastAsia" w:asciiTheme="minorEastAsia" w:hAnsiTheme="minorEastAsia"/>
                <w:sz w:val="22"/>
              </w:rPr>
              <w:t>担任职务</w:t>
            </w:r>
          </w:p>
        </w:tc>
        <w:tc>
          <w:tcPr>
            <w:tcW w:w="2296" w:type="dxa"/>
            <w:gridSpan w:val="2"/>
            <w:vAlign w:val="center"/>
          </w:tcPr>
          <w:p>
            <w:pPr>
              <w:spacing w:line="440" w:lineRule="exact"/>
              <w:rPr>
                <w:rFonts w:asciiTheme="minorEastAsia" w:hAnsiTheme="minorEastAsia"/>
                <w:sz w:val="22"/>
              </w:rPr>
            </w:pPr>
            <w:r>
              <w:rPr>
                <w:rFonts w:hint="eastAsia" w:asciiTheme="minorEastAsia" w:hAnsiTheme="minorEastAsia"/>
                <w:sz w:val="22"/>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Theme="minorEastAsia" w:hAnsiTheme="minorEastAsia"/>
                <w:sz w:val="22"/>
              </w:rPr>
            </w:pPr>
          </w:p>
        </w:tc>
        <w:tc>
          <w:tcPr>
            <w:tcW w:w="3074" w:type="dxa"/>
            <w:gridSpan w:val="4"/>
          </w:tcPr>
          <w:p>
            <w:pPr>
              <w:spacing w:line="440" w:lineRule="exact"/>
              <w:rPr>
                <w:rFonts w:asciiTheme="minorEastAsia" w:hAnsiTheme="minorEastAsia"/>
                <w:sz w:val="22"/>
              </w:rPr>
            </w:pPr>
          </w:p>
        </w:tc>
        <w:tc>
          <w:tcPr>
            <w:tcW w:w="1261" w:type="dxa"/>
          </w:tcPr>
          <w:p>
            <w:pPr>
              <w:spacing w:line="440" w:lineRule="exact"/>
              <w:rPr>
                <w:rFonts w:asciiTheme="minorEastAsia" w:hAnsiTheme="minorEastAsia"/>
                <w:sz w:val="22"/>
              </w:rPr>
            </w:pPr>
          </w:p>
        </w:tc>
        <w:tc>
          <w:tcPr>
            <w:tcW w:w="2296" w:type="dxa"/>
            <w:gridSpan w:val="2"/>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Theme="minorEastAsia" w:hAnsiTheme="minorEastAsia"/>
                <w:sz w:val="22"/>
              </w:rPr>
            </w:pPr>
          </w:p>
        </w:tc>
        <w:tc>
          <w:tcPr>
            <w:tcW w:w="3074" w:type="dxa"/>
            <w:gridSpan w:val="4"/>
          </w:tcPr>
          <w:p>
            <w:pPr>
              <w:spacing w:line="440" w:lineRule="exact"/>
              <w:rPr>
                <w:rFonts w:asciiTheme="minorEastAsia" w:hAnsiTheme="minorEastAsia"/>
                <w:sz w:val="22"/>
              </w:rPr>
            </w:pPr>
          </w:p>
        </w:tc>
        <w:tc>
          <w:tcPr>
            <w:tcW w:w="1261" w:type="dxa"/>
          </w:tcPr>
          <w:p>
            <w:pPr>
              <w:spacing w:line="440" w:lineRule="exact"/>
              <w:rPr>
                <w:rFonts w:asciiTheme="minorEastAsia" w:hAnsiTheme="minorEastAsia"/>
                <w:sz w:val="22"/>
              </w:rPr>
            </w:pPr>
          </w:p>
        </w:tc>
        <w:tc>
          <w:tcPr>
            <w:tcW w:w="2296" w:type="dxa"/>
            <w:gridSpan w:val="2"/>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Theme="minorEastAsia" w:hAnsiTheme="minorEastAsia"/>
                <w:sz w:val="22"/>
              </w:rPr>
            </w:pPr>
          </w:p>
        </w:tc>
        <w:tc>
          <w:tcPr>
            <w:tcW w:w="3074" w:type="dxa"/>
            <w:gridSpan w:val="4"/>
          </w:tcPr>
          <w:p>
            <w:pPr>
              <w:spacing w:line="440" w:lineRule="exact"/>
              <w:rPr>
                <w:rFonts w:asciiTheme="minorEastAsia" w:hAnsiTheme="minorEastAsia"/>
                <w:sz w:val="22"/>
              </w:rPr>
            </w:pPr>
          </w:p>
        </w:tc>
        <w:tc>
          <w:tcPr>
            <w:tcW w:w="1261" w:type="dxa"/>
          </w:tcPr>
          <w:p>
            <w:pPr>
              <w:spacing w:line="440" w:lineRule="exact"/>
              <w:rPr>
                <w:rFonts w:asciiTheme="minorEastAsia" w:hAnsiTheme="minorEastAsia"/>
                <w:sz w:val="22"/>
              </w:rPr>
            </w:pPr>
          </w:p>
        </w:tc>
        <w:tc>
          <w:tcPr>
            <w:tcW w:w="2296" w:type="dxa"/>
            <w:gridSpan w:val="2"/>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bl>
    <w:p>
      <w:pPr>
        <w:spacing w:line="440" w:lineRule="exact"/>
        <w:rPr>
          <w:rFonts w:ascii="宋体" w:hAnsi="宋体"/>
          <w:sz w:val="20"/>
          <w:szCs w:val="20"/>
        </w:rPr>
      </w:pPr>
    </w:p>
    <w:p>
      <w:pPr>
        <w:spacing w:line="440" w:lineRule="exact"/>
        <w:jc w:val="center"/>
        <w:rPr>
          <w:rFonts w:ascii="Calibri" w:hAnsi="Calibri" w:eastAsia="黑体" w:cs="Calibri"/>
          <w:color w:val="000000"/>
          <w:sz w:val="32"/>
          <w:szCs w:val="32"/>
        </w:rPr>
      </w:pPr>
      <w:r>
        <w:rPr>
          <w:rFonts w:hint="eastAsia" w:ascii="宋体" w:hAnsi="宋体" w:eastAsia="宋体"/>
        </w:rPr>
        <w:br w:type="page"/>
      </w:r>
      <w:bookmarkStart w:id="145" w:name="_Toc245036711"/>
      <w:bookmarkStart w:id="146" w:name="_Toc7025"/>
      <w:r>
        <w:rPr>
          <w:rFonts w:hint="eastAsia" w:ascii="Calibri" w:hAnsi="Calibri" w:eastAsia="黑体" w:cs="Calibri"/>
          <w:color w:val="000000"/>
          <w:sz w:val="32"/>
          <w:szCs w:val="32"/>
        </w:rPr>
        <w:t>七、资格审查资料</w:t>
      </w:r>
      <w:bookmarkEnd w:id="145"/>
      <w:bookmarkEnd w:id="146"/>
    </w:p>
    <w:p>
      <w:pPr>
        <w:topLinePunct/>
        <w:spacing w:line="440" w:lineRule="exact"/>
        <w:jc w:val="center"/>
        <w:rPr>
          <w:rFonts w:ascii="宋体" w:hAnsi="宋体"/>
          <w:sz w:val="27"/>
          <w:szCs w:val="27"/>
        </w:rPr>
      </w:pPr>
    </w:p>
    <w:p>
      <w:pPr>
        <w:pStyle w:val="126"/>
        <w:rPr>
          <w:rFonts w:ascii="宋体" w:hAnsi="宋体" w:eastAsia="宋体"/>
          <w:szCs w:val="23"/>
        </w:rPr>
      </w:pPr>
      <w:bookmarkStart w:id="147" w:name="_Toc152042597"/>
      <w:bookmarkStart w:id="148" w:name="_Toc17487"/>
      <w:bookmarkStart w:id="149" w:name="_Toc245036712"/>
      <w:bookmarkStart w:id="150" w:name="_Toc144974876"/>
      <w:bookmarkStart w:id="151" w:name="_Toc152045808"/>
      <w:r>
        <w:rPr>
          <w:rFonts w:hint="eastAsia" w:ascii="宋体" w:hAnsi="宋体" w:eastAsia="宋体"/>
          <w:szCs w:val="23"/>
        </w:rPr>
        <w:t>（一）投标人基本情况表</w:t>
      </w:r>
      <w:bookmarkEnd w:id="147"/>
      <w:bookmarkEnd w:id="148"/>
      <w:bookmarkEnd w:id="149"/>
      <w:bookmarkEnd w:id="150"/>
      <w:bookmarkEnd w:id="151"/>
    </w:p>
    <w:p>
      <w:pPr>
        <w:topLinePunct/>
        <w:spacing w:line="440" w:lineRule="exact"/>
        <w:jc w:val="center"/>
        <w:rPr>
          <w:rFonts w:ascii="宋体" w:hAnsi="宋体"/>
          <w:sz w:val="23"/>
          <w:szCs w:val="23"/>
        </w:rPr>
      </w:pPr>
    </w:p>
    <w:tbl>
      <w:tblPr>
        <w:tblStyle w:val="52"/>
        <w:tblW w:w="85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投标人名称</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网 址</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组织结构</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4991" w:type="dxa"/>
            <w:gridSpan w:val="7"/>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10" w:firstLineChars="50"/>
              <w:jc w:val="center"/>
              <w:rPr>
                <w:rFonts w:asciiTheme="minorEastAsia" w:hAnsiTheme="minorEastAsia"/>
                <w:sz w:val="22"/>
              </w:rPr>
            </w:pPr>
            <w:r>
              <w:rPr>
                <w:rFonts w:hint="eastAsia" w:asciiTheme="minorEastAsia" w:hAnsiTheme="minorEastAsia"/>
                <w:sz w:val="22"/>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企业资质等级</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项目经理</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高级职称人员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中级职称人员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初级职称人员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pStyle w:val="36"/>
              <w:ind w:left="-23" w:firstLine="440" w:firstLineChars="200"/>
              <w:rPr>
                <w:rFonts w:asciiTheme="minorEastAsia" w:hAnsiTheme="minorEastAsia" w:eastAsiaTheme="minorEastAsia"/>
                <w:sz w:val="22"/>
                <w:szCs w:val="22"/>
              </w:rPr>
            </w:pPr>
            <w:r>
              <w:rPr>
                <w:rFonts w:hint="eastAsia" w:asciiTheme="minorEastAsia" w:hAnsiTheme="minorEastAsia" w:eastAsiaTheme="minorEastAsia"/>
                <w:sz w:val="22"/>
                <w:szCs w:val="22"/>
              </w:rPr>
              <w:t>技  工</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1728" w:type="dxa"/>
            <w:tcBorders>
              <w:top w:val="single" w:color="auto" w:sz="4" w:space="0"/>
              <w:left w:val="single" w:color="auto" w:sz="4" w:space="0"/>
              <w:right w:val="single" w:color="auto" w:sz="4" w:space="0"/>
            </w:tcBorders>
            <w:vAlign w:val="center"/>
          </w:tcPr>
          <w:p>
            <w:pPr>
              <w:topLinePunct/>
              <w:spacing w:line="440" w:lineRule="exact"/>
              <w:ind w:firstLine="220" w:firstLineChars="100"/>
              <w:jc w:val="center"/>
              <w:rPr>
                <w:rFonts w:asciiTheme="minorEastAsia" w:hAnsiTheme="minorEastAsia"/>
                <w:sz w:val="22"/>
              </w:rPr>
            </w:pPr>
            <w:r>
              <w:rPr>
                <w:rFonts w:hint="eastAsia" w:asciiTheme="minorEastAsia" w:hAnsiTheme="minorEastAsia"/>
                <w:sz w:val="22"/>
              </w:rPr>
              <w:t>经营范围</w:t>
            </w:r>
          </w:p>
        </w:tc>
        <w:tc>
          <w:tcPr>
            <w:tcW w:w="6840" w:type="dxa"/>
            <w:gridSpan w:val="9"/>
            <w:tcBorders>
              <w:top w:val="single" w:color="auto" w:sz="4" w:space="0"/>
              <w:left w:val="single" w:color="auto" w:sz="4" w:space="0"/>
              <w:right w:val="single" w:color="auto" w:sz="4" w:space="0"/>
            </w:tcBorders>
            <w:vAlign w:val="center"/>
          </w:tcPr>
          <w:p>
            <w:pPr>
              <w:topLinePunct/>
              <w:spacing w:line="440" w:lineRule="exact"/>
              <w:jc w:val="center"/>
              <w:rPr>
                <w:rFonts w:asciiTheme="minorEastAsia" w:hAnsiTheme="minorEastAsia"/>
                <w:sz w:val="22"/>
              </w:rPr>
            </w:pPr>
          </w:p>
          <w:p>
            <w:pPr>
              <w:topLinePunct/>
              <w:spacing w:line="440" w:lineRule="exact"/>
              <w:jc w:val="center"/>
              <w:rPr>
                <w:rFonts w:asciiTheme="minorEastAsia" w:hAnsiTheme="minorEastAsia"/>
                <w:sz w:val="22"/>
              </w:rPr>
            </w:pPr>
          </w:p>
          <w:p>
            <w:pPr>
              <w:topLinePunct/>
              <w:spacing w:line="440" w:lineRule="exact"/>
              <w:jc w:val="center"/>
              <w:rPr>
                <w:rFonts w:asciiTheme="minorEastAsia" w:hAnsiTheme="minorEastAsia"/>
                <w:sz w:val="22"/>
              </w:rPr>
            </w:pPr>
          </w:p>
          <w:p>
            <w:pPr>
              <w:topLinePunct/>
              <w:spacing w:line="440" w:lineRule="exact"/>
              <w:jc w:val="center"/>
              <w:rPr>
                <w:rFonts w:asciiTheme="minorEastAsia" w:hAnsiTheme="minorEastAsia"/>
                <w:sz w:val="22"/>
              </w:rPr>
            </w:pPr>
          </w:p>
          <w:p>
            <w:pPr>
              <w:topLinePunct/>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备注</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bl>
    <w:p>
      <w:pPr>
        <w:spacing w:line="400" w:lineRule="exact"/>
        <w:ind w:firstLine="420" w:firstLineChars="200"/>
        <w:rPr>
          <w:rFonts w:ascii="宋体" w:hAnsi="宋体"/>
        </w:rPr>
      </w:pPr>
      <w:r>
        <w:rPr>
          <w:rFonts w:hint="eastAsia" w:ascii="宋体" w:hAnsi="宋体"/>
        </w:rPr>
        <w:t>附：投标人有效的营业执照、资质证书、安全生产许可证及三类人员证书（和任命文件）、业绩证明材料等复印件。</w:t>
      </w:r>
    </w:p>
    <w:p>
      <w:pPr>
        <w:pStyle w:val="126"/>
        <w:rPr>
          <w:rFonts w:ascii="宋体" w:hAnsi="宋体" w:eastAsia="宋体"/>
          <w:szCs w:val="23"/>
        </w:rPr>
      </w:pPr>
      <w:bookmarkStart w:id="152" w:name="_Toc152045809"/>
      <w:bookmarkStart w:id="153" w:name="_Toc16950"/>
      <w:bookmarkStart w:id="154" w:name="_Toc245036713"/>
      <w:bookmarkStart w:id="155" w:name="_Toc144974877"/>
      <w:bookmarkStart w:id="156" w:name="_Toc152042598"/>
      <w:r>
        <w:rPr>
          <w:rFonts w:hint="eastAsia" w:ascii="宋体" w:hAnsi="宋体" w:eastAsia="宋体"/>
        </w:rPr>
        <w:br w:type="page"/>
      </w:r>
      <w:r>
        <w:rPr>
          <w:rFonts w:hint="eastAsia" w:ascii="宋体" w:hAnsi="宋体" w:eastAsia="宋体"/>
        </w:rPr>
        <w:t>（二）近年财务状况表</w:t>
      </w:r>
      <w:bookmarkEnd w:id="152"/>
      <w:bookmarkEnd w:id="153"/>
      <w:bookmarkEnd w:id="154"/>
      <w:bookmarkEnd w:id="155"/>
      <w:bookmarkEnd w:id="156"/>
    </w:p>
    <w:p>
      <w:pPr>
        <w:spacing w:line="440" w:lineRule="exact"/>
        <w:rPr>
          <w:rFonts w:ascii="宋体" w:hAnsi="宋体"/>
          <w:sz w:val="23"/>
          <w:szCs w:val="23"/>
        </w:rPr>
      </w:pPr>
    </w:p>
    <w:p>
      <w:pPr>
        <w:pStyle w:val="126"/>
        <w:rPr>
          <w:rFonts w:ascii="宋体" w:hAnsi="宋体" w:eastAsia="宋体"/>
          <w:szCs w:val="23"/>
        </w:rPr>
      </w:pPr>
      <w:bookmarkStart w:id="157" w:name="_Toc245036714"/>
      <w:bookmarkStart w:id="158" w:name="_Toc144974878"/>
      <w:bookmarkStart w:id="159" w:name="_Toc152042599"/>
      <w:bookmarkStart w:id="160" w:name="_Toc31021"/>
      <w:bookmarkStart w:id="161" w:name="_Toc152045810"/>
      <w:r>
        <w:rPr>
          <w:rFonts w:hint="eastAsia" w:ascii="宋体" w:hAnsi="宋体" w:eastAsia="宋体"/>
          <w:szCs w:val="23"/>
        </w:rPr>
        <w:t>（三）近年完成的类似项目情况表</w:t>
      </w:r>
      <w:bookmarkEnd w:id="157"/>
      <w:bookmarkEnd w:id="158"/>
      <w:bookmarkEnd w:id="159"/>
      <w:bookmarkEnd w:id="160"/>
      <w:bookmarkEnd w:id="161"/>
    </w:p>
    <w:p>
      <w:pPr>
        <w:spacing w:line="440" w:lineRule="exact"/>
        <w:jc w:val="center"/>
        <w:rPr>
          <w:rFonts w:ascii="宋体" w:hAnsi="宋体"/>
          <w:sz w:val="23"/>
          <w:szCs w:val="23"/>
        </w:rPr>
      </w:pPr>
    </w:p>
    <w:tbl>
      <w:tblPr>
        <w:tblStyle w:val="52"/>
        <w:tblW w:w="8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9"/>
        <w:gridCol w:w="5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项目名称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62" w:name="_Toc13233"/>
            <w:r>
              <w:rPr>
                <w:rFonts w:hint="eastAsia" w:ascii="宋体" w:hAnsi="宋体"/>
                <w:szCs w:val="21"/>
              </w:rPr>
              <w:t>项目所在地</w:t>
            </w:r>
            <w:bookmarkEnd w:id="162"/>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发包人名称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63" w:name="_Toc20896"/>
            <w:r>
              <w:rPr>
                <w:rFonts w:hint="eastAsia" w:ascii="宋体" w:hAnsi="宋体"/>
                <w:szCs w:val="21"/>
              </w:rPr>
              <w:t>发包人地址</w:t>
            </w:r>
            <w:bookmarkEnd w:id="163"/>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发包人电话</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合同价格</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开工日期</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竣工日期</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64" w:name="_Toc3155"/>
            <w:r>
              <w:rPr>
                <w:rFonts w:hint="eastAsia" w:ascii="宋体" w:hAnsi="宋体"/>
                <w:szCs w:val="21"/>
              </w:rPr>
              <w:t>承担的工作</w:t>
            </w:r>
            <w:bookmarkEnd w:id="164"/>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工程质量</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项目经理</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技术负责人</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总监理工程师及电话</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项目描述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备注</w:t>
            </w:r>
          </w:p>
        </w:tc>
        <w:tc>
          <w:tcPr>
            <w:tcW w:w="5927" w:type="dxa"/>
            <w:vAlign w:val="center"/>
          </w:tcPr>
          <w:p>
            <w:pPr>
              <w:topLinePunct/>
              <w:spacing w:line="440" w:lineRule="exact"/>
              <w:rPr>
                <w:rFonts w:ascii="宋体" w:hAnsi="宋体"/>
                <w:szCs w:val="21"/>
              </w:rPr>
            </w:pPr>
          </w:p>
        </w:tc>
      </w:tr>
    </w:tbl>
    <w:p>
      <w:pPr>
        <w:pStyle w:val="126"/>
        <w:rPr>
          <w:rFonts w:ascii="宋体" w:hAnsi="宋体" w:eastAsia="宋体"/>
          <w:szCs w:val="23"/>
        </w:rPr>
      </w:pPr>
      <w:bookmarkStart w:id="165" w:name="_Toc152045811"/>
      <w:bookmarkStart w:id="166" w:name="_Toc245036715"/>
      <w:bookmarkStart w:id="167" w:name="_Toc152042600"/>
      <w:bookmarkStart w:id="168" w:name="_Toc26600"/>
      <w:bookmarkStart w:id="169" w:name="_Toc144974879"/>
      <w:r>
        <w:rPr>
          <w:rFonts w:hint="eastAsia" w:ascii="宋体" w:hAnsi="宋体" w:eastAsia="宋体"/>
          <w:szCs w:val="23"/>
        </w:rPr>
        <w:br w:type="page"/>
      </w:r>
      <w:r>
        <w:rPr>
          <w:rFonts w:hint="eastAsia" w:ascii="宋体" w:hAnsi="宋体" w:eastAsia="宋体"/>
          <w:szCs w:val="23"/>
        </w:rPr>
        <w:t>（四）正在施工的和新承接的项目情况表</w:t>
      </w:r>
      <w:bookmarkEnd w:id="165"/>
      <w:bookmarkEnd w:id="166"/>
      <w:bookmarkEnd w:id="167"/>
      <w:bookmarkEnd w:id="168"/>
      <w:bookmarkEnd w:id="169"/>
    </w:p>
    <w:p>
      <w:pPr>
        <w:keepNext/>
        <w:keepLines/>
        <w:topLinePunct/>
        <w:spacing w:before="240" w:beforeLines="100" w:line="280" w:lineRule="exact"/>
        <w:outlineLvl w:val="2"/>
        <w:rPr>
          <w:rFonts w:ascii="宋体" w:hAnsi="宋体"/>
          <w:b/>
          <w:bCs/>
          <w:szCs w:val="21"/>
        </w:rPr>
      </w:pP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bookmarkStart w:id="170" w:name="_Toc5773"/>
            <w:bookmarkStart w:id="171" w:name="_Toc152042601"/>
            <w:bookmarkStart w:id="172" w:name="_Toc245036716"/>
            <w:bookmarkStart w:id="173" w:name="_Toc152045812"/>
            <w:bookmarkStart w:id="174" w:name="_Toc144974880"/>
            <w:r>
              <w:rPr>
                <w:rFonts w:hint="eastAsia" w:ascii="宋体" w:hAnsi="宋体"/>
                <w:szCs w:val="21"/>
              </w:rPr>
              <w:t>项目名称</w:t>
            </w:r>
            <w:bookmarkEnd w:id="170"/>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项目所在地</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发包人名称</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发包人地址</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发包人电话</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签约合同价</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开工日期</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计划竣工日期</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承担的工作</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工程质量</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项目经理</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技术负责人</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总监理工程师及电话</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2376" w:type="dxa"/>
            <w:vAlign w:val="center"/>
          </w:tcPr>
          <w:p>
            <w:pPr>
              <w:topLinePunct/>
              <w:spacing w:line="440" w:lineRule="exact"/>
              <w:rPr>
                <w:rFonts w:ascii="宋体" w:hAnsi="宋体"/>
                <w:szCs w:val="21"/>
              </w:rPr>
            </w:pPr>
            <w:r>
              <w:rPr>
                <w:rFonts w:hint="eastAsia" w:ascii="宋体" w:hAnsi="宋体"/>
                <w:szCs w:val="21"/>
              </w:rPr>
              <w:t>项目描述</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备注</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bookmarkEnd w:id="171"/>
      <w:bookmarkEnd w:id="172"/>
      <w:bookmarkEnd w:id="173"/>
      <w:bookmarkEnd w:id="174"/>
    </w:tbl>
    <w:p>
      <w:pPr>
        <w:spacing w:line="440" w:lineRule="exact"/>
        <w:rPr>
          <w:rFonts w:ascii="宋体" w:hAnsi="宋体"/>
          <w:sz w:val="20"/>
          <w:szCs w:val="20"/>
        </w:rPr>
      </w:pPr>
    </w:p>
    <w:p>
      <w:pPr>
        <w:spacing w:line="440" w:lineRule="exact"/>
        <w:jc w:val="center"/>
        <w:rPr>
          <w:rFonts w:ascii="Calibri" w:hAnsi="Calibri" w:eastAsia="黑体" w:cs="Calibri"/>
          <w:color w:val="000000"/>
          <w:sz w:val="32"/>
          <w:szCs w:val="32"/>
        </w:rPr>
      </w:pPr>
      <w:bookmarkStart w:id="175" w:name="_Toc675"/>
      <w:bookmarkStart w:id="176" w:name="_Toc152045813"/>
      <w:bookmarkStart w:id="177" w:name="_Toc144974881"/>
      <w:bookmarkStart w:id="178" w:name="_Toc152042602"/>
      <w:bookmarkStart w:id="179" w:name="_Toc245036717"/>
      <w:r>
        <w:rPr>
          <w:rFonts w:hint="eastAsia" w:ascii="宋体" w:hAnsi="宋体" w:eastAsia="宋体"/>
        </w:rPr>
        <w:br w:type="page"/>
      </w:r>
      <w:r>
        <w:rPr>
          <w:rFonts w:hint="eastAsia" w:ascii="Calibri" w:hAnsi="Calibri" w:eastAsia="黑体" w:cs="Calibri"/>
          <w:color w:val="000000"/>
          <w:sz w:val="32"/>
          <w:szCs w:val="32"/>
        </w:rPr>
        <w:t>八、</w:t>
      </w:r>
      <w:bookmarkEnd w:id="175"/>
      <w:bookmarkEnd w:id="176"/>
      <w:bookmarkEnd w:id="177"/>
      <w:bookmarkEnd w:id="178"/>
      <w:bookmarkEnd w:id="179"/>
      <w:bookmarkStart w:id="180" w:name="_Toc21221"/>
      <w:r>
        <w:rPr>
          <w:rFonts w:hint="eastAsia" w:ascii="Calibri" w:hAnsi="Calibri" w:eastAsia="黑体" w:cs="Calibri"/>
          <w:color w:val="000000"/>
          <w:sz w:val="32"/>
          <w:szCs w:val="32"/>
        </w:rPr>
        <w:t>投标人认为</w:t>
      </w:r>
      <w:r>
        <w:rPr>
          <w:rFonts w:ascii="Calibri" w:hAnsi="Calibri" w:eastAsia="黑体" w:cs="Calibri"/>
          <w:color w:val="000000"/>
          <w:sz w:val="32"/>
          <w:szCs w:val="32"/>
        </w:rPr>
        <w:t>应该提供的其他材料</w:t>
      </w:r>
    </w:p>
    <w:bookmarkEnd w:id="180"/>
    <w:p>
      <w:pPr>
        <w:overflowPunct w:val="0"/>
        <w:autoSpaceDE w:val="0"/>
        <w:autoSpaceDN w:val="0"/>
        <w:spacing w:line="440" w:lineRule="exact"/>
        <w:ind w:left="839" w:hanging="839"/>
        <w:jc w:val="center"/>
        <w:rPr>
          <w:rFonts w:ascii="宋体" w:hAnsi="宋体" w:cs="宋体"/>
          <w:b/>
          <w:sz w:val="32"/>
          <w:szCs w:val="32"/>
        </w:rPr>
      </w:pPr>
    </w:p>
    <w:p/>
    <w:bookmarkEnd w:id="40"/>
    <w:p>
      <w:pPr>
        <w:adjustRightInd w:val="0"/>
        <w:snapToGrid w:val="0"/>
        <w:spacing w:line="360" w:lineRule="exact"/>
        <w:ind w:firstLine="440"/>
        <w:rPr>
          <w:rFonts w:ascii="宋体" w:hAnsi="宋体" w:cs="Calibri"/>
          <w:kern w:val="0"/>
          <w:sz w:val="22"/>
        </w:rPr>
      </w:pPr>
    </w:p>
    <w:p/>
    <w:p/>
    <w:p/>
    <w:p/>
    <w:p/>
    <w:p/>
    <w:sectPr>
      <w:footerReference r:id="rId7" w:type="first"/>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11381"/>
    </w:sdtPr>
    <w:sdtContent>
      <w:p>
        <w:pPr>
          <w:pStyle w:val="34"/>
          <w:jc w:val="center"/>
        </w:pPr>
        <w:r>
          <w:fldChar w:fldCharType="begin"/>
        </w:r>
        <w:r>
          <w:instrText xml:space="preserve"> PAGE   \* MERGEFORMAT </w:instrText>
        </w:r>
        <w:r>
          <w:fldChar w:fldCharType="separate"/>
        </w:r>
        <w:r>
          <w:rPr>
            <w:lang w:val="zh-CN"/>
          </w:rPr>
          <w:t>-</w:t>
        </w:r>
        <w:r>
          <w:t xml:space="preserve"> 21 -</w:t>
        </w:r>
        <w:r>
          <w:fldChar w:fldCharType="end"/>
        </w:r>
      </w:p>
    </w:sdtContent>
  </w:sdt>
  <w:p>
    <w:pPr>
      <w:pStyle w:val="34"/>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56"/>
      </w:rPr>
    </w:pPr>
    <w:r>
      <w:fldChar w:fldCharType="begin"/>
    </w:r>
    <w:r>
      <w:rPr>
        <w:rStyle w:val="56"/>
      </w:rPr>
      <w:instrText xml:space="preserve">PAGE  </w:instrText>
    </w:r>
    <w:r>
      <w:fldChar w:fldCharType="end"/>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p>
  <w:p>
    <w:pPr>
      <w:pStyle w:val="3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56"/>
      </w:rPr>
    </w:pPr>
    <w:r>
      <w:fldChar w:fldCharType="begin"/>
    </w:r>
    <w:r>
      <w:rPr>
        <w:rStyle w:val="56"/>
      </w:rPr>
      <w:instrText xml:space="preserve">PAGE  </w:instrText>
    </w:r>
    <w:r>
      <w:fldChar w:fldCharType="separate"/>
    </w:r>
    <w:r>
      <w:rPr>
        <w:rStyle w:val="56"/>
      </w:rPr>
      <w:t>40</w:t>
    </w:r>
    <w:r>
      <w:fldChar w:fldCharType="end"/>
    </w:r>
  </w:p>
  <w:p>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Bdr>
        <w:top w:val="none" w:color="auto" w:sz="0" w:space="0"/>
        <w:left w:val="none" w:color="auto" w:sz="0" w:space="0"/>
        <w:bottom w:val="single" w:color="auto" w:sz="4" w:space="1"/>
        <w:right w:val="none" w:color="auto" w:sz="0" w:space="0"/>
      </w:pBdr>
      <w:rPr>
        <w:rFonts w:ascii="宋体" w:hAnsi="宋体"/>
        <w:szCs w:val="18"/>
      </w:rPr>
    </w:pPr>
    <w:r>
      <w:rPr>
        <w:rFonts w:hint="eastAsia" w:ascii="宋体" w:hAnsi="宋体"/>
        <w:color w:val="000000"/>
        <w:szCs w:val="18"/>
      </w:rPr>
      <w:t>浙江航空开发有限责任公司药品仓储基地3#库屋面维修项目招标文件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tentative="0">
      <w:start w:val="1"/>
      <w:numFmt w:val="bullet"/>
      <w:pStyle w:val="26"/>
      <w:lvlText w:val=""/>
      <w:lvlJc w:val="left"/>
      <w:pPr>
        <w:tabs>
          <w:tab w:val="left" w:pos="780"/>
        </w:tabs>
        <w:ind w:left="780" w:hanging="360"/>
      </w:pPr>
      <w:rPr>
        <w:rFonts w:hint="default" w:ascii="Wingdings" w:hAnsi="Wingdings"/>
      </w:rPr>
    </w:lvl>
  </w:abstractNum>
  <w:abstractNum w:abstractNumId="1">
    <w:nsid w:val="FFFFFF89"/>
    <w:multiLevelType w:val="singleLevel"/>
    <w:tmpl w:val="FFFFFF89"/>
    <w:lvl w:ilvl="0" w:tentative="0">
      <w:start w:val="1"/>
      <w:numFmt w:val="bullet"/>
      <w:pStyle w:val="17"/>
      <w:lvlText w:val=""/>
      <w:lvlJc w:val="left"/>
      <w:pPr>
        <w:tabs>
          <w:tab w:val="left" w:pos="360"/>
        </w:tabs>
        <w:ind w:left="360" w:hanging="360"/>
      </w:pPr>
      <w:rPr>
        <w:rFonts w:hint="default" w:ascii="Wingdings" w:hAnsi="Wingdings"/>
      </w:rPr>
    </w:lvl>
  </w:abstractNum>
  <w:abstractNum w:abstractNumId="2">
    <w:nsid w:val="0C2BE856"/>
    <w:multiLevelType w:val="singleLevel"/>
    <w:tmpl w:val="0C2BE856"/>
    <w:lvl w:ilvl="0" w:tentative="0">
      <w:start w:val="1"/>
      <w:numFmt w:val="decimal"/>
      <w:suff w:val="nothing"/>
      <w:lvlText w:val="（%1）"/>
      <w:lvlJc w:val="left"/>
    </w:lvl>
  </w:abstractNum>
  <w:abstractNum w:abstractNumId="3">
    <w:nsid w:val="13D44F69"/>
    <w:multiLevelType w:val="multilevel"/>
    <w:tmpl w:val="13D44F69"/>
    <w:lvl w:ilvl="0" w:tentative="0">
      <w:start w:val="1"/>
      <w:numFmt w:val="japaneseCounting"/>
      <w:lvlText w:val="%1、"/>
      <w:lvlJc w:val="left"/>
      <w:pPr>
        <w:ind w:left="480" w:hanging="48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4">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5">
    <w:nsid w:val="4F0A7143"/>
    <w:multiLevelType w:val="multilevel"/>
    <w:tmpl w:val="4F0A714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896"/>
    <w:rsid w:val="00A11716"/>
    <w:rsid w:val="00E12CCD"/>
    <w:rsid w:val="00F47896"/>
    <w:rsid w:val="00F7401E"/>
    <w:rsid w:val="5E470223"/>
    <w:rsid w:val="755F7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9"/>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paragraph" w:styleId="3">
    <w:name w:val="heading 2"/>
    <w:basedOn w:val="1"/>
    <w:next w:val="1"/>
    <w:link w:val="60"/>
    <w:qFormat/>
    <w:uiPriority w:val="0"/>
    <w:pPr>
      <w:keepNext/>
      <w:keepLines/>
      <w:spacing w:before="260" w:after="260" w:line="360" w:lineRule="auto"/>
      <w:jc w:val="center"/>
      <w:outlineLvl w:val="1"/>
    </w:pPr>
    <w:rPr>
      <w:rFonts w:ascii="Arial" w:hAnsi="Arial" w:eastAsia="宋体" w:cs="Times New Roman"/>
      <w:b/>
      <w:bCs/>
      <w:kern w:val="0"/>
      <w:sz w:val="28"/>
      <w:szCs w:val="32"/>
    </w:rPr>
  </w:style>
  <w:style w:type="paragraph" w:styleId="4">
    <w:name w:val="heading 3"/>
    <w:basedOn w:val="1"/>
    <w:next w:val="1"/>
    <w:link w:val="61"/>
    <w:qFormat/>
    <w:uiPriority w:val="0"/>
    <w:pPr>
      <w:keepNext/>
      <w:numPr>
        <w:ilvl w:val="0"/>
        <w:numId w:val="1"/>
      </w:numPr>
      <w:spacing w:line="216" w:lineRule="auto"/>
      <w:outlineLvl w:val="2"/>
    </w:pPr>
    <w:rPr>
      <w:rFonts w:ascii="宋体" w:hAnsi="Times New Roman" w:eastAsia="宋体" w:cs="Times New Roman"/>
      <w:b/>
      <w:kern w:val="0"/>
      <w:sz w:val="28"/>
      <w:szCs w:val="20"/>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63"/>
    <w:qFormat/>
    <w:uiPriority w:val="0"/>
    <w:pPr>
      <w:keepNext/>
      <w:keepLines/>
      <w:spacing w:before="280" w:after="290" w:line="376" w:lineRule="auto"/>
      <w:outlineLvl w:val="4"/>
    </w:pPr>
    <w:rPr>
      <w:rFonts w:ascii="Times New Roman" w:hAnsi="Times New Roman" w:eastAsia="宋体" w:cs="Times New Roman"/>
      <w:b/>
      <w:bCs/>
      <w:kern w:val="0"/>
      <w:sz w:val="28"/>
      <w:szCs w:val="28"/>
    </w:rPr>
  </w:style>
  <w:style w:type="paragraph" w:styleId="7">
    <w:name w:val="heading 6"/>
    <w:basedOn w:val="1"/>
    <w:next w:val="1"/>
    <w:link w:val="64"/>
    <w:qFormat/>
    <w:uiPriority w:val="0"/>
    <w:pPr>
      <w:keepNext/>
      <w:keepLines/>
      <w:spacing w:before="240" w:after="64" w:line="320" w:lineRule="auto"/>
      <w:outlineLvl w:val="5"/>
    </w:pPr>
    <w:rPr>
      <w:rFonts w:ascii="Arial" w:hAnsi="Arial" w:eastAsia="黑体" w:cs="Times New Roman"/>
      <w:b/>
      <w:bCs/>
      <w:kern w:val="0"/>
      <w:sz w:val="24"/>
      <w:szCs w:val="24"/>
    </w:rPr>
  </w:style>
  <w:style w:type="paragraph" w:styleId="8">
    <w:name w:val="heading 7"/>
    <w:basedOn w:val="1"/>
    <w:next w:val="1"/>
    <w:link w:val="65"/>
    <w:qFormat/>
    <w:uiPriority w:val="0"/>
    <w:pPr>
      <w:keepNext/>
      <w:keepLines/>
      <w:tabs>
        <w:tab w:val="left" w:pos="1296"/>
      </w:tabs>
      <w:spacing w:before="240" w:after="64" w:line="320" w:lineRule="auto"/>
      <w:ind w:left="1296" w:hanging="1296"/>
      <w:outlineLvl w:val="6"/>
    </w:pPr>
    <w:rPr>
      <w:rFonts w:ascii="Times New Roman" w:hAnsi="Times New Roman" w:eastAsia="宋体" w:cs="Times New Roman"/>
      <w:b/>
      <w:bCs/>
      <w:kern w:val="0"/>
      <w:sz w:val="24"/>
      <w:szCs w:val="24"/>
    </w:rPr>
  </w:style>
  <w:style w:type="paragraph" w:styleId="9">
    <w:name w:val="heading 8"/>
    <w:basedOn w:val="1"/>
    <w:next w:val="1"/>
    <w:link w:val="66"/>
    <w:qFormat/>
    <w:uiPriority w:val="0"/>
    <w:pPr>
      <w:keepNext/>
      <w:keepLines/>
      <w:tabs>
        <w:tab w:val="left" w:pos="1440"/>
      </w:tabs>
      <w:spacing w:before="240" w:after="64" w:line="320" w:lineRule="auto"/>
      <w:ind w:left="1440" w:hanging="1440"/>
      <w:outlineLvl w:val="7"/>
    </w:pPr>
    <w:rPr>
      <w:rFonts w:ascii="Arial" w:hAnsi="Arial" w:eastAsia="黑体" w:cs="Times New Roman"/>
      <w:kern w:val="0"/>
      <w:sz w:val="24"/>
      <w:szCs w:val="24"/>
    </w:rPr>
  </w:style>
  <w:style w:type="paragraph" w:styleId="10">
    <w:name w:val="heading 9"/>
    <w:basedOn w:val="1"/>
    <w:next w:val="1"/>
    <w:link w:val="67"/>
    <w:qFormat/>
    <w:uiPriority w:val="0"/>
    <w:pPr>
      <w:keepNext/>
      <w:keepLines/>
      <w:tabs>
        <w:tab w:val="left" w:pos="1584"/>
      </w:tabs>
      <w:spacing w:before="240" w:after="64" w:line="320" w:lineRule="auto"/>
      <w:ind w:left="1584" w:hanging="1584"/>
      <w:outlineLvl w:val="8"/>
    </w:pPr>
    <w:rPr>
      <w:rFonts w:ascii="Arial" w:hAnsi="Arial" w:eastAsia="黑体" w:cs="Times New Roman"/>
      <w:kern w:val="0"/>
      <w:sz w:val="20"/>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Times New Roman" w:hAnsi="Times New Roman" w:eastAsia="宋体" w:cs="Times New Roman"/>
      <w:szCs w:val="24"/>
    </w:rPr>
  </w:style>
  <w:style w:type="paragraph" w:styleId="12">
    <w:name w:val="toc 7"/>
    <w:basedOn w:val="1"/>
    <w:next w:val="1"/>
    <w:qFormat/>
    <w:uiPriority w:val="0"/>
    <w:pPr>
      <w:ind w:left="1260"/>
      <w:jc w:val="left"/>
    </w:pPr>
    <w:rPr>
      <w:rFonts w:ascii="Times New Roman" w:hAnsi="Times New Roman" w:eastAsia="宋体" w:cs="Times New Roman"/>
      <w:sz w:val="20"/>
      <w:szCs w:val="20"/>
    </w:rPr>
  </w:style>
  <w:style w:type="paragraph" w:styleId="13">
    <w:name w:val="table of authorities"/>
    <w:basedOn w:val="1"/>
    <w:next w:val="1"/>
    <w:qFormat/>
    <w:uiPriority w:val="0"/>
    <w:pPr>
      <w:ind w:left="420" w:leftChars="200"/>
    </w:pPr>
    <w:rPr>
      <w:rFonts w:ascii="Times New Roman" w:hAnsi="Times New Roman" w:eastAsia="宋体" w:cs="Times New Roman"/>
      <w:szCs w:val="24"/>
    </w:rPr>
  </w:style>
  <w:style w:type="paragraph" w:styleId="14">
    <w:name w:val="Normal Indent"/>
    <w:basedOn w:val="1"/>
    <w:qFormat/>
    <w:uiPriority w:val="0"/>
    <w:pPr>
      <w:ind w:firstLine="420"/>
    </w:pPr>
    <w:rPr>
      <w:rFonts w:ascii="Times New Roman" w:hAnsi="Times New Roman" w:eastAsia="宋体" w:cs="Times New Roman"/>
      <w:szCs w:val="20"/>
    </w:rPr>
  </w:style>
  <w:style w:type="paragraph" w:styleId="15">
    <w:name w:val="caption"/>
    <w:basedOn w:val="1"/>
    <w:next w:val="1"/>
    <w:qFormat/>
    <w:uiPriority w:val="0"/>
    <w:rPr>
      <w:rFonts w:ascii="Arial" w:hAnsi="Arial" w:eastAsia="黑体" w:cs="Arial"/>
      <w:sz w:val="20"/>
      <w:szCs w:val="20"/>
    </w:rPr>
  </w:style>
  <w:style w:type="paragraph" w:styleId="16">
    <w:name w:val="index 5"/>
    <w:basedOn w:val="1"/>
    <w:next w:val="1"/>
    <w:qFormat/>
    <w:uiPriority w:val="0"/>
    <w:pPr>
      <w:ind w:left="800" w:leftChars="800"/>
    </w:pPr>
    <w:rPr>
      <w:rFonts w:ascii="Times New Roman" w:hAnsi="Times New Roman" w:eastAsia="宋体" w:cs="Times New Roman"/>
      <w:szCs w:val="24"/>
    </w:rPr>
  </w:style>
  <w:style w:type="paragraph" w:styleId="17">
    <w:name w:val="List Bullet"/>
    <w:basedOn w:val="1"/>
    <w:qFormat/>
    <w:uiPriority w:val="0"/>
    <w:pPr>
      <w:numPr>
        <w:ilvl w:val="0"/>
        <w:numId w:val="2"/>
      </w:numPr>
    </w:pPr>
    <w:rPr>
      <w:rFonts w:ascii="Times New Roman" w:hAnsi="Times New Roman" w:eastAsia="宋体" w:cs="Times New Roman"/>
      <w:szCs w:val="24"/>
    </w:rPr>
  </w:style>
  <w:style w:type="paragraph" w:styleId="18">
    <w:name w:val="Document Map"/>
    <w:basedOn w:val="1"/>
    <w:link w:val="68"/>
    <w:qFormat/>
    <w:uiPriority w:val="0"/>
    <w:pPr>
      <w:shd w:val="clear" w:color="auto" w:fill="000080"/>
    </w:pPr>
    <w:rPr>
      <w:rFonts w:ascii="Times New Roman" w:hAnsi="Times New Roman" w:eastAsia="宋体" w:cs="Times New Roman"/>
      <w:kern w:val="0"/>
      <w:sz w:val="20"/>
    </w:rPr>
  </w:style>
  <w:style w:type="paragraph" w:styleId="19">
    <w:name w:val="annotation text"/>
    <w:basedOn w:val="1"/>
    <w:link w:val="69"/>
    <w:semiHidden/>
    <w:unhideWhenUsed/>
    <w:qFormat/>
    <w:uiPriority w:val="0"/>
    <w:pPr>
      <w:jc w:val="left"/>
    </w:pPr>
  </w:style>
  <w:style w:type="paragraph" w:styleId="20">
    <w:name w:val="Body Text 3"/>
    <w:basedOn w:val="1"/>
    <w:link w:val="70"/>
    <w:qFormat/>
    <w:uiPriority w:val="0"/>
    <w:pPr>
      <w:adjustRightInd w:val="0"/>
      <w:spacing w:after="120" w:line="360" w:lineRule="atLeast"/>
      <w:textAlignment w:val="baseline"/>
    </w:pPr>
    <w:rPr>
      <w:rFonts w:ascii="Times New Roman" w:hAnsi="Times New Roman" w:eastAsia="宋体" w:cs="Times New Roman"/>
      <w:kern w:val="0"/>
      <w:sz w:val="16"/>
      <w:szCs w:val="16"/>
    </w:rPr>
  </w:style>
  <w:style w:type="paragraph" w:styleId="21">
    <w:name w:val="Body Text"/>
    <w:basedOn w:val="1"/>
    <w:link w:val="71"/>
    <w:unhideWhenUsed/>
    <w:qFormat/>
    <w:uiPriority w:val="0"/>
    <w:pPr>
      <w:spacing w:after="120"/>
    </w:pPr>
  </w:style>
  <w:style w:type="paragraph" w:styleId="22">
    <w:name w:val="Body Text Indent"/>
    <w:basedOn w:val="1"/>
    <w:link w:val="72"/>
    <w:unhideWhenUsed/>
    <w:qFormat/>
    <w:uiPriority w:val="0"/>
    <w:pPr>
      <w:spacing w:after="120"/>
      <w:ind w:left="420" w:leftChars="200"/>
    </w:pPr>
    <w:rPr>
      <w:sz w:val="24"/>
      <w:szCs w:val="24"/>
    </w:rPr>
  </w:style>
  <w:style w:type="paragraph" w:styleId="23">
    <w:name w:val="List 2"/>
    <w:basedOn w:val="1"/>
    <w:qFormat/>
    <w:uiPriority w:val="0"/>
    <w:pPr>
      <w:ind w:left="100" w:leftChars="200" w:hanging="200" w:hangingChars="200"/>
    </w:pPr>
    <w:rPr>
      <w:rFonts w:ascii="Times New Roman" w:hAnsi="Times New Roman" w:eastAsia="宋体" w:cs="Times New Roman"/>
      <w:szCs w:val="24"/>
    </w:rPr>
  </w:style>
  <w:style w:type="paragraph" w:styleId="24">
    <w:name w:val="List Continue"/>
    <w:basedOn w:val="1"/>
    <w:qFormat/>
    <w:uiPriority w:val="0"/>
    <w:pPr>
      <w:spacing w:after="120"/>
      <w:ind w:left="420" w:leftChars="200"/>
    </w:pPr>
    <w:rPr>
      <w:rFonts w:ascii="Times New Roman" w:hAnsi="Times New Roman" w:eastAsia="宋体" w:cs="Times New Roman"/>
      <w:szCs w:val="24"/>
    </w:rPr>
  </w:style>
  <w:style w:type="paragraph" w:styleId="25">
    <w:name w:val="Block Text"/>
    <w:basedOn w:val="1"/>
    <w:qFormat/>
    <w:uiPriority w:val="0"/>
    <w:pPr>
      <w:spacing w:before="120" w:after="120" w:line="360" w:lineRule="auto"/>
      <w:ind w:left="525" w:right="202"/>
    </w:pPr>
    <w:rPr>
      <w:rFonts w:ascii="宋体" w:hAnsi="宋体" w:eastAsia="宋体" w:cs="Times New Roman"/>
      <w:spacing w:val="-4"/>
      <w:sz w:val="24"/>
      <w:szCs w:val="24"/>
    </w:rPr>
  </w:style>
  <w:style w:type="paragraph" w:styleId="26">
    <w:name w:val="List Bullet 2"/>
    <w:basedOn w:val="1"/>
    <w:qFormat/>
    <w:uiPriority w:val="0"/>
    <w:pPr>
      <w:numPr>
        <w:ilvl w:val="0"/>
        <w:numId w:val="3"/>
      </w:numPr>
    </w:pPr>
    <w:rPr>
      <w:rFonts w:ascii="Times New Roman" w:hAnsi="Times New Roman" w:eastAsia="宋体" w:cs="Times New Roman"/>
      <w:szCs w:val="24"/>
    </w:rPr>
  </w:style>
  <w:style w:type="paragraph" w:styleId="27">
    <w:name w:val="toc 5"/>
    <w:basedOn w:val="1"/>
    <w:next w:val="1"/>
    <w:qFormat/>
    <w:uiPriority w:val="0"/>
    <w:pPr>
      <w:ind w:left="840"/>
      <w:jc w:val="left"/>
    </w:pPr>
    <w:rPr>
      <w:rFonts w:ascii="Times New Roman" w:hAnsi="Times New Roman" w:eastAsia="宋体" w:cs="Times New Roman"/>
      <w:sz w:val="20"/>
      <w:szCs w:val="20"/>
    </w:rPr>
  </w:style>
  <w:style w:type="paragraph" w:styleId="28">
    <w:name w:val="toc 3"/>
    <w:basedOn w:val="1"/>
    <w:next w:val="1"/>
    <w:qFormat/>
    <w:uiPriority w:val="0"/>
    <w:pPr>
      <w:tabs>
        <w:tab w:val="left" w:pos="1050"/>
        <w:tab w:val="right" w:leader="dot" w:pos="8636"/>
      </w:tabs>
      <w:spacing w:line="360" w:lineRule="auto"/>
      <w:jc w:val="left"/>
    </w:pPr>
    <w:rPr>
      <w:rFonts w:ascii="楷体_GB2312" w:hAnsi="黑体" w:eastAsia="楷体_GB2312" w:cs="Times New Roman"/>
      <w:sz w:val="28"/>
      <w:szCs w:val="20"/>
    </w:rPr>
  </w:style>
  <w:style w:type="paragraph" w:styleId="29">
    <w:name w:val="Plain Text"/>
    <w:basedOn w:val="1"/>
    <w:link w:val="73"/>
    <w:qFormat/>
    <w:uiPriority w:val="0"/>
    <w:rPr>
      <w:rFonts w:ascii="宋体" w:hAnsi="Courier New" w:eastAsia="宋体" w:cs="Times New Roman"/>
      <w:kern w:val="0"/>
      <w:sz w:val="20"/>
      <w:szCs w:val="21"/>
    </w:rPr>
  </w:style>
  <w:style w:type="paragraph" w:styleId="30">
    <w:name w:val="toc 8"/>
    <w:basedOn w:val="1"/>
    <w:next w:val="1"/>
    <w:qFormat/>
    <w:uiPriority w:val="0"/>
    <w:pPr>
      <w:ind w:left="1470"/>
      <w:jc w:val="left"/>
    </w:pPr>
    <w:rPr>
      <w:rFonts w:ascii="Times New Roman" w:hAnsi="Times New Roman" w:eastAsia="宋体" w:cs="Times New Roman"/>
      <w:sz w:val="20"/>
      <w:szCs w:val="20"/>
    </w:rPr>
  </w:style>
  <w:style w:type="paragraph" w:styleId="31">
    <w:name w:val="Date"/>
    <w:basedOn w:val="1"/>
    <w:next w:val="1"/>
    <w:link w:val="74"/>
    <w:qFormat/>
    <w:uiPriority w:val="0"/>
    <w:pPr>
      <w:ind w:left="100" w:leftChars="2500"/>
    </w:pPr>
    <w:rPr>
      <w:rFonts w:ascii="Times New Roman" w:hAnsi="Times New Roman" w:eastAsia="宋体" w:cs="Times New Roman"/>
      <w:kern w:val="0"/>
      <w:sz w:val="20"/>
    </w:rPr>
  </w:style>
  <w:style w:type="paragraph" w:styleId="32">
    <w:name w:val="Body Text Indent 2"/>
    <w:basedOn w:val="1"/>
    <w:link w:val="75"/>
    <w:qFormat/>
    <w:uiPriority w:val="0"/>
    <w:pPr>
      <w:spacing w:after="120" w:line="480" w:lineRule="auto"/>
      <w:ind w:left="420" w:leftChars="200"/>
    </w:pPr>
    <w:rPr>
      <w:rFonts w:ascii="Times New Roman" w:hAnsi="Times New Roman" w:eastAsia="宋体" w:cs="Times New Roman"/>
      <w:kern w:val="0"/>
      <w:sz w:val="20"/>
    </w:rPr>
  </w:style>
  <w:style w:type="paragraph" w:styleId="33">
    <w:name w:val="Balloon Text"/>
    <w:basedOn w:val="1"/>
    <w:link w:val="76"/>
    <w:semiHidden/>
    <w:qFormat/>
    <w:uiPriority w:val="0"/>
    <w:rPr>
      <w:rFonts w:ascii="Times New Roman" w:hAnsi="Times New Roman" w:eastAsia="宋体" w:cs="Times New Roman"/>
      <w:kern w:val="0"/>
      <w:sz w:val="18"/>
      <w:szCs w:val="18"/>
    </w:rPr>
  </w:style>
  <w:style w:type="paragraph" w:styleId="34">
    <w:name w:val="footer"/>
    <w:basedOn w:val="1"/>
    <w:link w:val="77"/>
    <w:qFormat/>
    <w:uiPriority w:val="99"/>
    <w:pPr>
      <w:tabs>
        <w:tab w:val="center" w:pos="4153"/>
        <w:tab w:val="right" w:pos="8306"/>
      </w:tabs>
      <w:snapToGrid w:val="0"/>
      <w:jc w:val="left"/>
    </w:pPr>
    <w:rPr>
      <w:rFonts w:ascii="Times New Roman" w:hAnsi="Times New Roman" w:eastAsia="宋体" w:cs="Times New Roman"/>
      <w:kern w:val="0"/>
      <w:sz w:val="18"/>
      <w:szCs w:val="20"/>
    </w:rPr>
  </w:style>
  <w:style w:type="paragraph" w:styleId="35">
    <w:name w:val="header"/>
    <w:basedOn w:val="1"/>
    <w:link w:val="7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kern w:val="0"/>
      <w:sz w:val="18"/>
      <w:szCs w:val="20"/>
    </w:rPr>
  </w:style>
  <w:style w:type="paragraph" w:styleId="36">
    <w:name w:val="toc 1"/>
    <w:basedOn w:val="1"/>
    <w:next w:val="1"/>
    <w:qFormat/>
    <w:uiPriority w:val="39"/>
    <w:pPr>
      <w:adjustRightInd w:val="0"/>
      <w:snapToGrid w:val="0"/>
    </w:pPr>
    <w:rPr>
      <w:rFonts w:ascii="Times New Roman" w:hAnsi="Times New Roman" w:eastAsia="仿宋" w:cs="Times New Roman"/>
      <w:szCs w:val="24"/>
    </w:rPr>
  </w:style>
  <w:style w:type="paragraph" w:styleId="37">
    <w:name w:val="toc 4"/>
    <w:basedOn w:val="1"/>
    <w:next w:val="1"/>
    <w:qFormat/>
    <w:uiPriority w:val="0"/>
    <w:pPr>
      <w:ind w:left="630"/>
      <w:jc w:val="left"/>
    </w:pPr>
    <w:rPr>
      <w:rFonts w:ascii="楷体_GB2312" w:hAnsi="Times New Roman" w:eastAsia="楷体_GB2312" w:cs="Times New Roman"/>
      <w:sz w:val="28"/>
      <w:szCs w:val="20"/>
    </w:rPr>
  </w:style>
  <w:style w:type="paragraph" w:styleId="38">
    <w:name w:val="List"/>
    <w:basedOn w:val="1"/>
    <w:qFormat/>
    <w:uiPriority w:val="0"/>
    <w:pPr>
      <w:ind w:left="200" w:hanging="200" w:hangingChars="200"/>
    </w:pPr>
    <w:rPr>
      <w:rFonts w:ascii="Times New Roman" w:hAnsi="Times New Roman" w:eastAsia="宋体" w:cs="Times New Roman"/>
      <w:szCs w:val="24"/>
    </w:rPr>
  </w:style>
  <w:style w:type="paragraph" w:styleId="39">
    <w:name w:val="toc 6"/>
    <w:basedOn w:val="1"/>
    <w:next w:val="1"/>
    <w:qFormat/>
    <w:uiPriority w:val="0"/>
    <w:pPr>
      <w:ind w:left="1050"/>
      <w:jc w:val="left"/>
    </w:pPr>
    <w:rPr>
      <w:rFonts w:ascii="Times New Roman" w:hAnsi="Times New Roman" w:eastAsia="宋体" w:cs="Times New Roman"/>
      <w:sz w:val="20"/>
      <w:szCs w:val="20"/>
    </w:rPr>
  </w:style>
  <w:style w:type="paragraph" w:styleId="40">
    <w:name w:val="Body Text Indent 3"/>
    <w:basedOn w:val="1"/>
    <w:link w:val="79"/>
    <w:qFormat/>
    <w:uiPriority w:val="0"/>
    <w:pPr>
      <w:spacing w:after="120"/>
      <w:ind w:left="420" w:leftChars="200"/>
    </w:pPr>
    <w:rPr>
      <w:rFonts w:ascii="Times New Roman" w:hAnsi="Times New Roman" w:eastAsia="宋体" w:cs="Times New Roman"/>
      <w:kern w:val="0"/>
      <w:sz w:val="16"/>
      <w:szCs w:val="16"/>
    </w:rPr>
  </w:style>
  <w:style w:type="paragraph" w:styleId="41">
    <w:name w:val="toc 2"/>
    <w:basedOn w:val="1"/>
    <w:next w:val="1"/>
    <w:qFormat/>
    <w:uiPriority w:val="0"/>
    <w:pPr>
      <w:tabs>
        <w:tab w:val="left" w:pos="0"/>
        <w:tab w:val="left" w:pos="840"/>
        <w:tab w:val="right" w:leader="dot" w:pos="8688"/>
      </w:tabs>
      <w:adjustRightInd w:val="0"/>
      <w:snapToGrid w:val="0"/>
      <w:spacing w:before="120"/>
      <w:jc w:val="left"/>
    </w:pPr>
    <w:rPr>
      <w:rFonts w:ascii="楷体_GB2312" w:hAnsi="Times New Roman" w:eastAsia="仿宋" w:cs="Times New Roman"/>
      <w:sz w:val="24"/>
      <w:szCs w:val="28"/>
    </w:rPr>
  </w:style>
  <w:style w:type="paragraph" w:styleId="42">
    <w:name w:val="toc 9"/>
    <w:basedOn w:val="1"/>
    <w:next w:val="1"/>
    <w:qFormat/>
    <w:uiPriority w:val="0"/>
    <w:pPr>
      <w:ind w:left="1680"/>
      <w:jc w:val="left"/>
    </w:pPr>
    <w:rPr>
      <w:rFonts w:ascii="Times New Roman" w:hAnsi="Times New Roman" w:eastAsia="宋体" w:cs="Times New Roman"/>
      <w:sz w:val="20"/>
      <w:szCs w:val="20"/>
    </w:rPr>
  </w:style>
  <w:style w:type="paragraph" w:styleId="43">
    <w:name w:val="Body Text 2"/>
    <w:basedOn w:val="1"/>
    <w:link w:val="80"/>
    <w:unhideWhenUsed/>
    <w:qFormat/>
    <w:uiPriority w:val="0"/>
    <w:pPr>
      <w:spacing w:after="120" w:line="480" w:lineRule="auto"/>
    </w:pPr>
    <w:rPr>
      <w:rFonts w:ascii="Times New Roman" w:hAnsi="Times New Roman" w:eastAsia="宋体" w:cs="Times New Roman"/>
      <w:kern w:val="0"/>
      <w:sz w:val="20"/>
    </w:rPr>
  </w:style>
  <w:style w:type="paragraph" w:styleId="44">
    <w:name w:val="List 4"/>
    <w:basedOn w:val="1"/>
    <w:qFormat/>
    <w:uiPriority w:val="0"/>
    <w:pPr>
      <w:ind w:left="100" w:leftChars="600" w:hanging="200" w:hangingChars="200"/>
    </w:pPr>
    <w:rPr>
      <w:rFonts w:ascii="Times New Roman" w:hAnsi="Times New Roman" w:eastAsia="宋体" w:cs="Times New Roman"/>
      <w:szCs w:val="24"/>
    </w:rPr>
  </w:style>
  <w:style w:type="paragraph" w:styleId="45">
    <w:name w:val="List Continue 2"/>
    <w:basedOn w:val="1"/>
    <w:qFormat/>
    <w:uiPriority w:val="0"/>
    <w:pPr>
      <w:spacing w:after="120"/>
      <w:ind w:left="840" w:leftChars="400"/>
    </w:pPr>
    <w:rPr>
      <w:rFonts w:ascii="Times New Roman" w:hAnsi="Times New Roman" w:eastAsia="宋体" w:cs="Times New Roman"/>
      <w:szCs w:val="24"/>
    </w:rPr>
  </w:style>
  <w:style w:type="paragraph" w:styleId="46">
    <w:name w:val="Normal (Web)"/>
    <w:basedOn w:val="1"/>
    <w:qFormat/>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47">
    <w:name w:val="index 1"/>
    <w:basedOn w:val="1"/>
    <w:next w:val="1"/>
    <w:qFormat/>
    <w:uiPriority w:val="0"/>
    <w:pPr>
      <w:adjustRightInd w:val="0"/>
      <w:snapToGrid w:val="0"/>
      <w:jc w:val="center"/>
    </w:pPr>
    <w:rPr>
      <w:rFonts w:ascii="Times New Roman" w:hAnsi="Times New Roman" w:eastAsia="宋体" w:cs="Times New Roman"/>
      <w:szCs w:val="20"/>
    </w:rPr>
  </w:style>
  <w:style w:type="paragraph" w:styleId="48">
    <w:name w:val="Title"/>
    <w:basedOn w:val="1"/>
    <w:next w:val="1"/>
    <w:link w:val="81"/>
    <w:qFormat/>
    <w:uiPriority w:val="0"/>
    <w:pPr>
      <w:spacing w:before="60" w:after="60"/>
      <w:jc w:val="center"/>
      <w:outlineLvl w:val="0"/>
    </w:pPr>
    <w:rPr>
      <w:rFonts w:ascii="Cambria" w:hAnsi="Cambria" w:eastAsia="黑体" w:cs="Times New Roman"/>
      <w:b/>
      <w:bCs/>
      <w:kern w:val="0"/>
      <w:sz w:val="32"/>
      <w:szCs w:val="32"/>
    </w:rPr>
  </w:style>
  <w:style w:type="paragraph" w:styleId="49">
    <w:name w:val="annotation subject"/>
    <w:basedOn w:val="19"/>
    <w:next w:val="19"/>
    <w:link w:val="82"/>
    <w:semiHidden/>
    <w:qFormat/>
    <w:uiPriority w:val="0"/>
    <w:rPr>
      <w:rFonts w:ascii="Times New Roman" w:hAnsi="Times New Roman" w:eastAsia="宋体" w:cs="Times New Roman"/>
      <w:b/>
      <w:bCs/>
      <w:kern w:val="0"/>
      <w:sz w:val="20"/>
    </w:rPr>
  </w:style>
  <w:style w:type="paragraph" w:styleId="50">
    <w:name w:val="Body Text First Indent"/>
    <w:basedOn w:val="21"/>
    <w:link w:val="83"/>
    <w:qFormat/>
    <w:uiPriority w:val="0"/>
    <w:pPr>
      <w:ind w:firstLine="420" w:firstLineChars="100"/>
    </w:pPr>
    <w:rPr>
      <w:rFonts w:ascii="Times New Roman" w:hAnsi="Times New Roman" w:eastAsia="宋体" w:cs="Times New Roman"/>
      <w:kern w:val="0"/>
      <w:sz w:val="20"/>
      <w:szCs w:val="24"/>
    </w:rPr>
  </w:style>
  <w:style w:type="paragraph" w:styleId="51">
    <w:name w:val="Body Text First Indent 2"/>
    <w:basedOn w:val="22"/>
    <w:link w:val="84"/>
    <w:qFormat/>
    <w:uiPriority w:val="0"/>
    <w:pPr>
      <w:ind w:firstLine="420" w:firstLineChars="200"/>
    </w:pPr>
    <w:rPr>
      <w:rFonts w:ascii="宋体" w:hAnsi="宋体" w:eastAsia="宋体" w:cs="Times New Roman"/>
      <w:kern w:val="0"/>
      <w:sz w:val="28"/>
      <w:szCs w:val="22"/>
    </w:rPr>
  </w:style>
  <w:style w:type="table" w:styleId="53">
    <w:name w:val="Table Grid"/>
    <w:basedOn w:val="52"/>
    <w:unhideWhenUsed/>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unhideWhenUsed/>
    <w:qFormat/>
    <w:uiPriority w:val="99"/>
    <w:rPr>
      <w:color w:val="800080"/>
      <w:u w:val="single"/>
    </w:rPr>
  </w:style>
  <w:style w:type="character" w:styleId="58">
    <w:name w:val="Hyperlink"/>
    <w:qFormat/>
    <w:uiPriority w:val="99"/>
    <w:rPr>
      <w:color w:val="0000FF"/>
      <w:u w:val="single"/>
    </w:rPr>
  </w:style>
  <w:style w:type="character" w:customStyle="1" w:styleId="59">
    <w:name w:val="标题 1 Char"/>
    <w:basedOn w:val="54"/>
    <w:link w:val="2"/>
    <w:qFormat/>
    <w:uiPriority w:val="0"/>
    <w:rPr>
      <w:rFonts w:ascii="Times New Roman" w:hAnsi="Times New Roman" w:eastAsia="宋体" w:cs="Times New Roman"/>
      <w:b/>
      <w:bCs/>
      <w:kern w:val="44"/>
      <w:sz w:val="30"/>
      <w:szCs w:val="44"/>
    </w:rPr>
  </w:style>
  <w:style w:type="character" w:customStyle="1" w:styleId="60">
    <w:name w:val="标题 2 Char"/>
    <w:basedOn w:val="54"/>
    <w:link w:val="3"/>
    <w:qFormat/>
    <w:uiPriority w:val="0"/>
    <w:rPr>
      <w:rFonts w:ascii="Arial" w:hAnsi="Arial" w:eastAsia="宋体" w:cs="Times New Roman"/>
      <w:b/>
      <w:bCs/>
      <w:kern w:val="0"/>
      <w:sz w:val="28"/>
      <w:szCs w:val="32"/>
    </w:rPr>
  </w:style>
  <w:style w:type="character" w:customStyle="1" w:styleId="61">
    <w:name w:val="标题 3 Char"/>
    <w:basedOn w:val="54"/>
    <w:link w:val="4"/>
    <w:qFormat/>
    <w:uiPriority w:val="0"/>
    <w:rPr>
      <w:rFonts w:ascii="宋体" w:hAnsi="Times New Roman" w:eastAsia="宋体" w:cs="Times New Roman"/>
      <w:b/>
      <w:kern w:val="0"/>
      <w:sz w:val="28"/>
      <w:szCs w:val="20"/>
    </w:rPr>
  </w:style>
  <w:style w:type="character" w:customStyle="1" w:styleId="62">
    <w:name w:val="标题 4 Char"/>
    <w:basedOn w:val="54"/>
    <w:link w:val="5"/>
    <w:qFormat/>
    <w:uiPriority w:val="0"/>
    <w:rPr>
      <w:rFonts w:ascii="Arial" w:hAnsi="Arial" w:eastAsia="黑体" w:cs="Times New Roman"/>
      <w:b/>
      <w:bCs/>
      <w:kern w:val="0"/>
      <w:sz w:val="28"/>
      <w:szCs w:val="28"/>
    </w:rPr>
  </w:style>
  <w:style w:type="character" w:customStyle="1" w:styleId="63">
    <w:name w:val="标题 5 Char"/>
    <w:basedOn w:val="54"/>
    <w:link w:val="6"/>
    <w:qFormat/>
    <w:uiPriority w:val="0"/>
    <w:rPr>
      <w:rFonts w:ascii="Times New Roman" w:hAnsi="Times New Roman" w:eastAsia="宋体" w:cs="Times New Roman"/>
      <w:b/>
      <w:bCs/>
      <w:kern w:val="0"/>
      <w:sz w:val="28"/>
      <w:szCs w:val="28"/>
    </w:rPr>
  </w:style>
  <w:style w:type="character" w:customStyle="1" w:styleId="64">
    <w:name w:val="标题 6 Char"/>
    <w:basedOn w:val="54"/>
    <w:link w:val="7"/>
    <w:qFormat/>
    <w:uiPriority w:val="0"/>
    <w:rPr>
      <w:rFonts w:ascii="Arial" w:hAnsi="Arial" w:eastAsia="黑体" w:cs="Times New Roman"/>
      <w:b/>
      <w:bCs/>
      <w:kern w:val="0"/>
      <w:sz w:val="24"/>
      <w:szCs w:val="24"/>
    </w:rPr>
  </w:style>
  <w:style w:type="character" w:customStyle="1" w:styleId="65">
    <w:name w:val="标题 7 Char"/>
    <w:basedOn w:val="54"/>
    <w:link w:val="8"/>
    <w:qFormat/>
    <w:uiPriority w:val="0"/>
    <w:rPr>
      <w:rFonts w:ascii="Times New Roman" w:hAnsi="Times New Roman" w:eastAsia="宋体" w:cs="Times New Roman"/>
      <w:b/>
      <w:bCs/>
      <w:kern w:val="0"/>
      <w:sz w:val="24"/>
      <w:szCs w:val="24"/>
    </w:rPr>
  </w:style>
  <w:style w:type="character" w:customStyle="1" w:styleId="66">
    <w:name w:val="标题 8 Char"/>
    <w:basedOn w:val="54"/>
    <w:link w:val="9"/>
    <w:qFormat/>
    <w:uiPriority w:val="0"/>
    <w:rPr>
      <w:rFonts w:ascii="Arial" w:hAnsi="Arial" w:eastAsia="黑体" w:cs="Times New Roman"/>
      <w:kern w:val="0"/>
      <w:sz w:val="24"/>
      <w:szCs w:val="24"/>
    </w:rPr>
  </w:style>
  <w:style w:type="character" w:customStyle="1" w:styleId="67">
    <w:name w:val="标题 9 Char"/>
    <w:basedOn w:val="54"/>
    <w:link w:val="10"/>
    <w:qFormat/>
    <w:uiPriority w:val="0"/>
    <w:rPr>
      <w:rFonts w:ascii="Arial" w:hAnsi="Arial" w:eastAsia="黑体" w:cs="Times New Roman"/>
      <w:kern w:val="0"/>
      <w:sz w:val="20"/>
      <w:szCs w:val="21"/>
    </w:rPr>
  </w:style>
  <w:style w:type="character" w:customStyle="1" w:styleId="68">
    <w:name w:val="文档结构图 Char"/>
    <w:basedOn w:val="54"/>
    <w:link w:val="18"/>
    <w:qFormat/>
    <w:uiPriority w:val="0"/>
    <w:rPr>
      <w:rFonts w:ascii="Times New Roman" w:hAnsi="Times New Roman" w:eastAsia="宋体" w:cs="Times New Roman"/>
      <w:kern w:val="0"/>
      <w:sz w:val="20"/>
      <w:shd w:val="clear" w:color="auto" w:fill="000080"/>
    </w:rPr>
  </w:style>
  <w:style w:type="character" w:customStyle="1" w:styleId="69">
    <w:name w:val="批注文字 Char"/>
    <w:basedOn w:val="54"/>
    <w:link w:val="19"/>
    <w:semiHidden/>
    <w:qFormat/>
    <w:uiPriority w:val="0"/>
  </w:style>
  <w:style w:type="character" w:customStyle="1" w:styleId="70">
    <w:name w:val="正文文本 3 Char"/>
    <w:basedOn w:val="54"/>
    <w:link w:val="20"/>
    <w:qFormat/>
    <w:uiPriority w:val="0"/>
    <w:rPr>
      <w:rFonts w:ascii="Times New Roman" w:hAnsi="Times New Roman" w:eastAsia="宋体" w:cs="Times New Roman"/>
      <w:kern w:val="0"/>
      <w:sz w:val="16"/>
      <w:szCs w:val="16"/>
    </w:rPr>
  </w:style>
  <w:style w:type="character" w:customStyle="1" w:styleId="71">
    <w:name w:val="正文文本 Char"/>
    <w:basedOn w:val="54"/>
    <w:link w:val="21"/>
    <w:qFormat/>
    <w:uiPriority w:val="0"/>
  </w:style>
  <w:style w:type="character" w:customStyle="1" w:styleId="72">
    <w:name w:val="正文文本缩进 Char"/>
    <w:basedOn w:val="54"/>
    <w:link w:val="22"/>
    <w:qFormat/>
    <w:uiPriority w:val="0"/>
    <w:rPr>
      <w:sz w:val="24"/>
      <w:szCs w:val="24"/>
    </w:rPr>
  </w:style>
  <w:style w:type="character" w:customStyle="1" w:styleId="73">
    <w:name w:val="纯文本 Char"/>
    <w:basedOn w:val="54"/>
    <w:link w:val="29"/>
    <w:qFormat/>
    <w:uiPriority w:val="0"/>
    <w:rPr>
      <w:rFonts w:ascii="宋体" w:hAnsi="Courier New" w:eastAsia="宋体" w:cs="Times New Roman"/>
      <w:kern w:val="0"/>
      <w:sz w:val="20"/>
      <w:szCs w:val="21"/>
    </w:rPr>
  </w:style>
  <w:style w:type="character" w:customStyle="1" w:styleId="74">
    <w:name w:val="日期 Char"/>
    <w:basedOn w:val="54"/>
    <w:link w:val="31"/>
    <w:qFormat/>
    <w:uiPriority w:val="0"/>
    <w:rPr>
      <w:rFonts w:ascii="Times New Roman" w:hAnsi="Times New Roman" w:eastAsia="宋体" w:cs="Times New Roman"/>
      <w:kern w:val="0"/>
      <w:sz w:val="20"/>
    </w:rPr>
  </w:style>
  <w:style w:type="character" w:customStyle="1" w:styleId="75">
    <w:name w:val="正文文本缩进 2 Char"/>
    <w:basedOn w:val="54"/>
    <w:link w:val="32"/>
    <w:qFormat/>
    <w:uiPriority w:val="0"/>
    <w:rPr>
      <w:rFonts w:ascii="Times New Roman" w:hAnsi="Times New Roman" w:eastAsia="宋体" w:cs="Times New Roman"/>
      <w:kern w:val="0"/>
      <w:sz w:val="20"/>
    </w:rPr>
  </w:style>
  <w:style w:type="character" w:customStyle="1" w:styleId="76">
    <w:name w:val="批注框文本 Char"/>
    <w:basedOn w:val="54"/>
    <w:link w:val="33"/>
    <w:semiHidden/>
    <w:qFormat/>
    <w:uiPriority w:val="0"/>
    <w:rPr>
      <w:rFonts w:ascii="Times New Roman" w:hAnsi="Times New Roman" w:eastAsia="宋体" w:cs="Times New Roman"/>
      <w:kern w:val="0"/>
      <w:sz w:val="18"/>
      <w:szCs w:val="18"/>
    </w:rPr>
  </w:style>
  <w:style w:type="character" w:customStyle="1" w:styleId="77">
    <w:name w:val="页脚 Char"/>
    <w:basedOn w:val="54"/>
    <w:link w:val="34"/>
    <w:qFormat/>
    <w:uiPriority w:val="99"/>
    <w:rPr>
      <w:rFonts w:ascii="Times New Roman" w:hAnsi="Times New Roman" w:eastAsia="宋体" w:cs="Times New Roman"/>
      <w:kern w:val="0"/>
      <w:sz w:val="18"/>
      <w:szCs w:val="20"/>
    </w:rPr>
  </w:style>
  <w:style w:type="character" w:customStyle="1" w:styleId="78">
    <w:name w:val="页眉 Char"/>
    <w:basedOn w:val="54"/>
    <w:link w:val="35"/>
    <w:qFormat/>
    <w:uiPriority w:val="0"/>
    <w:rPr>
      <w:rFonts w:ascii="Times New Roman" w:hAnsi="Times New Roman" w:eastAsia="宋体" w:cs="Times New Roman"/>
      <w:kern w:val="0"/>
      <w:sz w:val="18"/>
      <w:szCs w:val="20"/>
    </w:rPr>
  </w:style>
  <w:style w:type="character" w:customStyle="1" w:styleId="79">
    <w:name w:val="正文文本缩进 3 Char"/>
    <w:basedOn w:val="54"/>
    <w:link w:val="40"/>
    <w:qFormat/>
    <w:uiPriority w:val="0"/>
    <w:rPr>
      <w:rFonts w:ascii="Times New Roman" w:hAnsi="Times New Roman" w:eastAsia="宋体" w:cs="Times New Roman"/>
      <w:kern w:val="0"/>
      <w:sz w:val="16"/>
      <w:szCs w:val="16"/>
    </w:rPr>
  </w:style>
  <w:style w:type="character" w:customStyle="1" w:styleId="80">
    <w:name w:val="正文文本 2 Char"/>
    <w:basedOn w:val="54"/>
    <w:link w:val="43"/>
    <w:qFormat/>
    <w:uiPriority w:val="0"/>
    <w:rPr>
      <w:rFonts w:ascii="Times New Roman" w:hAnsi="Times New Roman" w:eastAsia="宋体" w:cs="Times New Roman"/>
      <w:kern w:val="0"/>
      <w:sz w:val="20"/>
    </w:rPr>
  </w:style>
  <w:style w:type="character" w:customStyle="1" w:styleId="81">
    <w:name w:val="标题 Char"/>
    <w:basedOn w:val="54"/>
    <w:link w:val="48"/>
    <w:qFormat/>
    <w:uiPriority w:val="0"/>
    <w:rPr>
      <w:rFonts w:ascii="Cambria" w:hAnsi="Cambria" w:eastAsia="黑体" w:cs="Times New Roman"/>
      <w:b/>
      <w:bCs/>
      <w:kern w:val="0"/>
      <w:sz w:val="32"/>
      <w:szCs w:val="32"/>
    </w:rPr>
  </w:style>
  <w:style w:type="character" w:customStyle="1" w:styleId="82">
    <w:name w:val="批注主题 Char"/>
    <w:basedOn w:val="69"/>
    <w:link w:val="49"/>
    <w:semiHidden/>
    <w:qFormat/>
    <w:uiPriority w:val="0"/>
    <w:rPr>
      <w:rFonts w:ascii="Times New Roman" w:hAnsi="Times New Roman" w:eastAsia="宋体" w:cs="Times New Roman"/>
      <w:b/>
      <w:bCs/>
      <w:kern w:val="0"/>
      <w:sz w:val="20"/>
    </w:rPr>
  </w:style>
  <w:style w:type="character" w:customStyle="1" w:styleId="83">
    <w:name w:val="正文首行缩进 Char"/>
    <w:basedOn w:val="71"/>
    <w:link w:val="50"/>
    <w:qFormat/>
    <w:uiPriority w:val="0"/>
    <w:rPr>
      <w:rFonts w:ascii="Times New Roman" w:hAnsi="Times New Roman" w:eastAsia="宋体" w:cs="Times New Roman"/>
      <w:kern w:val="0"/>
      <w:sz w:val="20"/>
      <w:szCs w:val="24"/>
    </w:rPr>
  </w:style>
  <w:style w:type="character" w:customStyle="1" w:styleId="84">
    <w:name w:val="正文首行缩进 2 Char"/>
    <w:basedOn w:val="72"/>
    <w:link w:val="51"/>
    <w:qFormat/>
    <w:uiPriority w:val="0"/>
    <w:rPr>
      <w:rFonts w:ascii="宋体" w:hAnsi="宋体" w:eastAsia="宋体" w:cs="Times New Roman"/>
      <w:kern w:val="0"/>
      <w:sz w:val="28"/>
      <w:szCs w:val="24"/>
    </w:rPr>
  </w:style>
  <w:style w:type="character" w:customStyle="1" w:styleId="85">
    <w:name w:val="font51"/>
    <w:qFormat/>
    <w:uiPriority w:val="0"/>
    <w:rPr>
      <w:rFonts w:hint="default" w:ascii="Times New Roman" w:hAnsi="Times New Roman" w:cs="Times New Roman"/>
      <w:b/>
      <w:color w:val="000000"/>
      <w:sz w:val="24"/>
      <w:szCs w:val="24"/>
      <w:u w:val="none"/>
    </w:rPr>
  </w:style>
  <w:style w:type="character" w:customStyle="1" w:styleId="86">
    <w:name w:val="Char Char"/>
    <w:qFormat/>
    <w:uiPriority w:val="0"/>
    <w:rPr>
      <w:rFonts w:ascii="宋体" w:hAnsi="Courier New" w:eastAsia="宋体" w:cs="Courier New"/>
      <w:kern w:val="2"/>
      <w:sz w:val="21"/>
      <w:szCs w:val="21"/>
      <w:lang w:val="en-US" w:eastAsia="zh-CN" w:bidi="ar-SA"/>
    </w:rPr>
  </w:style>
  <w:style w:type="character" w:customStyle="1" w:styleId="87">
    <w:name w:val="Char Char3"/>
    <w:qFormat/>
    <w:uiPriority w:val="0"/>
    <w:rPr>
      <w:rFonts w:eastAsia="宋体"/>
      <w:kern w:val="2"/>
      <w:sz w:val="18"/>
      <w:szCs w:val="18"/>
      <w:lang w:val="en-US" w:eastAsia="zh-CN" w:bidi="ar-SA"/>
    </w:rPr>
  </w:style>
  <w:style w:type="character" w:customStyle="1" w:styleId="88">
    <w:name w:val="font61"/>
    <w:qFormat/>
    <w:uiPriority w:val="0"/>
    <w:rPr>
      <w:rFonts w:hint="default" w:ascii="Times New Roman" w:hAnsi="Times New Roman" w:cs="Times New Roman"/>
      <w:color w:val="000000"/>
      <w:sz w:val="24"/>
      <w:szCs w:val="24"/>
      <w:u w:val="none"/>
    </w:rPr>
  </w:style>
  <w:style w:type="character" w:customStyle="1" w:styleId="89">
    <w:name w:val="font21"/>
    <w:qFormat/>
    <w:uiPriority w:val="0"/>
    <w:rPr>
      <w:rFonts w:hint="default" w:ascii="Times New Roman" w:hAnsi="Times New Roman" w:cs="Times New Roman"/>
      <w:color w:val="000000"/>
      <w:sz w:val="24"/>
      <w:szCs w:val="24"/>
      <w:u w:val="none"/>
      <w:vertAlign w:val="superscript"/>
    </w:rPr>
  </w:style>
  <w:style w:type="character" w:customStyle="1" w:styleId="90">
    <w:name w:val="font71"/>
    <w:qFormat/>
    <w:uiPriority w:val="0"/>
    <w:rPr>
      <w:rFonts w:hint="eastAsia" w:ascii="宋体" w:hAnsi="宋体" w:eastAsia="宋体" w:cs="宋体"/>
      <w:color w:val="000000"/>
      <w:sz w:val="24"/>
      <w:szCs w:val="24"/>
      <w:u w:val="none"/>
    </w:rPr>
  </w:style>
  <w:style w:type="character" w:customStyle="1" w:styleId="91">
    <w:name w:val="zbggmain style9"/>
    <w:basedOn w:val="54"/>
    <w:qFormat/>
    <w:uiPriority w:val="0"/>
  </w:style>
  <w:style w:type="character" w:customStyle="1" w:styleId="92">
    <w:name w:val="px1233"/>
    <w:basedOn w:val="54"/>
    <w:qFormat/>
    <w:uiPriority w:val="0"/>
  </w:style>
  <w:style w:type="character" w:customStyle="1" w:styleId="93">
    <w:name w:val="font11"/>
    <w:qFormat/>
    <w:uiPriority w:val="0"/>
    <w:rPr>
      <w:rFonts w:hint="default" w:ascii="Times New Roman" w:hAnsi="Times New Roman" w:cs="Times New Roman"/>
      <w:color w:val="000000"/>
      <w:sz w:val="21"/>
      <w:szCs w:val="21"/>
      <w:u w:val="none"/>
    </w:rPr>
  </w:style>
  <w:style w:type="character" w:customStyle="1" w:styleId="94">
    <w:name w:val="font41"/>
    <w:qFormat/>
    <w:uiPriority w:val="0"/>
    <w:rPr>
      <w:rFonts w:hint="eastAsia" w:ascii="宋体" w:hAnsi="宋体" w:eastAsia="宋体" w:cs="宋体"/>
      <w:b/>
      <w:color w:val="000000"/>
      <w:sz w:val="24"/>
      <w:szCs w:val="24"/>
      <w:u w:val="none"/>
    </w:rPr>
  </w:style>
  <w:style w:type="character" w:customStyle="1" w:styleId="95">
    <w:name w:val="正文文本字符"/>
    <w:qFormat/>
    <w:uiPriority w:val="0"/>
    <w:rPr>
      <w:rFonts w:ascii="Times New Roman" w:hAnsi="Times New Roman" w:eastAsia="宋体" w:cs="Times New Roman"/>
      <w:kern w:val="0"/>
      <w:sz w:val="20"/>
      <w:szCs w:val="24"/>
    </w:rPr>
  </w:style>
  <w:style w:type="character" w:customStyle="1" w:styleId="96">
    <w:name w:val="Char Char2"/>
    <w:qFormat/>
    <w:uiPriority w:val="0"/>
    <w:rPr>
      <w:rFonts w:eastAsia="宋体"/>
      <w:kern w:val="2"/>
      <w:sz w:val="18"/>
      <w:szCs w:val="18"/>
      <w:lang w:val="en-US" w:eastAsia="zh-CN" w:bidi="ar-SA"/>
    </w:rPr>
  </w:style>
  <w:style w:type="character" w:customStyle="1" w:styleId="97">
    <w:name w:val="font01"/>
    <w:qFormat/>
    <w:uiPriority w:val="0"/>
    <w:rPr>
      <w:rFonts w:hint="eastAsia" w:ascii="宋体" w:hAnsi="宋体" w:eastAsia="宋体" w:cs="宋体"/>
      <w:color w:val="000000"/>
      <w:sz w:val="21"/>
      <w:szCs w:val="21"/>
      <w:u w:val="none"/>
    </w:rPr>
  </w:style>
  <w:style w:type="character" w:customStyle="1" w:styleId="98">
    <w:name w:val="标题 Char1"/>
    <w:basedOn w:val="54"/>
    <w:qFormat/>
    <w:uiPriority w:val="10"/>
    <w:rPr>
      <w:rFonts w:eastAsia="宋体" w:asciiTheme="majorHAnsi" w:hAnsiTheme="majorHAnsi" w:cstheme="majorBidi"/>
      <w:b/>
      <w:bCs/>
      <w:sz w:val="32"/>
      <w:szCs w:val="32"/>
    </w:rPr>
  </w:style>
  <w:style w:type="paragraph" w:customStyle="1" w:styleId="99">
    <w:name w:val="样式1"/>
    <w:basedOn w:val="5"/>
    <w:qFormat/>
    <w:uiPriority w:val="0"/>
    <w:pPr>
      <w:tabs>
        <w:tab w:val="left" w:pos="864"/>
      </w:tabs>
      <w:spacing w:before="120" w:after="120" w:line="360" w:lineRule="auto"/>
      <w:ind w:left="864" w:hanging="864"/>
    </w:pPr>
    <w:rPr>
      <w:b w:val="0"/>
      <w:bCs w:val="0"/>
    </w:rPr>
  </w:style>
  <w:style w:type="paragraph" w:customStyle="1" w:styleId="100">
    <w:name w:val="Char Char Char1 Char Char Char Char"/>
    <w:basedOn w:val="1"/>
    <w:qFormat/>
    <w:uiPriority w:val="0"/>
    <w:rPr>
      <w:rFonts w:ascii="Times New Roman" w:hAnsi="Times New Roman" w:eastAsia="宋体" w:cs="Times New Roman"/>
      <w:szCs w:val="24"/>
    </w:rPr>
  </w:style>
  <w:style w:type="paragraph" w:customStyle="1" w:styleId="101">
    <w:name w:val="Char Char Char Char Char Char"/>
    <w:basedOn w:val="1"/>
    <w:qFormat/>
    <w:uiPriority w:val="0"/>
    <w:rPr>
      <w:rFonts w:ascii="Times New Roman" w:hAnsi="Times New Roman" w:eastAsia="宋体" w:cs="Times New Roman"/>
      <w:szCs w:val="24"/>
    </w:rPr>
  </w:style>
  <w:style w:type="paragraph" w:customStyle="1" w:styleId="102">
    <w:name w:val="Char Char Char Char"/>
    <w:basedOn w:val="1"/>
    <w:qFormat/>
    <w:uiPriority w:val="0"/>
    <w:rPr>
      <w:rFonts w:ascii="Times New Roman" w:hAnsi="Times New Roman" w:eastAsia="宋体" w:cs="Times New Roman"/>
      <w:szCs w:val="24"/>
    </w:rPr>
  </w:style>
  <w:style w:type="paragraph" w:customStyle="1" w:styleId="103">
    <w:name w:val="p0"/>
    <w:basedOn w:val="1"/>
    <w:qFormat/>
    <w:uiPriority w:val="0"/>
    <w:pPr>
      <w:widowControl/>
    </w:pPr>
    <w:rPr>
      <w:rFonts w:ascii="Times New Roman" w:hAnsi="Times New Roman" w:eastAsia="宋体" w:cs="Times New Roman"/>
      <w:kern w:val="0"/>
      <w:szCs w:val="21"/>
    </w:rPr>
  </w:style>
  <w:style w:type="paragraph" w:customStyle="1" w:styleId="104">
    <w:name w:val="Legal 3"/>
    <w:basedOn w:val="105"/>
    <w:next w:val="105"/>
    <w:qFormat/>
    <w:uiPriority w:val="0"/>
    <w:pPr>
      <w:spacing w:after="120"/>
    </w:pPr>
    <w:rPr>
      <w:rFonts w:cs="Times New Roman"/>
      <w:color w:val="auto"/>
    </w:rPr>
  </w:style>
  <w:style w:type="paragraph" w:customStyle="1" w:styleId="105">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06">
    <w:name w:val="标题字符1"/>
    <w:basedOn w:val="54"/>
    <w:qFormat/>
    <w:uiPriority w:val="10"/>
    <w:rPr>
      <w:rFonts w:eastAsia="宋体" w:asciiTheme="majorHAnsi" w:hAnsiTheme="majorHAnsi" w:cstheme="majorBidi"/>
      <w:b/>
      <w:bCs/>
      <w:sz w:val="32"/>
      <w:szCs w:val="32"/>
    </w:rPr>
  </w:style>
  <w:style w:type="paragraph" w:customStyle="1" w:styleId="107">
    <w:name w:val="列出段落1"/>
    <w:basedOn w:val="1"/>
    <w:unhideWhenUsed/>
    <w:qFormat/>
    <w:uiPriority w:val="99"/>
    <w:pPr>
      <w:ind w:firstLine="420" w:firstLineChars="200"/>
    </w:pPr>
    <w:rPr>
      <w:rFonts w:ascii="Calibri" w:hAnsi="Calibri" w:eastAsia="宋体" w:cs="Times New Roman"/>
    </w:rPr>
  </w:style>
  <w:style w:type="paragraph" w:customStyle="1" w:styleId="108">
    <w:name w:val="图表标题"/>
    <w:basedOn w:val="1"/>
    <w:next w:val="21"/>
    <w:qFormat/>
    <w:uiPriority w:val="0"/>
    <w:rPr>
      <w:rFonts w:ascii="Times New Roman" w:hAnsi="Times New Roman" w:eastAsia="宋体" w:cs="Times New Roman"/>
      <w:sz w:val="30"/>
      <w:szCs w:val="20"/>
    </w:rPr>
  </w:style>
  <w:style w:type="paragraph" w:customStyle="1" w:styleId="109">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110">
    <w:name w:val="Char"/>
    <w:basedOn w:val="1"/>
    <w:qFormat/>
    <w:uiPriority w:val="0"/>
    <w:rPr>
      <w:rFonts w:ascii="仿宋_GB2312" w:hAnsi="Times New Roman" w:eastAsia="仿宋_GB2312" w:cs="Times New Roman"/>
      <w:b/>
      <w:sz w:val="32"/>
      <w:szCs w:val="32"/>
    </w:rPr>
  </w:style>
  <w:style w:type="paragraph" w:customStyle="1" w:styleId="111">
    <w:name w:val="Char4 Char Char Char"/>
    <w:basedOn w:val="18"/>
    <w:qFormat/>
    <w:uiPriority w:val="0"/>
    <w:rPr>
      <w:rFonts w:ascii="Tahoma" w:hAnsi="Tahoma"/>
      <w:sz w:val="24"/>
    </w:rPr>
  </w:style>
  <w:style w:type="paragraph" w:customStyle="1" w:styleId="112">
    <w:name w:val="表内文字"/>
    <w:basedOn w:val="1"/>
    <w:qFormat/>
    <w:uiPriority w:val="0"/>
    <w:pPr>
      <w:widowControl/>
      <w:ind w:firstLine="120" w:firstLineChars="50"/>
    </w:pPr>
    <w:rPr>
      <w:rFonts w:ascii="宋体" w:hAnsi="宋体" w:eastAsia="宋体" w:cs="Times New Roman"/>
      <w:sz w:val="24"/>
      <w:szCs w:val="20"/>
    </w:rPr>
  </w:style>
  <w:style w:type="paragraph" w:customStyle="1" w:styleId="113">
    <w:name w:val="Char Char Char"/>
    <w:basedOn w:val="1"/>
    <w:qFormat/>
    <w:uiPriority w:val="0"/>
    <w:pPr>
      <w:ind w:firstLine="360" w:firstLineChars="150"/>
    </w:pPr>
    <w:rPr>
      <w:rFonts w:ascii="Tahoma" w:hAnsi="Tahoma" w:eastAsia="宋体" w:cs="Times New Roman"/>
      <w:sz w:val="24"/>
      <w:szCs w:val="20"/>
    </w:rPr>
  </w:style>
  <w:style w:type="paragraph" w:customStyle="1" w:styleId="114">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115">
    <w:name w:val="legal 2"/>
    <w:basedOn w:val="105"/>
    <w:next w:val="105"/>
    <w:qFormat/>
    <w:uiPriority w:val="0"/>
    <w:pPr>
      <w:spacing w:after="120"/>
    </w:pPr>
    <w:rPr>
      <w:rFonts w:cs="Times New Roman"/>
      <w:color w:val="auto"/>
    </w:rPr>
  </w:style>
  <w:style w:type="paragraph" w:customStyle="1" w:styleId="116">
    <w:name w:val="列表延续"/>
    <w:basedOn w:val="1"/>
    <w:qFormat/>
    <w:uiPriority w:val="0"/>
    <w:pPr>
      <w:tabs>
        <w:tab w:val="left" w:pos="3780"/>
      </w:tabs>
      <w:adjustRightInd w:val="0"/>
      <w:spacing w:line="360" w:lineRule="auto"/>
      <w:ind w:left="3780" w:hanging="420"/>
      <w:textAlignment w:val="baseline"/>
    </w:pPr>
    <w:rPr>
      <w:rFonts w:ascii="Times New Roman" w:hAnsi="Tms Rmn" w:eastAsia="楷体_GB2312" w:cs="Times New Roman"/>
      <w:kern w:val="28"/>
      <w:sz w:val="28"/>
      <w:szCs w:val="20"/>
    </w:rPr>
  </w:style>
  <w:style w:type="paragraph" w:customStyle="1" w:styleId="117">
    <w:name w:val="Legal 5"/>
    <w:basedOn w:val="105"/>
    <w:next w:val="105"/>
    <w:qFormat/>
    <w:uiPriority w:val="0"/>
    <w:pPr>
      <w:spacing w:after="120"/>
    </w:pPr>
    <w:rPr>
      <w:rFonts w:cs="Times New Roman"/>
      <w:color w:val="auto"/>
    </w:rPr>
  </w:style>
  <w:style w:type="paragraph" w:customStyle="1" w:styleId="118">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
    <w:name w:val="Legal 4"/>
    <w:basedOn w:val="105"/>
    <w:next w:val="105"/>
    <w:qFormat/>
    <w:uiPriority w:val="0"/>
    <w:pPr>
      <w:spacing w:after="120"/>
    </w:pPr>
    <w:rPr>
      <w:rFonts w:cs="Times New Roman"/>
      <w:color w:val="auto"/>
    </w:rPr>
  </w:style>
  <w:style w:type="paragraph" w:customStyle="1" w:styleId="120">
    <w:name w:val="_Style 4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
    <w:name w:val="正文文字3"/>
    <w:basedOn w:val="21"/>
    <w:qFormat/>
    <w:uiPriority w:val="0"/>
    <w:pPr>
      <w:adjustRightInd w:val="0"/>
      <w:spacing w:after="0" w:line="360" w:lineRule="atLeast"/>
      <w:ind w:left="30" w:leftChars="30" w:right="30" w:rightChars="30"/>
      <w:textAlignment w:val="baseline"/>
    </w:pPr>
    <w:rPr>
      <w:rFonts w:ascii="Times New Roman" w:hAnsi="Times New Roman" w:eastAsia="宋体" w:cs="Times New Roman"/>
      <w:kern w:val="0"/>
      <w:sz w:val="20"/>
      <w:szCs w:val="20"/>
    </w:rPr>
  </w:style>
  <w:style w:type="paragraph" w:customStyle="1" w:styleId="122">
    <w:name w:val="1"/>
    <w:basedOn w:val="1"/>
    <w:qFormat/>
    <w:uiPriority w:val="0"/>
    <w:rPr>
      <w:rFonts w:ascii="仿宋_GB2312" w:hAnsi="Times New Roman" w:eastAsia="仿宋_GB2312" w:cs="Times New Roman"/>
      <w:b/>
      <w:sz w:val="32"/>
      <w:szCs w:val="32"/>
    </w:rPr>
  </w:style>
  <w:style w:type="paragraph" w:customStyle="1" w:styleId="123">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24">
    <w:name w:val="p16"/>
    <w:basedOn w:val="1"/>
    <w:qFormat/>
    <w:uiPriority w:val="0"/>
    <w:pPr>
      <w:widowControl/>
      <w:spacing w:line="360" w:lineRule="auto"/>
      <w:ind w:left="-2" w:firstLine="2"/>
      <w:jc w:val="left"/>
    </w:pPr>
    <w:rPr>
      <w:rFonts w:ascii="宋体" w:hAnsi="宋体" w:eastAsia="宋体" w:cs="宋体"/>
      <w:kern w:val="0"/>
      <w:sz w:val="30"/>
      <w:szCs w:val="30"/>
    </w:rPr>
  </w:style>
  <w:style w:type="paragraph" w:styleId="125">
    <w:name w:val="List Paragraph"/>
    <w:basedOn w:val="1"/>
    <w:qFormat/>
    <w:uiPriority w:val="34"/>
    <w:pPr>
      <w:ind w:firstLine="420" w:firstLineChars="200"/>
    </w:pPr>
    <w:rPr>
      <w:sz w:val="24"/>
      <w:szCs w:val="24"/>
    </w:rPr>
  </w:style>
  <w:style w:type="paragraph" w:customStyle="1" w:styleId="126">
    <w:name w:val="样式 标题 3 + (中文) 黑体 小四 非加粗 段前: 7.8 磅 段后: 0 磅 行距: 固定值 20 磅"/>
    <w:basedOn w:val="4"/>
    <w:qFormat/>
    <w:uiPriority w:val="0"/>
    <w:pPr>
      <w:keepLines/>
      <w:numPr>
        <w:numId w:val="0"/>
      </w:numPr>
      <w:spacing w:line="400" w:lineRule="exact"/>
    </w:pPr>
    <w:rPr>
      <w:rFonts w:ascii="Times New Roman" w:eastAsia="黑体" w:cs="宋体"/>
      <w:b w:val="0"/>
      <w:kern w:val="2"/>
      <w:sz w:val="24"/>
    </w:rPr>
  </w:style>
  <w:style w:type="paragraph" w:customStyle="1" w:styleId="127">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cs="宋体"/>
      <w:b w:val="0"/>
      <w:bCs w:val="0"/>
      <w:kern w:val="2"/>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5451</Words>
  <Characters>31074</Characters>
  <Lines>258</Lines>
  <Paragraphs>72</Paragraphs>
  <TotalTime>21</TotalTime>
  <ScaleCrop>false</ScaleCrop>
  <LinksUpToDate>false</LinksUpToDate>
  <CharactersWithSpaces>36453</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2019-11-13T07:00:00Z</dcterms:created>
  <dc:creator>仇建龙</dc:creator>
  <cp:lastModifiedBy>微尘</cp:lastModifiedBy>
  <dcterms:modified xsi:type="dcterms:W3CDTF">2019-11-15T07:52:40Z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