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r>
        <w:rPr>
          <w:rFonts w:hint="eastAsia" w:ascii="黑体" w:hAnsi="黑体" w:eastAsia="黑体"/>
          <w:b/>
          <w:sz w:val="44"/>
          <w:szCs w:val="44"/>
        </w:rPr>
        <w:t>杭州萧山国际机场</w:t>
      </w:r>
      <w:r>
        <w:rPr>
          <w:rFonts w:ascii="黑体" w:hAnsi="黑体" w:eastAsia="黑体"/>
          <w:b/>
          <w:sz w:val="44"/>
          <w:szCs w:val="44"/>
        </w:rPr>
        <w:t>T2</w:t>
      </w:r>
      <w:r>
        <w:rPr>
          <w:rFonts w:hint="eastAsia" w:ascii="黑体" w:hAnsi="黑体" w:eastAsia="黑体"/>
          <w:b/>
          <w:sz w:val="44"/>
          <w:szCs w:val="44"/>
        </w:rPr>
        <w:t>航站楼固定廊桥地毯采购项目</w:t>
      </w:r>
    </w:p>
    <w:p>
      <w:pPr>
        <w:widowControl/>
        <w:autoSpaceDE w:val="0"/>
        <w:autoSpaceDN w:val="0"/>
        <w:jc w:val="center"/>
        <w:textAlignment w:val="bottom"/>
        <w:rPr>
          <w:rFonts w:hint="eastAsia" w:ascii="黑体" w:hAnsi="黑体" w:eastAsia="黑体"/>
          <w:b/>
          <w:sz w:val="44"/>
          <w:szCs w:val="44"/>
        </w:rPr>
      </w:pPr>
      <w:r>
        <w:rPr>
          <w:rFonts w:hint="eastAsia" w:ascii="黑体" w:hAnsi="黑体" w:eastAsia="黑体"/>
          <w:b/>
          <w:sz w:val="44"/>
          <w:szCs w:val="44"/>
        </w:rPr>
        <w:t>（重新招标）</w:t>
      </w: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sz w:val="84"/>
          <w:szCs w:val="84"/>
        </w:rPr>
      </w:pPr>
      <w:r>
        <w:rPr>
          <w:rFonts w:ascii="黑体" w:hAnsi="黑体" w:eastAsia="黑体"/>
          <w:b/>
          <w:sz w:val="84"/>
          <w:szCs w:val="84"/>
        </w:rPr>
        <w:t>招 标 文 件</w:t>
      </w: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textAlignment w:val="bottom"/>
        <w:rPr>
          <w:rFonts w:ascii="宋体" w:hAnsi="宋体"/>
          <w:bCs/>
          <w:sz w:val="32"/>
          <w:szCs w:val="32"/>
        </w:rPr>
      </w:pPr>
      <w:r>
        <w:rPr>
          <w:rFonts w:ascii="宋体" w:hAnsi="宋体"/>
          <w:b/>
          <w:sz w:val="32"/>
          <w:szCs w:val="32"/>
        </w:rPr>
        <w:t xml:space="preserve">   </w:t>
      </w:r>
      <w:r>
        <w:rPr>
          <w:rFonts w:hint="eastAsia" w:ascii="宋体" w:hAnsi="宋体"/>
          <w:b/>
          <w:sz w:val="32"/>
          <w:szCs w:val="32"/>
        </w:rPr>
        <w:t xml:space="preserve">                </w:t>
      </w:r>
      <w:r>
        <w:rPr>
          <w:rFonts w:ascii="宋体" w:hAnsi="宋体"/>
          <w:b/>
          <w:sz w:val="32"/>
          <w:szCs w:val="32"/>
        </w:rPr>
        <w:t xml:space="preserve">      </w:t>
      </w:r>
      <w:r>
        <w:rPr>
          <w:rFonts w:hint="eastAsia" w:ascii="宋体" w:hAnsi="宋体"/>
          <w:b/>
          <w:sz w:val="32"/>
          <w:szCs w:val="32"/>
        </w:rPr>
        <w:t xml:space="preserve">    </w:t>
      </w:r>
    </w:p>
    <w:p>
      <w:pPr>
        <w:widowControl/>
        <w:autoSpaceDE w:val="0"/>
        <w:autoSpaceDN w:val="0"/>
        <w:snapToGrid w:val="0"/>
        <w:spacing w:line="560" w:lineRule="exact"/>
        <w:textAlignment w:val="bottom"/>
        <w:rPr>
          <w:rFonts w:ascii="宋体" w:hAnsi="宋体"/>
          <w:b/>
          <w:sz w:val="32"/>
          <w:szCs w:val="32"/>
        </w:rPr>
      </w:pPr>
      <w:r>
        <w:rPr>
          <w:rFonts w:ascii="宋体" w:hAnsi="宋体"/>
          <w:bCs/>
          <w:sz w:val="32"/>
          <w:szCs w:val="32"/>
        </w:rPr>
        <w:t xml:space="preserve">                 </w:t>
      </w:r>
      <w:r>
        <w:rPr>
          <w:rFonts w:hint="eastAsia" w:ascii="宋体" w:hAnsi="宋体"/>
          <w:bCs/>
          <w:sz w:val="32"/>
          <w:szCs w:val="32"/>
        </w:rPr>
        <w:t xml:space="preserve">            </w:t>
      </w: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snapToGrid w:val="0"/>
        <w:jc w:val="center"/>
        <w:rPr>
          <w:rFonts w:eastAsia="黑体" w:cs="Calibri"/>
          <w:sz w:val="32"/>
          <w:szCs w:val="32"/>
        </w:rPr>
      </w:pPr>
      <w:r>
        <w:rPr>
          <w:rFonts w:eastAsia="黑体" w:cs="Calibri"/>
          <w:sz w:val="32"/>
          <w:szCs w:val="32"/>
        </w:rPr>
        <w:t>杭州萧山国际机场有限公司</w:t>
      </w:r>
    </w:p>
    <w:p>
      <w:pPr>
        <w:rPr>
          <w:rFonts w:eastAsia="黑体" w:cs="Calibri"/>
          <w:sz w:val="32"/>
          <w:szCs w:val="32"/>
        </w:rPr>
      </w:pPr>
    </w:p>
    <w:p>
      <w:pPr>
        <w:pStyle w:val="28"/>
        <w:spacing w:line="480" w:lineRule="auto"/>
        <w:jc w:val="center"/>
        <w:rPr>
          <w:rFonts w:ascii="Calibri" w:hAnsi="Calibri" w:eastAsia="黑体" w:cs="Calibri"/>
          <w:sz w:val="32"/>
          <w:szCs w:val="32"/>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一九年</w:t>
      </w:r>
      <w:r>
        <w:rPr>
          <w:rFonts w:hint="eastAsia" w:ascii="Calibri" w:hAnsi="Calibri" w:eastAsia="黑体" w:cs="Calibri"/>
          <w:sz w:val="32"/>
          <w:szCs w:val="32"/>
          <w:u w:val="single"/>
        </w:rPr>
        <w:t>十一</w:t>
      </w:r>
      <w:r>
        <w:rPr>
          <w:rFonts w:ascii="Calibri" w:hAnsi="Calibri" w:eastAsia="黑体" w:cs="Calibri"/>
          <w:sz w:val="32"/>
          <w:szCs w:val="32"/>
        </w:rPr>
        <w:t>月</w:t>
      </w:r>
    </w:p>
    <w:p>
      <w:pPr>
        <w:pStyle w:val="28"/>
        <w:spacing w:line="480" w:lineRule="auto"/>
        <w:jc w:val="center"/>
        <w:rPr>
          <w:rFonts w:ascii="Calibri" w:hAnsi="Calibri" w:eastAsia="黑体" w:cs="Calibri"/>
          <w:sz w:val="32"/>
          <w:szCs w:val="32"/>
        </w:rPr>
      </w:pPr>
    </w:p>
    <w:p>
      <w:pPr>
        <w:snapToGrid w:val="0"/>
        <w:spacing w:line="560" w:lineRule="exact"/>
        <w:jc w:val="center"/>
        <w:rPr>
          <w:rFonts w:ascii="宋体" w:hAnsi="宋体"/>
          <w:b/>
          <w:bCs/>
          <w:sz w:val="32"/>
          <w:szCs w:val="32"/>
        </w:rPr>
      </w:pPr>
    </w:p>
    <w:p>
      <w:pPr>
        <w:spacing w:line="560" w:lineRule="exact"/>
        <w:jc w:val="center"/>
        <w:rPr>
          <w:b/>
        </w:rPr>
      </w:pPr>
    </w:p>
    <w:p>
      <w:pPr>
        <w:spacing w:line="560" w:lineRule="exact"/>
        <w:jc w:val="center"/>
        <w:rPr>
          <w:b/>
          <w:bCs/>
          <w:sz w:val="44"/>
          <w:szCs w:val="44"/>
        </w:rPr>
      </w:pPr>
      <w:r>
        <w:rPr>
          <w:rFonts w:hint="eastAsia"/>
          <w:b/>
          <w:bCs/>
          <w:sz w:val="44"/>
          <w:szCs w:val="44"/>
        </w:rPr>
        <w:t>目  录</w:t>
      </w:r>
    </w:p>
    <w:p>
      <w:pPr>
        <w:spacing w:line="560" w:lineRule="exact"/>
        <w:jc w:val="center"/>
        <w:rPr>
          <w:b/>
          <w:bCs/>
          <w:sz w:val="44"/>
          <w:szCs w:val="44"/>
        </w:rPr>
      </w:pPr>
    </w:p>
    <w:p>
      <w:pPr>
        <w:spacing w:line="560" w:lineRule="exact"/>
        <w:jc w:val="center"/>
        <w:rPr>
          <w:b/>
          <w:sz w:val="44"/>
          <w:szCs w:val="44"/>
        </w:rPr>
      </w:pPr>
    </w:p>
    <w:p>
      <w:pPr>
        <w:pStyle w:val="68"/>
        <w:tabs>
          <w:tab w:val="right" w:leader="dot" w:pos="8290"/>
        </w:tabs>
        <w:spacing w:line="480" w:lineRule="auto"/>
        <w:ind w:firstLine="442"/>
        <w:rPr>
          <w:rFonts w:ascii="黑体" w:hAnsi="黑体" w:eastAsia="黑体"/>
          <w:sz w:val="22"/>
          <w:szCs w:val="22"/>
        </w:rPr>
      </w:pPr>
      <w:r>
        <w:rPr>
          <w:rFonts w:hint="eastAsia" w:ascii="黑体" w:hAnsi="黑体" w:eastAsia="黑体"/>
          <w:b/>
          <w:sz w:val="22"/>
          <w:szCs w:val="22"/>
        </w:rPr>
        <w:fldChar w:fldCharType="begin"/>
      </w:r>
      <w:r>
        <w:rPr>
          <w:rFonts w:hint="eastAsia" w:ascii="黑体" w:hAnsi="黑体" w:eastAsia="黑体"/>
          <w:b/>
          <w:sz w:val="22"/>
          <w:szCs w:val="22"/>
        </w:rPr>
        <w:instrText xml:space="preserve"> TOC \o "1-1" \h \z \u </w:instrText>
      </w:r>
      <w:r>
        <w:rPr>
          <w:rFonts w:hint="eastAsia" w:ascii="黑体" w:hAnsi="黑体" w:eastAsia="黑体"/>
          <w:b/>
          <w:sz w:val="22"/>
          <w:szCs w:val="22"/>
        </w:rPr>
        <w:fldChar w:fldCharType="separate"/>
      </w:r>
      <w:r>
        <w:rPr>
          <w:rFonts w:hint="eastAsia" w:ascii="黑体" w:hAnsi="黑体" w:eastAsia="黑体"/>
          <w:sz w:val="22"/>
          <w:szCs w:val="22"/>
        </w:rPr>
        <w:t>第一章  招标公告</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_Toc321925451 \h </w:instrText>
      </w:r>
      <w:r>
        <w:rPr>
          <w:rFonts w:hint="eastAsia" w:ascii="黑体" w:hAnsi="黑体" w:eastAsia="黑体"/>
          <w:sz w:val="22"/>
          <w:szCs w:val="22"/>
        </w:rPr>
        <w:fldChar w:fldCharType="separate"/>
      </w:r>
      <w:r>
        <w:rPr>
          <w:rFonts w:ascii="黑体" w:hAnsi="黑体" w:eastAsia="黑体"/>
          <w:sz w:val="22"/>
          <w:szCs w:val="22"/>
        </w:rPr>
        <w:t>- 2 -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第二章  投标人须知</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_Toc321925452 \h </w:instrText>
      </w:r>
      <w:r>
        <w:rPr>
          <w:rFonts w:hint="eastAsia" w:ascii="黑体" w:hAnsi="黑体" w:eastAsia="黑体"/>
          <w:sz w:val="22"/>
          <w:szCs w:val="22"/>
        </w:rPr>
        <w:fldChar w:fldCharType="separate"/>
      </w:r>
      <w:r>
        <w:rPr>
          <w:rFonts w:ascii="黑体" w:hAnsi="黑体" w:eastAsia="黑体"/>
          <w:sz w:val="22"/>
          <w:szCs w:val="22"/>
        </w:rPr>
        <w:t>- 3 -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第三章  货物需求一览表及技术规格</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_Toc321925453 \h </w:instrText>
      </w:r>
      <w:r>
        <w:rPr>
          <w:rFonts w:hint="eastAsia" w:ascii="黑体" w:hAnsi="黑体" w:eastAsia="黑体"/>
          <w:sz w:val="22"/>
          <w:szCs w:val="22"/>
        </w:rPr>
        <w:fldChar w:fldCharType="separate"/>
      </w:r>
      <w:r>
        <w:rPr>
          <w:rFonts w:ascii="黑体" w:hAnsi="黑体" w:eastAsia="黑体"/>
          <w:sz w:val="22"/>
          <w:szCs w:val="22"/>
        </w:rPr>
        <w:t>- 12 -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 xml:space="preserve">第四章  </w:t>
      </w:r>
      <w:r>
        <w:rPr>
          <w:rFonts w:ascii="黑体" w:hAnsi="黑体" w:eastAsia="黑体"/>
          <w:sz w:val="22"/>
          <w:szCs w:val="22"/>
        </w:rPr>
        <w:t>合同条款</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_Toc321925454 \h </w:instrText>
      </w:r>
      <w:r>
        <w:rPr>
          <w:rFonts w:hint="eastAsia" w:ascii="黑体" w:hAnsi="黑体" w:eastAsia="黑体"/>
          <w:sz w:val="22"/>
          <w:szCs w:val="22"/>
        </w:rPr>
        <w:fldChar w:fldCharType="separate"/>
      </w:r>
      <w:r>
        <w:rPr>
          <w:rFonts w:ascii="黑体" w:hAnsi="黑体" w:eastAsia="黑体"/>
          <w:sz w:val="22"/>
          <w:szCs w:val="22"/>
        </w:rPr>
        <w:t>- 13 -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cs="Calibri"/>
          <w:kern w:val="0"/>
          <w:sz w:val="22"/>
          <w:szCs w:val="22"/>
        </w:rPr>
        <w:t>第五章  评标方法及标准</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_Toc321925456 \h </w:instrText>
      </w:r>
      <w:r>
        <w:rPr>
          <w:rFonts w:hint="eastAsia" w:ascii="黑体" w:hAnsi="黑体" w:eastAsia="黑体"/>
          <w:sz w:val="22"/>
          <w:szCs w:val="22"/>
        </w:rPr>
        <w:fldChar w:fldCharType="separate"/>
      </w:r>
      <w:r>
        <w:rPr>
          <w:rFonts w:ascii="黑体" w:hAnsi="黑体" w:eastAsia="黑体"/>
          <w:sz w:val="22"/>
          <w:szCs w:val="22"/>
        </w:rPr>
        <w:t>- 18 -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第六章  投标文件格式</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_Toc321925457 \h </w:instrText>
      </w:r>
      <w:r>
        <w:rPr>
          <w:rFonts w:hint="eastAsia" w:ascii="黑体" w:hAnsi="黑体" w:eastAsia="黑体"/>
          <w:sz w:val="22"/>
          <w:szCs w:val="22"/>
        </w:rPr>
        <w:fldChar w:fldCharType="separate"/>
      </w:r>
      <w:r>
        <w:rPr>
          <w:rFonts w:ascii="黑体" w:hAnsi="黑体" w:eastAsia="黑体"/>
          <w:sz w:val="22"/>
          <w:szCs w:val="22"/>
        </w:rPr>
        <w:t>- 21 -</w:t>
      </w:r>
      <w:r>
        <w:rPr>
          <w:rFonts w:hint="eastAsia" w:ascii="黑体" w:hAnsi="黑体" w:eastAsia="黑体"/>
          <w:sz w:val="22"/>
          <w:szCs w:val="22"/>
        </w:rPr>
        <w:fldChar w:fldCharType="end"/>
      </w:r>
    </w:p>
    <w:p>
      <w:pPr>
        <w:tabs>
          <w:tab w:val="right" w:leader="dot" w:pos="8364"/>
        </w:tabs>
        <w:spacing w:line="480" w:lineRule="auto"/>
        <w:rPr>
          <w:b/>
        </w:rPr>
      </w:pPr>
      <w:r>
        <w:rPr>
          <w:rFonts w:hint="eastAsia" w:ascii="黑体" w:hAnsi="黑体" w:eastAsia="黑体"/>
          <w:b/>
          <w:sz w:val="22"/>
        </w:rPr>
        <w:fldChar w:fldCharType="end"/>
      </w:r>
    </w:p>
    <w:p>
      <w:pPr>
        <w:spacing w:line="560" w:lineRule="exact"/>
        <w:rPr>
          <w:b/>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r>
        <w:rPr>
          <w:rFonts w:hint="eastAsia"/>
          <w:b/>
        </w:rPr>
        <w:t xml:space="preserve">                                                          </w:t>
      </w:r>
    </w:p>
    <w:p>
      <w:pPr>
        <w:pStyle w:val="42"/>
      </w:pPr>
      <w:bookmarkStart w:id="0" w:name="_Toc321925451"/>
      <w:r>
        <w:rPr>
          <w:rFonts w:hint="eastAsia"/>
        </w:rPr>
        <w:t>第一章 招标公告</w:t>
      </w:r>
      <w:bookmarkEnd w:id="0"/>
    </w:p>
    <w:p>
      <w:pPr>
        <w:widowControl/>
        <w:snapToGrid w:val="0"/>
        <w:spacing w:line="360" w:lineRule="exact"/>
        <w:jc w:val="left"/>
        <w:rPr>
          <w:rFonts w:ascii="宋体" w:hAnsi="宋体" w:cs="Arial"/>
          <w:b/>
          <w:bCs/>
          <w:kern w:val="0"/>
          <w:sz w:val="22"/>
        </w:rPr>
      </w:pPr>
    </w:p>
    <w:p>
      <w:pPr>
        <w:widowControl/>
        <w:snapToGrid w:val="0"/>
        <w:spacing w:line="360" w:lineRule="exact"/>
        <w:jc w:val="left"/>
        <w:rPr>
          <w:rFonts w:ascii="宋体" w:hAnsi="宋体" w:cs="Arial"/>
          <w:kern w:val="0"/>
          <w:sz w:val="22"/>
        </w:rPr>
      </w:pPr>
      <w:r>
        <w:rPr>
          <w:rFonts w:hint="eastAsia" w:ascii="宋体" w:hAnsi="宋体" w:cs="Arial"/>
          <w:b/>
          <w:bCs/>
          <w:kern w:val="0"/>
          <w:sz w:val="22"/>
        </w:rPr>
        <w:t>一、招标内容</w:t>
      </w:r>
    </w:p>
    <w:p>
      <w:pPr>
        <w:widowControl/>
        <w:adjustRightInd w:val="0"/>
        <w:snapToGrid w:val="0"/>
        <w:spacing w:line="360" w:lineRule="exact"/>
        <w:ind w:firstLine="440" w:firstLineChars="200"/>
        <w:rPr>
          <w:rFonts w:ascii="宋体" w:hAnsi="宋体" w:cs="Arial"/>
          <w:kern w:val="0"/>
          <w:sz w:val="22"/>
        </w:rPr>
      </w:pPr>
      <w:r>
        <w:rPr>
          <w:rFonts w:hint="eastAsia" w:ascii="宋体" w:hAnsi="宋体" w:cs="Arial"/>
          <w:kern w:val="0"/>
          <w:sz w:val="22"/>
        </w:rPr>
        <w:t>杭州萧山国际机场有限公司就</w:t>
      </w:r>
      <w:r>
        <w:rPr>
          <w:rFonts w:ascii="宋体" w:hAnsi="宋体" w:cs="Arial"/>
          <w:kern w:val="0"/>
          <w:sz w:val="22"/>
        </w:rPr>
        <w:t>杭州萧山国际机场</w:t>
      </w:r>
      <w:r>
        <w:rPr>
          <w:rFonts w:hint="eastAsia" w:ascii="宋体" w:hAnsi="宋体" w:cs="Arial"/>
          <w:kern w:val="0"/>
          <w:sz w:val="22"/>
        </w:rPr>
        <w:t>T2航站楼固定廊桥地毯</w:t>
      </w:r>
      <w:r>
        <w:rPr>
          <w:rFonts w:ascii="宋体" w:hAnsi="宋体" w:cs="Arial"/>
          <w:kern w:val="0"/>
          <w:sz w:val="22"/>
        </w:rPr>
        <w:t>采购项</w:t>
      </w:r>
      <w:r>
        <w:rPr>
          <w:rFonts w:hint="eastAsia" w:ascii="宋体" w:hAnsi="宋体" w:cs="Arial"/>
          <w:kern w:val="0"/>
          <w:sz w:val="22"/>
        </w:rPr>
        <w:t>目进行公开招标，欢迎符合资格要求的供应商参与投标。</w:t>
      </w:r>
    </w:p>
    <w:p>
      <w:pPr>
        <w:widowControl/>
        <w:adjustRightInd w:val="0"/>
        <w:snapToGrid w:val="0"/>
        <w:spacing w:line="360" w:lineRule="exact"/>
        <w:ind w:firstLine="440" w:firstLineChars="200"/>
        <w:rPr>
          <w:rFonts w:ascii="宋体" w:hAnsi="宋体" w:cs="Arial"/>
          <w:kern w:val="0"/>
          <w:sz w:val="22"/>
        </w:rPr>
      </w:pPr>
      <w:r>
        <w:rPr>
          <w:rFonts w:hint="eastAsia" w:ascii="宋体" w:hAnsi="宋体" w:cs="Arial"/>
          <w:kern w:val="0"/>
          <w:sz w:val="22"/>
        </w:rPr>
        <w:t>招标货物名称、数量及主要技术规格</w:t>
      </w:r>
    </w:p>
    <w:tbl>
      <w:tblPr>
        <w:tblStyle w:val="49"/>
        <w:tblW w:w="95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992"/>
        <w:gridCol w:w="2078"/>
        <w:gridCol w:w="2442"/>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货物名称</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数 量</w:t>
            </w:r>
          </w:p>
        </w:tc>
        <w:tc>
          <w:tcPr>
            <w:tcW w:w="20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主要技术规格</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供货期</w:t>
            </w:r>
          </w:p>
        </w:tc>
        <w:tc>
          <w:tcPr>
            <w:tcW w:w="134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hint="eastAsia" w:ascii="宋体" w:hAnsi="宋体"/>
                <w:caps/>
                <w:sz w:val="22"/>
              </w:rPr>
              <w:t>阿克斯明斯特地毯</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hint="eastAsia" w:ascii="宋体" w:hAnsi="宋体"/>
                <w:caps/>
                <w:sz w:val="22"/>
              </w:rPr>
              <w:t>1050㎡</w:t>
            </w:r>
          </w:p>
        </w:tc>
        <w:tc>
          <w:tcPr>
            <w:tcW w:w="2078" w:type="dxa"/>
            <w:tcBorders>
              <w:top w:val="single" w:color="auto" w:sz="4" w:space="0"/>
              <w:left w:val="single" w:color="auto" w:sz="4" w:space="0"/>
              <w:bottom w:val="single" w:color="auto" w:sz="4" w:space="0"/>
              <w:right w:val="single" w:color="auto" w:sz="4" w:space="0"/>
            </w:tcBorders>
            <w:vAlign w:val="center"/>
          </w:tcPr>
          <w:p>
            <w:pPr>
              <w:adjustRightInd w:val="0"/>
              <w:rPr>
                <w:rFonts w:ascii="宋体" w:hAnsi="宋体"/>
                <w:caps/>
                <w:sz w:val="22"/>
              </w:rPr>
            </w:pPr>
            <w:r>
              <w:rPr>
                <w:rFonts w:ascii="宋体" w:hAnsi="宋体"/>
                <w:caps/>
                <w:sz w:val="22"/>
              </w:rPr>
              <w:t>80%</w:t>
            </w:r>
            <w:r>
              <w:rPr>
                <w:rFonts w:hint="eastAsia" w:ascii="宋体" w:hAnsi="宋体"/>
                <w:caps/>
                <w:sz w:val="22"/>
              </w:rPr>
              <w:t xml:space="preserve">进口羊毛、20% 尼龙 </w:t>
            </w:r>
            <w:r>
              <w:rPr>
                <w:rFonts w:ascii="宋体" w:hAnsi="宋体"/>
                <w:caps/>
                <w:sz w:val="22"/>
              </w:rPr>
              <w:t>6.6</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hint="eastAsia" w:ascii="宋体" w:hAnsi="宋体"/>
                <w:caps/>
                <w:sz w:val="22"/>
              </w:rPr>
              <w:t>合同签订后40日历天</w:t>
            </w:r>
          </w:p>
        </w:tc>
        <w:tc>
          <w:tcPr>
            <w:tcW w:w="134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杭州萧山国际机场</w:t>
            </w:r>
          </w:p>
        </w:tc>
      </w:tr>
    </w:tbl>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二、投标人资格要求</w:t>
      </w:r>
      <w:r>
        <w:rPr>
          <w:rFonts w:ascii="宋体" w:hAnsi="宋体" w:cs="Arial"/>
          <w:b/>
          <w:bCs/>
          <w:kern w:val="0"/>
          <w:sz w:val="22"/>
        </w:rPr>
        <w:t> </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w:t>
      </w:r>
      <w:r>
        <w:rPr>
          <w:rStyle w:val="90"/>
          <w:rFonts w:hint="eastAsia" w:ascii="宋体" w:hAnsi="宋体" w:cs="宋体"/>
          <w:sz w:val="22"/>
        </w:rPr>
        <w:t>具有独立法人资格的制造商或代理商，注册资金不少于人民币</w:t>
      </w:r>
      <w:r>
        <w:rPr>
          <w:rStyle w:val="90"/>
          <w:rFonts w:hint="eastAsia" w:cs="宋体"/>
          <w:sz w:val="22"/>
          <w:u w:val="single"/>
        </w:rPr>
        <w:t>500</w:t>
      </w:r>
      <w:r>
        <w:rPr>
          <w:rStyle w:val="90"/>
          <w:rFonts w:hint="eastAsia" w:ascii="宋体" w:hAnsi="宋体" w:cs="宋体"/>
          <w:sz w:val="22"/>
        </w:rPr>
        <w:t>万元或等值外币(按投标截止日中国人民银行公布的汇率中间价换算)</w:t>
      </w:r>
      <w:r>
        <w:rPr>
          <w:rFonts w:hint="eastAsia" w:ascii="宋体" w:hAnsi="宋体" w:cs="Arial"/>
          <w:kern w:val="0"/>
          <w:sz w:val="22"/>
        </w:rPr>
        <w:t>。</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能独立承担民事责任和履行合同能力，具有良好的商业信誉和健全的财务会计管理制度，有依法缴纳税收和社会保障资金的良好记录，在本次招标前三年内的经营活动中没有重大违法记录和不良记录。（需提供承诺函，格式自拟）</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（3）投标人</w:t>
      </w:r>
      <w:r>
        <w:rPr>
          <w:rFonts w:ascii="宋体" w:hAnsi="宋体" w:cs="Arial"/>
          <w:kern w:val="0"/>
          <w:sz w:val="22"/>
        </w:rPr>
        <w:t>具有一般纳税人</w:t>
      </w:r>
      <w:r>
        <w:rPr>
          <w:rFonts w:hint="eastAsia" w:ascii="宋体" w:hAnsi="宋体" w:cs="Arial"/>
          <w:kern w:val="0"/>
          <w:sz w:val="22"/>
        </w:rPr>
        <w:t>资格</w:t>
      </w:r>
      <w:r>
        <w:rPr>
          <w:rFonts w:ascii="宋体" w:hAnsi="宋体" w:cs="Arial"/>
          <w:kern w:val="0"/>
          <w:sz w:val="22"/>
        </w:rPr>
        <w:t>，可提供税率为1</w:t>
      </w:r>
      <w:r>
        <w:rPr>
          <w:rFonts w:hint="eastAsia" w:ascii="宋体" w:hAnsi="宋体" w:cs="Arial"/>
          <w:kern w:val="0"/>
          <w:sz w:val="22"/>
        </w:rPr>
        <w:t>3</w:t>
      </w:r>
      <w:r>
        <w:rPr>
          <w:rFonts w:ascii="宋体" w:hAnsi="宋体" w:cs="Arial"/>
          <w:kern w:val="0"/>
          <w:sz w:val="22"/>
        </w:rPr>
        <w:t>%的增值税专用发票</w:t>
      </w:r>
      <w:r>
        <w:rPr>
          <w:rFonts w:hint="eastAsia" w:ascii="宋体" w:hAnsi="宋体" w:cs="Arial"/>
          <w:kern w:val="0"/>
          <w:sz w:val="22"/>
        </w:rPr>
        <w:t>。（需提供税务机关出具的一般纳税人资格认定相关证明材料复印件并加盖投标人公章作为证明材料，原件备查）</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（4）</w:t>
      </w:r>
      <w:r>
        <w:rPr>
          <w:rFonts w:ascii="宋体" w:hAnsi="宋体" w:cs="Arial"/>
          <w:kern w:val="0"/>
          <w:sz w:val="22"/>
        </w:rPr>
        <w:t>代理商需具有招标设备制造商的授权书</w:t>
      </w:r>
      <w:r>
        <w:rPr>
          <w:rFonts w:hint="eastAsia" w:ascii="宋体" w:hAnsi="宋体" w:cs="Arial"/>
          <w:kern w:val="0"/>
          <w:sz w:val="22"/>
        </w:rPr>
        <w:t>。</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（5）</w:t>
      </w:r>
      <w:r>
        <w:rPr>
          <w:rFonts w:ascii="宋体" w:hAnsi="宋体" w:cs="Arial"/>
          <w:kern w:val="0"/>
          <w:sz w:val="22"/>
        </w:rPr>
        <w:t>本项目不接受联合</w:t>
      </w:r>
      <w:r>
        <w:rPr>
          <w:rFonts w:hint="eastAsia" w:ascii="宋体" w:hAnsi="宋体" w:cs="Arial"/>
          <w:kern w:val="0"/>
          <w:sz w:val="22"/>
        </w:rPr>
        <w:t>体</w:t>
      </w:r>
      <w:r>
        <w:rPr>
          <w:rFonts w:ascii="宋体" w:hAnsi="宋体" w:cs="Arial"/>
          <w:kern w:val="0"/>
          <w:sz w:val="22"/>
        </w:rPr>
        <w:t>投标</w:t>
      </w:r>
      <w:r>
        <w:rPr>
          <w:rFonts w:hint="eastAsia" w:ascii="宋体" w:hAnsi="宋体" w:cs="Arial"/>
          <w:kern w:val="0"/>
          <w:sz w:val="22"/>
        </w:rPr>
        <w:t>。</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三、招标文件获取</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ascii="宋体" w:hAnsi="宋体" w:cs="Arial"/>
          <w:kern w:val="0"/>
          <w:sz w:val="22"/>
        </w:rPr>
        <w:t>http://www.hzairport.com/zbxx.aspx</w:t>
      </w:r>
      <w:r>
        <w:rPr>
          <w:rFonts w:ascii="宋体" w:hAnsi="宋体" w:cs="Arial"/>
          <w:kern w:val="0"/>
          <w:sz w:val="22"/>
        </w:rPr>
        <w:fldChar w:fldCharType="end"/>
      </w:r>
      <w:r>
        <w:rPr>
          <w:rFonts w:hint="eastAsia" w:ascii="宋体" w:hAnsi="宋体" w:cs="Arial"/>
          <w:kern w:val="0"/>
          <w:sz w:val="22"/>
        </w:rPr>
        <w:t>自行下载招标文件。</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招标文件下载</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四、投标文件的递交</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投标文件递交截止时间：2019年11月29日09时30分（北京时间）。投标文件在封口处加盖公章，并派专人于2019年11月29日09时30分（北京时间）前送至杭州萧山国际机场翔越路综合服务楼园区招标中心，逾期无效；若采用投递方式的，请于2019年11月</w:t>
      </w:r>
      <w:r>
        <w:rPr>
          <w:rFonts w:hint="eastAsia" w:ascii="宋体" w:hAnsi="宋体" w:cs="Arial"/>
          <w:kern w:val="0"/>
          <w:sz w:val="22"/>
          <w:lang w:val="en-US" w:eastAsia="zh-CN"/>
        </w:rPr>
        <w:t>2</w:t>
      </w:r>
      <w:bookmarkStart w:id="89" w:name="_GoBack"/>
      <w:bookmarkEnd w:id="89"/>
      <w:r>
        <w:rPr>
          <w:rFonts w:hint="eastAsia" w:ascii="宋体" w:hAnsi="宋体" w:cs="Arial"/>
          <w:kern w:val="0"/>
          <w:sz w:val="22"/>
        </w:rPr>
        <w:t>8日15时00分（北京时间）前投递至杭州萧山国际机场国内航站楼13号门，收件人同投标联系人，逾期无效。</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w:t>
      </w:r>
      <w:r>
        <w:rPr>
          <w:rFonts w:hint="eastAsia" w:ascii="宋体" w:hAnsi="宋体"/>
          <w:sz w:val="22"/>
        </w:rPr>
        <w:t>逾期送达或者未送达指定地点的投标文件，招标人不予受理。</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五、发布公告的媒介</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本次招标公告在</w:t>
      </w:r>
      <w:r>
        <w:rPr>
          <w:rFonts w:hint="eastAsia" w:ascii="宋体" w:hAnsi="宋体" w:cs="Arial"/>
          <w:b/>
          <w:kern w:val="0"/>
          <w:sz w:val="22"/>
        </w:rPr>
        <w:t>中国采购与招标网和杭州萧山机场有限公司</w:t>
      </w:r>
      <w:r>
        <w:rPr>
          <w:rFonts w:hint="eastAsia" w:ascii="宋体" w:hAnsi="宋体" w:cs="Arial"/>
          <w:kern w:val="0"/>
          <w:sz w:val="22"/>
        </w:rPr>
        <w:t>主页上发布</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sz w:val="22"/>
        </w:rPr>
        <w:t>中国采购与招标网</w:t>
      </w:r>
      <w:r>
        <w:rPr>
          <w:rFonts w:ascii="宋体" w:hAnsi="宋体"/>
          <w:sz w:val="22"/>
        </w:rPr>
        <w:t xml:space="preserve">  </w:t>
      </w:r>
      <w:r>
        <w:fldChar w:fldCharType="begin"/>
      </w:r>
      <w:r>
        <w:instrText xml:space="preserve"> HYPERLINK "http://www.chinabidding.com.cn" </w:instrText>
      </w:r>
      <w:r>
        <w:fldChar w:fldCharType="separate"/>
      </w:r>
      <w:r>
        <w:rPr>
          <w:rFonts w:ascii="宋体" w:hAnsi="宋体"/>
          <w:sz w:val="22"/>
        </w:rPr>
        <w:t>http://www.chinabidding.com.cn</w:t>
      </w:r>
      <w:r>
        <w:rPr>
          <w:rFonts w:ascii="宋体" w:hAnsi="宋体"/>
          <w:sz w:val="22"/>
        </w:rPr>
        <w:fldChar w:fldCharType="end"/>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杭州萧山机场有限公司主页http://www.hzairport.com</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六、联系方式</w:t>
      </w:r>
    </w:p>
    <w:p>
      <w:pPr>
        <w:widowControl/>
        <w:adjustRightInd w:val="0"/>
        <w:snapToGrid w:val="0"/>
        <w:spacing w:line="340" w:lineRule="exact"/>
        <w:ind w:firstLine="440" w:firstLineChars="200"/>
        <w:rPr>
          <w:rFonts w:ascii="宋体" w:hAnsi="宋体"/>
          <w:sz w:val="22"/>
        </w:rPr>
      </w:pPr>
      <w:r>
        <w:rPr>
          <w:rFonts w:hint="eastAsia" w:ascii="宋体" w:hAnsi="宋体"/>
          <w:sz w:val="22"/>
        </w:rPr>
        <w:t>投标联系人：王工        联系电话： 0571-</w:t>
      </w:r>
      <w:r>
        <w:rPr>
          <w:rFonts w:ascii="宋体" w:hAnsi="宋体"/>
          <w:sz w:val="22"/>
        </w:rPr>
        <w:t>8383</w:t>
      </w:r>
      <w:r>
        <w:rPr>
          <w:rFonts w:hint="eastAsia" w:ascii="宋体" w:hAnsi="宋体"/>
          <w:sz w:val="22"/>
        </w:rPr>
        <w:t>7003</w:t>
      </w:r>
    </w:p>
    <w:p>
      <w:pPr>
        <w:widowControl/>
        <w:adjustRightInd w:val="0"/>
        <w:snapToGrid w:val="0"/>
        <w:spacing w:line="340" w:lineRule="exact"/>
        <w:ind w:firstLine="440" w:firstLineChars="200"/>
        <w:rPr>
          <w:rFonts w:ascii="宋体" w:hAnsi="宋体"/>
          <w:bCs/>
          <w:sz w:val="22"/>
        </w:rPr>
      </w:pPr>
      <w:r>
        <w:rPr>
          <w:rFonts w:hint="eastAsia" w:ascii="宋体" w:hAnsi="宋体"/>
          <w:bCs/>
          <w:sz w:val="22"/>
        </w:rPr>
        <w:t>招标监督人：朱工         联系电话： 0571-83837713</w:t>
      </w:r>
    </w:p>
    <w:p>
      <w:pPr>
        <w:pStyle w:val="42"/>
      </w:pPr>
      <w:r>
        <w:rPr>
          <w:rFonts w:ascii="宋体" w:hAnsi="宋体"/>
          <w:bCs w:val="0"/>
          <w:sz w:val="22"/>
          <w:szCs w:val="22"/>
        </w:rPr>
        <w:br w:type="page"/>
      </w:r>
      <w:bookmarkStart w:id="1" w:name="_Toc321925452"/>
      <w:r>
        <w:t>第</w:t>
      </w:r>
      <w:r>
        <w:rPr>
          <w:rFonts w:hint="eastAsia"/>
        </w:rPr>
        <w:t>二</w:t>
      </w:r>
      <w:r>
        <w:t>章  投标</w:t>
      </w:r>
      <w:r>
        <w:rPr>
          <w:rFonts w:hint="eastAsia"/>
        </w:rPr>
        <w:t>人须知</w:t>
      </w:r>
      <w:bookmarkEnd w:id="1"/>
    </w:p>
    <w:p>
      <w:pPr>
        <w:pStyle w:val="30"/>
        <w:spacing w:line="240" w:lineRule="auto"/>
        <w:jc w:val="center"/>
        <w:rPr>
          <w:b/>
          <w:sz w:val="28"/>
          <w:szCs w:val="28"/>
        </w:rPr>
      </w:pPr>
      <w:r>
        <w:rPr>
          <w:rFonts w:hint="eastAsia"/>
          <w:b/>
          <w:sz w:val="28"/>
          <w:szCs w:val="28"/>
        </w:rPr>
        <w:t>投标人须知前附表</w:t>
      </w:r>
    </w:p>
    <w:tbl>
      <w:tblPr>
        <w:tblStyle w:val="49"/>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sz w:val="22"/>
              </w:rPr>
              <w:t>1.1</w:t>
            </w:r>
            <w:r>
              <w:rPr>
                <w:rFonts w:hint="eastAsia" w:ascii="宋体" w:hAnsi="宋体" w:cs="Calibri"/>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项目名称</w:t>
            </w:r>
          </w:p>
        </w:tc>
        <w:tc>
          <w:tcPr>
            <w:tcW w:w="6487" w:type="dxa"/>
            <w:vAlign w:val="center"/>
          </w:tcPr>
          <w:p>
            <w:pPr>
              <w:pBdr>
                <w:top w:val="none" w:color="auto" w:sz="0" w:space="1"/>
                <w:left w:val="none" w:color="auto" w:sz="0" w:space="4"/>
                <w:bottom w:val="none" w:color="auto" w:sz="0" w:space="1"/>
                <w:right w:val="none" w:color="auto" w:sz="0" w:space="4"/>
              </w:pBdr>
              <w:autoSpaceDE w:val="0"/>
              <w:autoSpaceDN w:val="0"/>
              <w:adjustRightInd w:val="0"/>
              <w:snapToGrid w:val="0"/>
              <w:rPr>
                <w:rFonts w:ascii="Times New Roman" w:hAnsi="Times New Roman" w:cs="Times New Roman"/>
                <w:kern w:val="0"/>
                <w:sz w:val="18"/>
                <w:szCs w:val="18"/>
              </w:rPr>
            </w:pPr>
            <w:r>
              <w:rPr>
                <w:rFonts w:hint="eastAsia" w:ascii="宋体" w:hAnsi="宋体" w:cs="Calibri"/>
                <w:kern w:val="0"/>
                <w:sz w:val="22"/>
              </w:rPr>
              <w:t>杭州萧山国际机场</w:t>
            </w:r>
            <w:r>
              <w:rPr>
                <w:rFonts w:ascii="宋体" w:hAnsi="宋体" w:cs="Calibri"/>
                <w:kern w:val="0"/>
                <w:sz w:val="22"/>
              </w:rPr>
              <w:t>T2</w:t>
            </w:r>
            <w:r>
              <w:rPr>
                <w:rFonts w:hint="eastAsia" w:ascii="宋体" w:hAnsi="宋体" w:cs="Calibri"/>
                <w:kern w:val="0"/>
                <w:sz w:val="22"/>
              </w:rPr>
              <w:t>航站楼固定廊桥地毯采购项目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1.1.2</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交货</w:t>
            </w:r>
            <w:r>
              <w:rPr>
                <w:rFonts w:ascii="宋体" w:hAnsi="宋体" w:cs="Calibri"/>
                <w:kern w:val="0"/>
                <w:sz w:val="22"/>
              </w:rPr>
              <w:t>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资金来源</w:t>
            </w:r>
          </w:p>
        </w:tc>
        <w:tc>
          <w:tcPr>
            <w:tcW w:w="6487" w:type="dxa"/>
            <w:vAlign w:val="center"/>
          </w:tcPr>
          <w:p>
            <w:pPr>
              <w:autoSpaceDE w:val="0"/>
              <w:autoSpaceDN w:val="0"/>
              <w:adjustRightInd w:val="0"/>
              <w:snapToGrid w:val="0"/>
              <w:rPr>
                <w:rFonts w:ascii="宋体" w:hAnsi="宋体" w:cs="Calibri"/>
                <w:kern w:val="0"/>
                <w:sz w:val="22"/>
              </w:rPr>
            </w:pPr>
            <w:r>
              <w:rPr>
                <w:rStyle w:val="90"/>
                <w:rFonts w:hint="eastAsia" w:ascii="宋体" w:hAnsi="宋体"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w:t>
            </w:r>
            <w:r>
              <w:rPr>
                <w:rFonts w:hint="eastAsia" w:ascii="宋体" w:hAnsi="宋体" w:cs="Calibri"/>
                <w:kern w:val="0"/>
                <w:sz w:val="22"/>
              </w:rPr>
              <w:t>内容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见招标公告，具体要求详见第</w:t>
            </w:r>
            <w:r>
              <w:rPr>
                <w:rFonts w:hint="eastAsia" w:ascii="宋体" w:hAnsi="宋体" w:cs="Calibri"/>
                <w:kern w:val="0"/>
                <w:sz w:val="22"/>
              </w:rPr>
              <w:t>三</w:t>
            </w:r>
            <w:r>
              <w:rPr>
                <w:rFonts w:ascii="宋体" w:hAnsi="宋体" w:cs="Calibri"/>
                <w:kern w:val="0"/>
                <w:sz w:val="22"/>
              </w:rPr>
              <w:t>章“货物需求一览表及技术规格”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招标方式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资格审查</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1.6</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投标人资质条件、能力和信誉</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详见招标公告</w:t>
            </w:r>
            <w:r>
              <w:rPr>
                <w:rFonts w:hint="eastAsia" w:ascii="宋体" w:hAnsi="宋体" w:cs="Calibri"/>
                <w:kern w:val="0"/>
                <w:sz w:val="22"/>
              </w:rPr>
              <w:t>“</w:t>
            </w:r>
            <w:r>
              <w:rPr>
                <w:rFonts w:hint="eastAsia" w:ascii="宋体" w:hAnsi="宋体" w:cs="黑体"/>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1.7</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供货期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合同签订后</w:t>
            </w:r>
            <w:r>
              <w:rPr>
                <w:rFonts w:hint="eastAsia" w:ascii="宋体" w:hAnsi="宋体"/>
                <w:sz w:val="22"/>
                <w:u w:val="single"/>
              </w:rPr>
              <w:t>40</w:t>
            </w:r>
            <w:r>
              <w:rPr>
                <w:rFonts w:hint="eastAsia"/>
                <w:sz w:val="22"/>
              </w:rPr>
              <w:t>日历天</w:t>
            </w:r>
            <w:r>
              <w:rPr>
                <w:rFonts w:hint="eastAsia" w:ascii="宋体" w:hAnsi="宋体" w:cs="Calibri"/>
                <w:kern w:val="0"/>
                <w:sz w:val="22"/>
              </w:rPr>
              <w:t>内。</w:t>
            </w:r>
          </w:p>
          <w:p>
            <w:pPr>
              <w:autoSpaceDE w:val="0"/>
              <w:autoSpaceDN w:val="0"/>
              <w:adjustRightInd w:val="0"/>
              <w:snapToGrid w:val="0"/>
              <w:rPr>
                <w:rFonts w:ascii="宋体" w:hAnsi="宋体" w:cs="Calibri"/>
                <w:kern w:val="0"/>
                <w:sz w:val="22"/>
              </w:rPr>
            </w:pPr>
            <w:r>
              <w:rPr>
                <w:rFonts w:hint="eastAsia" w:ascii="宋体" w:hAnsi="宋体" w:cs="Calibri"/>
                <w:kern w:val="0"/>
                <w:sz w:val="22"/>
              </w:rPr>
              <w:t>投标人须在投标文件中提供最快交货时间和详细的供货计划。投标人可根据自身经验、技术水平及管理能力自报竞争性</w:t>
            </w:r>
            <w:r>
              <w:rPr>
                <w:rFonts w:ascii="宋体" w:hAnsi="宋体" w:cs="Calibri"/>
                <w:kern w:val="0"/>
                <w:sz w:val="22"/>
              </w:rPr>
              <w:t>供货期</w:t>
            </w:r>
            <w:r>
              <w:rPr>
                <w:rFonts w:hint="eastAsia" w:ascii="宋体" w:hAnsi="宋体" w:cs="Calibri"/>
                <w:kern w:val="0"/>
                <w:sz w:val="22"/>
              </w:rPr>
              <w:t>，但不得超过招标人明确的计划</w:t>
            </w:r>
            <w:r>
              <w:rPr>
                <w:rFonts w:ascii="宋体" w:hAnsi="宋体" w:cs="Calibri"/>
                <w:kern w:val="0"/>
                <w:sz w:val="22"/>
              </w:rPr>
              <w:t>供货期</w:t>
            </w:r>
            <w:r>
              <w:rPr>
                <w:rFonts w:hint="eastAsia" w:ascii="宋体" w:hAnsi="宋体" w:cs="Calibri"/>
                <w:kern w:val="0"/>
                <w:sz w:val="22"/>
              </w:rPr>
              <w:t>。一旦中标，该</w:t>
            </w:r>
            <w:r>
              <w:rPr>
                <w:rFonts w:ascii="宋体" w:hAnsi="宋体" w:cs="Calibri"/>
                <w:kern w:val="0"/>
                <w:sz w:val="22"/>
              </w:rPr>
              <w:t>供货期</w:t>
            </w:r>
            <w:r>
              <w:rPr>
                <w:rFonts w:hint="eastAsia" w:ascii="宋体" w:hAnsi="宋体" w:cs="Calibri"/>
                <w:kern w:val="0"/>
                <w:sz w:val="22"/>
              </w:rPr>
              <w:t>即为合同</w:t>
            </w:r>
            <w:r>
              <w:rPr>
                <w:rFonts w:ascii="宋体" w:hAnsi="宋体" w:cs="Calibri"/>
                <w:kern w:val="0"/>
                <w:sz w:val="22"/>
              </w:rPr>
              <w:t>供货期</w:t>
            </w:r>
            <w:r>
              <w:rPr>
                <w:rFonts w:hint="eastAsia" w:ascii="宋体" w:hAnsi="宋体" w:cs="Calibri"/>
                <w:kern w:val="0"/>
                <w:sz w:val="22"/>
              </w:rPr>
              <w:t>。整个项目</w:t>
            </w:r>
            <w:r>
              <w:rPr>
                <w:rFonts w:ascii="宋体" w:hAnsi="宋体" w:cs="Calibri"/>
                <w:kern w:val="0"/>
                <w:sz w:val="22"/>
              </w:rPr>
              <w:t>供货期</w:t>
            </w:r>
            <w:r>
              <w:rPr>
                <w:rFonts w:hint="eastAsia" w:ascii="宋体" w:hAnsi="宋体" w:cs="Calibri"/>
                <w:kern w:val="0"/>
                <w:sz w:val="22"/>
              </w:rPr>
              <w:t>安排应服从招标人要求。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1.8</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质量要求</w:t>
            </w:r>
          </w:p>
        </w:tc>
        <w:tc>
          <w:tcPr>
            <w:tcW w:w="6487" w:type="dxa"/>
            <w:vAlign w:val="center"/>
          </w:tcPr>
          <w:p>
            <w:pPr>
              <w:rPr>
                <w:rFonts w:ascii="宋体" w:hAnsi="宋体"/>
                <w:color w:val="000000"/>
                <w:sz w:val="22"/>
              </w:rPr>
            </w:pPr>
            <w:r>
              <w:rPr>
                <w:rFonts w:hint="eastAsia" w:ascii="宋体" w:hAnsi="宋体"/>
                <w:iCs/>
                <w:sz w:val="22"/>
              </w:rPr>
              <w:t>符</w:t>
            </w:r>
            <w:r>
              <w:rPr>
                <w:rFonts w:hint="eastAsia" w:ascii="宋体" w:hAnsi="宋体"/>
                <w:sz w:val="22"/>
              </w:rPr>
              <w:t>合国家现行相关专业验收标准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9</w:t>
            </w:r>
            <w:r>
              <w:rPr>
                <w:rFonts w:ascii="宋体" w:hAnsi="宋体" w:cs="Calibri"/>
                <w:kern w:val="0"/>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踏勘现场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不组织</w:t>
            </w:r>
          </w:p>
          <w:p>
            <w:pPr>
              <w:autoSpaceDE w:val="0"/>
              <w:autoSpaceDN w:val="0"/>
              <w:adjustRightInd w:val="0"/>
              <w:snapToGrid w:val="0"/>
              <w:rPr>
                <w:rFonts w:ascii="宋体" w:hAnsi="宋体" w:cs="Calibri"/>
                <w:kern w:val="0"/>
                <w:sz w:val="22"/>
              </w:rPr>
            </w:pPr>
            <w:r>
              <w:rPr>
                <w:rFonts w:ascii="宋体" w:hAnsi="宋体" w:cs="Calibri"/>
                <w:kern w:val="0"/>
                <w:sz w:val="22"/>
              </w:rPr>
              <w:t>□组织，踏勘时间：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10</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投标预备会</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不召开</w:t>
            </w:r>
          </w:p>
          <w:p>
            <w:pPr>
              <w:autoSpaceDE w:val="0"/>
              <w:autoSpaceDN w:val="0"/>
              <w:adjustRightInd w:val="0"/>
              <w:snapToGrid w:val="0"/>
              <w:rPr>
                <w:rFonts w:ascii="宋体" w:hAnsi="宋体" w:cs="Calibri"/>
                <w:kern w:val="0"/>
                <w:sz w:val="22"/>
              </w:rPr>
            </w:pPr>
            <w:r>
              <w:rPr>
                <w:rFonts w:ascii="宋体" w:hAnsi="宋体" w:cs="Calibri"/>
                <w:kern w:val="0"/>
                <w:sz w:val="22"/>
              </w:rPr>
              <w:t>□召开，召开时间：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投标人提出问题的截止时间</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201</w:t>
            </w:r>
            <w:r>
              <w:rPr>
                <w:rFonts w:hint="eastAsia" w:ascii="宋体" w:hAnsi="宋体" w:cs="Calibri"/>
                <w:kern w:val="0"/>
                <w:sz w:val="22"/>
              </w:rPr>
              <w:t>9</w:t>
            </w:r>
            <w:r>
              <w:rPr>
                <w:rFonts w:ascii="宋体" w:hAnsi="宋体" w:cs="Calibri"/>
                <w:kern w:val="0"/>
                <w:sz w:val="22"/>
              </w:rPr>
              <w:t>年</w:t>
            </w:r>
            <w:r>
              <w:rPr>
                <w:rFonts w:hint="eastAsia" w:ascii="宋体" w:hAnsi="宋体" w:cs="Calibri"/>
                <w:kern w:val="0"/>
                <w:sz w:val="22"/>
              </w:rPr>
              <w:t>11</w:t>
            </w:r>
            <w:r>
              <w:rPr>
                <w:rFonts w:ascii="宋体" w:hAnsi="宋体" w:cs="Calibri"/>
                <w:kern w:val="0"/>
                <w:sz w:val="22"/>
              </w:rPr>
              <w:t>月</w:t>
            </w:r>
            <w:r>
              <w:rPr>
                <w:rFonts w:hint="eastAsia" w:ascii="宋体" w:hAnsi="宋体" w:cs="Calibri"/>
                <w:kern w:val="0"/>
                <w:sz w:val="22"/>
              </w:rPr>
              <w:t>25</w:t>
            </w:r>
            <w:r>
              <w:rPr>
                <w:rFonts w:ascii="宋体" w:hAnsi="宋体" w:cs="Calibri"/>
                <w:kern w:val="0"/>
                <w:sz w:val="22"/>
              </w:rPr>
              <w:t>日</w:t>
            </w:r>
            <w:r>
              <w:rPr>
                <w:rFonts w:hint="eastAsia" w:ascii="宋体" w:hAnsi="宋体" w:cs="Calibri"/>
                <w:kern w:val="0"/>
                <w:sz w:val="22"/>
              </w:rPr>
              <w:t>11:30</w:t>
            </w:r>
            <w:r>
              <w:rPr>
                <w:rFonts w:ascii="宋体" w:hAnsi="宋体" w:cs="Calibri"/>
                <w:kern w:val="0"/>
                <w:sz w:val="22"/>
              </w:rPr>
              <w:t>前，</w:t>
            </w:r>
            <w:r>
              <w:rPr>
                <w:rFonts w:hint="eastAsia" w:ascii="宋体" w:hAnsi="宋体" w:cs="Calibri"/>
                <w:kern w:val="0"/>
                <w:sz w:val="22"/>
              </w:rPr>
              <w:t>以书面加盖公章的形式通过E-mail或传真提交给招标人（投标联系人:王迪，电话0571-</w:t>
            </w:r>
            <w:r>
              <w:rPr>
                <w:rFonts w:ascii="宋体" w:hAnsi="宋体" w:cs="Calibri"/>
                <w:kern w:val="0"/>
                <w:sz w:val="22"/>
              </w:rPr>
              <w:t>8383</w:t>
            </w:r>
            <w:r>
              <w:rPr>
                <w:rFonts w:hint="eastAsia" w:ascii="宋体" w:hAnsi="宋体" w:cs="Calibri"/>
                <w:kern w:val="0"/>
                <w:sz w:val="22"/>
              </w:rPr>
              <w:t>7003；传真：0571-86662507；电子邮箱：289991371@qq.com）投标人必须在规定时间前提出对招标文件的疑问，否则招标人有权拒绝接收和拒绝回答未在截止时间前提出的疑问。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投标截止时间</w:t>
            </w:r>
          </w:p>
        </w:tc>
        <w:tc>
          <w:tcPr>
            <w:tcW w:w="6487" w:type="dxa"/>
            <w:vAlign w:val="center"/>
          </w:tcPr>
          <w:p>
            <w:pPr>
              <w:autoSpaceDE w:val="0"/>
              <w:autoSpaceDN w:val="0"/>
              <w:adjustRightInd w:val="0"/>
              <w:snapToGrid w:val="0"/>
              <w:rPr>
                <w:rFonts w:ascii="宋体" w:hAnsi="宋体" w:cs="Calibri"/>
                <w:b/>
                <w:kern w:val="0"/>
                <w:sz w:val="22"/>
              </w:rPr>
            </w:pPr>
            <w:r>
              <w:rPr>
                <w:rFonts w:hint="eastAsia" w:ascii="宋体" w:hAnsi="宋体" w:cs="Arial"/>
                <w:kern w:val="0"/>
                <w:sz w:val="22"/>
              </w:rPr>
              <w:t>2019年11月29日09时30分（北京时间）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投标人确认收到招标文件澄清的时间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2.3.2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投标人确认收到招标文件修改的时间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3.4.1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投标有效期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120日历天</w:t>
            </w:r>
            <w:r>
              <w:rPr>
                <w:rFonts w:ascii="宋体" w:hAnsi="宋体" w:cs="Calibri"/>
                <w:kern w:val="0"/>
                <w:sz w:val="22"/>
              </w:rPr>
              <w:t>（从投标截止之日算起）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3.5.1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投标保证金</w:t>
            </w:r>
          </w:p>
        </w:tc>
        <w:tc>
          <w:tcPr>
            <w:tcW w:w="6487" w:type="dxa"/>
            <w:vAlign w:val="center"/>
          </w:tcPr>
          <w:p>
            <w:pPr>
              <w:snapToGrid w:val="0"/>
              <w:rPr>
                <w:rFonts w:ascii="宋体" w:hAnsi="宋体"/>
                <w:sz w:val="22"/>
              </w:rPr>
            </w:pP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签字或盖章要求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b/>
                <w:kern w:val="0"/>
                <w:sz w:val="22"/>
              </w:rPr>
              <w:t>投标文件封面（或扉页）、投标函以及各类报价表</w:t>
            </w:r>
            <w:r>
              <w:rPr>
                <w:rFonts w:ascii="宋体" w:hAnsi="宋体" w:cs="Calibri"/>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投标文件份数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装订要求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按照投标人须知3.2项约定的投标文件组成内容，投标文件应按以下要求装订：</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不分册装订</w:t>
            </w:r>
          </w:p>
          <w:p>
            <w:pPr>
              <w:autoSpaceDE w:val="0"/>
              <w:autoSpaceDN w:val="0"/>
              <w:adjustRightInd w:val="0"/>
              <w:snapToGrid w:val="0"/>
              <w:rPr>
                <w:rFonts w:ascii="宋体" w:hAnsi="宋体" w:cs="Calibri"/>
                <w:kern w:val="0"/>
                <w:sz w:val="22"/>
              </w:rPr>
            </w:pPr>
            <w:r>
              <w:rPr>
                <w:rFonts w:ascii="宋体" w:hAnsi="宋体" w:cs="Calibri"/>
                <w:kern w:val="0"/>
                <w:sz w:val="22"/>
              </w:rPr>
              <w:t>□分册装订</w:t>
            </w:r>
          </w:p>
          <w:p>
            <w:pPr>
              <w:autoSpaceDE w:val="0"/>
              <w:autoSpaceDN w:val="0"/>
              <w:adjustRightInd w:val="0"/>
              <w:snapToGrid w:val="0"/>
              <w:rPr>
                <w:rFonts w:ascii="宋体" w:hAnsi="宋体" w:cs="Calibri"/>
                <w:kern w:val="0"/>
                <w:sz w:val="22"/>
              </w:rPr>
            </w:pPr>
            <w:r>
              <w:rPr>
                <w:rFonts w:ascii="宋体" w:hAnsi="宋体" w:cs="Calibri"/>
                <w:kern w:val="0"/>
                <w:sz w:val="22"/>
              </w:rPr>
              <w:t>每册采用</w:t>
            </w:r>
            <w:r>
              <w:rPr>
                <w:rFonts w:ascii="宋体" w:hAnsi="宋体" w:cs="Calibri"/>
                <w:kern w:val="0"/>
                <w:sz w:val="22"/>
                <w:u w:val="single"/>
              </w:rPr>
              <w:t xml:space="preserve"> 胶装 </w:t>
            </w:r>
            <w:r>
              <w:rPr>
                <w:rFonts w:ascii="宋体" w:hAnsi="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封套上写明</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招标人的地址：</w:t>
            </w:r>
            <w:r>
              <w:rPr>
                <w:rFonts w:hint="eastAsia" w:ascii="宋体" w:hAnsi="宋体"/>
                <w:sz w:val="22"/>
                <w:u w:val="single"/>
              </w:rPr>
              <w:t>杭州萧山国际机场内</w:t>
            </w:r>
          </w:p>
          <w:p>
            <w:pPr>
              <w:autoSpaceDE w:val="0"/>
              <w:autoSpaceDN w:val="0"/>
              <w:adjustRightInd w:val="0"/>
              <w:snapToGrid w:val="0"/>
              <w:rPr>
                <w:rFonts w:ascii="宋体" w:hAnsi="宋体" w:cs="Calibri"/>
                <w:kern w:val="0"/>
                <w:sz w:val="22"/>
              </w:rPr>
            </w:pPr>
            <w:r>
              <w:rPr>
                <w:rFonts w:ascii="宋体" w:hAnsi="宋体" w:cs="Calibri"/>
                <w:kern w:val="0"/>
                <w:sz w:val="22"/>
              </w:rPr>
              <w:t>招标人名称：</w:t>
            </w:r>
            <w:r>
              <w:rPr>
                <w:rFonts w:ascii="宋体" w:hAnsi="宋体" w:cs="Calibri"/>
                <w:kern w:val="0"/>
                <w:sz w:val="22"/>
                <w:u w:val="single"/>
              </w:rPr>
              <w:t>杭州萧山国际机场有限公司</w:t>
            </w:r>
          </w:p>
          <w:p>
            <w:pPr>
              <w:autoSpaceDE w:val="0"/>
              <w:autoSpaceDN w:val="0"/>
              <w:adjustRightInd w:val="0"/>
              <w:rPr>
                <w:rFonts w:ascii="宋体" w:hAnsi="宋体" w:cs="Calibri"/>
                <w:sz w:val="22"/>
                <w:u w:val="single"/>
              </w:rPr>
            </w:pPr>
            <w:r>
              <w:rPr>
                <w:rFonts w:hint="eastAsia" w:ascii="宋体" w:hAnsi="宋体" w:cs="宋体"/>
                <w:sz w:val="22"/>
              </w:rPr>
              <w:t>项目名称：</w:t>
            </w:r>
            <w:r>
              <w:rPr>
                <w:rFonts w:hint="eastAsia" w:ascii="宋体" w:hAnsi="宋体" w:cs="Calibri"/>
                <w:sz w:val="22"/>
                <w:u w:val="single"/>
              </w:rPr>
              <w:t>杭州萧山国际机场</w:t>
            </w:r>
            <w:r>
              <w:rPr>
                <w:rFonts w:ascii="宋体" w:hAnsi="宋体" w:cs="Calibri"/>
                <w:sz w:val="22"/>
                <w:u w:val="single"/>
              </w:rPr>
              <w:t>T2</w:t>
            </w:r>
            <w:r>
              <w:rPr>
                <w:rFonts w:hint="eastAsia" w:ascii="宋体" w:hAnsi="宋体" w:cs="Calibri"/>
                <w:sz w:val="22"/>
                <w:u w:val="single"/>
              </w:rPr>
              <w:t>航站楼固定廊桥地毯采购项目</w:t>
            </w:r>
          </w:p>
          <w:p>
            <w:pPr>
              <w:autoSpaceDE w:val="0"/>
              <w:autoSpaceDN w:val="0"/>
              <w:adjustRightInd w:val="0"/>
              <w:snapToGrid w:val="0"/>
              <w:rPr>
                <w:rFonts w:ascii="宋体" w:hAnsi="宋体" w:cs="Calibri"/>
                <w:kern w:val="0"/>
                <w:sz w:val="22"/>
              </w:rPr>
            </w:pPr>
            <w:r>
              <w:rPr>
                <w:rFonts w:hint="eastAsia" w:ascii="宋体" w:hAnsi="宋体" w:cs="宋体"/>
                <w:sz w:val="22"/>
              </w:rPr>
              <w:t>投标文件</w:t>
            </w:r>
          </w:p>
          <w:p>
            <w:pPr>
              <w:autoSpaceDE w:val="0"/>
              <w:autoSpaceDN w:val="0"/>
              <w:adjustRightInd w:val="0"/>
              <w:snapToGrid w:val="0"/>
              <w:rPr>
                <w:rFonts w:ascii="宋体" w:hAnsi="宋体" w:cs="Calibri"/>
                <w:kern w:val="0"/>
                <w:sz w:val="22"/>
              </w:rPr>
            </w:pPr>
            <w:r>
              <w:rPr>
                <w:rFonts w:ascii="宋体" w:hAnsi="宋体" w:cs="Calibri"/>
                <w:kern w:val="0"/>
                <w:sz w:val="22"/>
              </w:rPr>
              <w:t>在</w:t>
            </w:r>
            <w:r>
              <w:rPr>
                <w:rFonts w:hint="eastAsia" w:ascii="宋体" w:hAnsi="宋体" w:cs="Arial"/>
                <w:kern w:val="0"/>
                <w:sz w:val="22"/>
              </w:rPr>
              <w:t>2019年11月29日09时30分</w:t>
            </w:r>
            <w:r>
              <w:rPr>
                <w:rFonts w:ascii="宋体" w:hAnsi="宋体" w:cs="Calibri"/>
                <w:kern w:val="0"/>
                <w:sz w:val="22"/>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递交投标文件地点</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b/>
                <w:bCs/>
                <w:szCs w:val="21"/>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是否退还投标文件</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pPr>
              <w:autoSpaceDE w:val="0"/>
              <w:autoSpaceDN w:val="0"/>
              <w:adjustRightInd w:val="0"/>
              <w:snapToGrid w:val="0"/>
              <w:rPr>
                <w:rFonts w:ascii="宋体" w:hAnsi="宋体" w:cs="Calibri"/>
                <w:kern w:val="0"/>
                <w:sz w:val="22"/>
              </w:rPr>
            </w:pPr>
            <w:r>
              <w:rPr>
                <w:rFonts w:ascii="宋体" w:hAnsi="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开标时间和地点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开标时间：同投标截止时间</w:t>
            </w:r>
          </w:p>
          <w:p>
            <w:pPr>
              <w:autoSpaceDE w:val="0"/>
              <w:autoSpaceDN w:val="0"/>
              <w:adjustRightInd w:val="0"/>
              <w:snapToGrid w:val="0"/>
              <w:rPr>
                <w:rFonts w:ascii="宋体" w:hAnsi="宋体" w:cs="Calibri"/>
                <w:kern w:val="0"/>
                <w:sz w:val="22"/>
              </w:rPr>
            </w:pPr>
            <w:r>
              <w:rPr>
                <w:rFonts w:ascii="宋体" w:hAnsi="宋体" w:cs="Calibri"/>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开标程序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（4）密封情况检查：由投标人或者其集体推选的代表检查投标文件的密封情况。</w:t>
            </w:r>
          </w:p>
          <w:p>
            <w:pPr>
              <w:autoSpaceDE w:val="0"/>
              <w:autoSpaceDN w:val="0"/>
              <w:adjustRightInd w:val="0"/>
              <w:snapToGrid w:val="0"/>
              <w:rPr>
                <w:rFonts w:ascii="宋体" w:hAnsi="宋体" w:cs="Calibri"/>
                <w:kern w:val="0"/>
                <w:sz w:val="22"/>
              </w:rPr>
            </w:pPr>
            <w:r>
              <w:rPr>
                <w:rFonts w:ascii="宋体" w:hAnsi="宋体" w:cs="Calibri"/>
                <w:kern w:val="0"/>
                <w:sz w:val="22"/>
              </w:rPr>
              <w:t>（5）开标顺序：按照后送达先开的顺序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6.1.1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评标委员会的组建</w:t>
            </w:r>
          </w:p>
        </w:tc>
        <w:tc>
          <w:tcPr>
            <w:tcW w:w="6487" w:type="dxa"/>
            <w:vAlign w:val="center"/>
          </w:tcPr>
          <w:p>
            <w:pPr>
              <w:autoSpaceDE w:val="0"/>
              <w:autoSpaceDN w:val="0"/>
              <w:adjustRightInd w:val="0"/>
              <w:snapToGrid w:val="0"/>
              <w:jc w:val="left"/>
              <w:rPr>
                <w:rFonts w:ascii="宋体" w:hAnsi="宋体"/>
                <w:sz w:val="22"/>
              </w:rPr>
            </w:pPr>
            <w:r>
              <w:rPr>
                <w:rFonts w:hint="eastAsia" w:ascii="宋体" w:hAnsi="宋体"/>
                <w:sz w:val="22"/>
              </w:rPr>
              <w:t>评标委员会构成</w:t>
            </w:r>
            <w:r>
              <w:rPr>
                <w:rFonts w:hint="eastAsia" w:ascii="宋体" w:hAnsi="宋体" w:cs="Calibri"/>
                <w:kern w:val="0"/>
                <w:sz w:val="22"/>
              </w:rPr>
              <w:t>：3</w:t>
            </w:r>
            <w:r>
              <w:rPr>
                <w:rFonts w:hint="eastAsia" w:ascii="宋体" w:hAnsi="宋体"/>
                <w:sz w:val="22"/>
              </w:rPr>
              <w:t>人及以上单数</w:t>
            </w:r>
          </w:p>
          <w:p>
            <w:pPr>
              <w:autoSpaceDE w:val="0"/>
              <w:autoSpaceDN w:val="0"/>
              <w:adjustRightInd w:val="0"/>
              <w:snapToGrid w:val="0"/>
              <w:jc w:val="left"/>
              <w:rPr>
                <w:rFonts w:ascii="宋体" w:hAnsi="宋体"/>
                <w:sz w:val="22"/>
              </w:rPr>
            </w:pPr>
            <w:r>
              <w:rPr>
                <w:rFonts w:hint="eastAsia" w:ascii="宋体" w:hAnsi="宋体"/>
                <w:sz w:val="22"/>
              </w:rPr>
              <w:t>评标专家确定方式：评标委员会由招标人自行组建。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是否授权评标委员会确定中标人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□是</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7.3.1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履约</w:t>
            </w:r>
            <w:r>
              <w:rPr>
                <w:rFonts w:hint="eastAsia" w:ascii="宋体" w:hAnsi="宋体" w:cs="Calibri"/>
                <w:kern w:val="0"/>
                <w:sz w:val="22"/>
              </w:rPr>
              <w:t>保证金</w:t>
            </w:r>
          </w:p>
        </w:tc>
        <w:tc>
          <w:tcPr>
            <w:tcW w:w="6487" w:type="dxa"/>
            <w:vAlign w:val="center"/>
          </w:tcPr>
          <w:p>
            <w:pPr>
              <w:autoSpaceDE w:val="0"/>
              <w:autoSpaceDN w:val="0"/>
              <w:adjustRightInd w:val="0"/>
              <w:snapToGrid w:val="0"/>
              <w:jc w:val="left"/>
              <w:rPr>
                <w:rFonts w:ascii="宋体" w:hAnsi="宋体"/>
                <w:sz w:val="22"/>
              </w:rPr>
            </w:pP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p>
        </w:tc>
        <w:tc>
          <w:tcPr>
            <w:tcW w:w="8491" w:type="dxa"/>
            <w:gridSpan w:val="2"/>
            <w:vAlign w:val="center"/>
          </w:tcPr>
          <w:p>
            <w:pPr>
              <w:autoSpaceDE w:val="0"/>
              <w:autoSpaceDN w:val="0"/>
              <w:adjustRightInd w:val="0"/>
              <w:snapToGrid w:val="0"/>
              <w:jc w:val="center"/>
              <w:rPr>
                <w:rFonts w:ascii="宋体" w:hAnsi="宋体" w:cs="Calibri"/>
                <w:snapToGrid w:val="0"/>
                <w:sz w:val="22"/>
              </w:rPr>
            </w:pPr>
            <w:r>
              <w:rPr>
                <w:rFonts w:ascii="宋体" w:hAnsi="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10.2</w:t>
            </w:r>
          </w:p>
        </w:tc>
        <w:tc>
          <w:tcPr>
            <w:tcW w:w="2004" w:type="dxa"/>
            <w:shd w:val="clear" w:color="auto" w:fill="auto"/>
            <w:vAlign w:val="center"/>
          </w:tcPr>
          <w:p>
            <w:pPr>
              <w:pStyle w:val="41"/>
              <w:rPr>
                <w:rFonts w:ascii="宋体" w:hAnsi="宋体" w:cs="Calibri"/>
                <w:sz w:val="22"/>
                <w:szCs w:val="22"/>
              </w:rPr>
            </w:pPr>
            <w:r>
              <w:rPr>
                <w:rFonts w:ascii="宋体" w:hAnsi="宋体" w:cs="Calibri"/>
                <w:sz w:val="22"/>
                <w:szCs w:val="22"/>
              </w:rPr>
              <w:t>其他</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djustRightInd w:val="0"/>
              <w:snapToGrid w:val="0"/>
              <w:rPr>
                <w:rFonts w:ascii="宋体" w:hAnsi="宋体" w:cs="Calibri"/>
                <w:snapToGrid w:val="0"/>
                <w:kern w:val="0"/>
                <w:sz w:val="22"/>
              </w:rPr>
            </w:pPr>
            <w:r>
              <w:rPr>
                <w:rFonts w:ascii="宋体" w:hAnsi="宋体" w:cs="Calibri"/>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10.3</w:t>
            </w:r>
          </w:p>
        </w:tc>
        <w:tc>
          <w:tcPr>
            <w:tcW w:w="2004" w:type="dxa"/>
            <w:shd w:val="clear" w:color="auto" w:fill="auto"/>
            <w:vAlign w:val="center"/>
          </w:tcPr>
          <w:p>
            <w:pPr>
              <w:pStyle w:val="41"/>
            </w:pPr>
            <w:r>
              <w:rPr>
                <w:rFonts w:hint="eastAsia"/>
              </w:rPr>
              <w:t>备注</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本前附表内容与招标文件其他内容不一致之处，以本前附表为准。</w:t>
            </w:r>
          </w:p>
        </w:tc>
      </w:tr>
    </w:tbl>
    <w:p>
      <w:pPr>
        <w:autoSpaceDE w:val="0"/>
        <w:autoSpaceDN w:val="0"/>
        <w:adjustRightInd w:val="0"/>
        <w:snapToGrid w:val="0"/>
        <w:spacing w:line="400" w:lineRule="exact"/>
        <w:rPr>
          <w:b/>
        </w:rPr>
      </w:pPr>
      <w:bookmarkStart w:id="2" w:name="_Toc26216"/>
    </w:p>
    <w:p>
      <w:pPr>
        <w:autoSpaceDE w:val="0"/>
        <w:autoSpaceDN w:val="0"/>
        <w:adjustRightInd w:val="0"/>
        <w:snapToGrid w:val="0"/>
        <w:spacing w:line="360" w:lineRule="exact"/>
        <w:rPr>
          <w:rFonts w:ascii="宋体" w:hAnsi="宋体" w:cs="Calibri"/>
          <w:b/>
          <w:bCs/>
          <w:kern w:val="0"/>
          <w:sz w:val="22"/>
        </w:rPr>
      </w:pPr>
      <w:r>
        <w:rPr>
          <w:b/>
        </w:rPr>
        <w:br w:type="page"/>
      </w:r>
      <w:bookmarkEnd w:id="2"/>
      <w:r>
        <w:rPr>
          <w:rFonts w:ascii="宋体" w:hAnsi="宋体" w:cs="Calibri"/>
          <w:b/>
          <w:bCs/>
          <w:kern w:val="0"/>
          <w:sz w:val="22"/>
        </w:rPr>
        <w:t>1.</w:t>
      </w:r>
      <w:r>
        <w:rPr>
          <w:rFonts w:hint="eastAsia" w:ascii="宋体" w:hAnsi="宋体" w:cs="Calibri"/>
          <w:b/>
          <w:bCs/>
          <w:kern w:val="0"/>
          <w:sz w:val="22"/>
        </w:rPr>
        <w:t xml:space="preserve"> </w:t>
      </w:r>
      <w:r>
        <w:rPr>
          <w:rFonts w:ascii="宋体" w:hAnsi="宋体" w:cs="Calibri"/>
          <w:b/>
          <w:bCs/>
          <w:kern w:val="0"/>
          <w:sz w:val="22"/>
        </w:rPr>
        <w:t>总则</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1.1 项目概况</w:t>
      </w:r>
    </w:p>
    <w:p>
      <w:pPr>
        <w:adjustRightInd w:val="0"/>
        <w:snapToGrid w:val="0"/>
        <w:spacing w:line="360" w:lineRule="exact"/>
        <w:ind w:firstLine="440"/>
        <w:rPr>
          <w:rFonts w:ascii="宋体" w:hAnsi="宋体" w:cs="Calibri"/>
          <w:color w:val="000000"/>
          <w:kern w:val="0"/>
          <w:sz w:val="22"/>
        </w:rPr>
      </w:pPr>
      <w:r>
        <w:rPr>
          <w:rFonts w:ascii="宋体" w:hAnsi="宋体" w:cs="Calibri"/>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1.1.2项目</w:t>
      </w:r>
      <w:r>
        <w:rPr>
          <w:rFonts w:hint="eastAsia" w:ascii="宋体" w:hAnsi="宋体" w:cs="Calibri"/>
          <w:color w:val="000000"/>
          <w:kern w:val="0"/>
          <w:sz w:val="22"/>
        </w:rPr>
        <w:t>交货</w:t>
      </w:r>
      <w:r>
        <w:rPr>
          <w:rFonts w:ascii="宋体" w:hAnsi="宋体" w:cs="Calibri"/>
          <w:color w:val="000000"/>
          <w:kern w:val="0"/>
          <w:sz w:val="22"/>
        </w:rPr>
        <w:t>地点见投标人须知前附表</w:t>
      </w:r>
      <w:r>
        <w:rPr>
          <w:rFonts w:ascii="宋体" w:hAnsi="宋体" w:cs="Calibri"/>
          <w:color w:val="000000"/>
          <w:sz w:val="22"/>
        </w:rPr>
        <w:t>。</w:t>
      </w:r>
    </w:p>
    <w:p>
      <w:pPr>
        <w:autoSpaceDE w:val="0"/>
        <w:autoSpaceDN w:val="0"/>
        <w:adjustRightInd w:val="0"/>
        <w:snapToGrid w:val="0"/>
        <w:spacing w:line="360" w:lineRule="exact"/>
        <w:rPr>
          <w:rFonts w:ascii="宋体" w:hAnsi="宋体" w:cs="Calibri"/>
          <w:b/>
          <w:bCs/>
          <w:kern w:val="0"/>
          <w:sz w:val="22"/>
        </w:rPr>
      </w:pPr>
      <w:bookmarkStart w:id="3" w:name="_Toc9136"/>
      <w:r>
        <w:rPr>
          <w:rFonts w:ascii="宋体" w:hAnsi="宋体" w:cs="Calibri"/>
          <w:b/>
          <w:bCs/>
          <w:kern w:val="0"/>
          <w:sz w:val="22"/>
        </w:rPr>
        <w:t>1.</w:t>
      </w:r>
      <w:r>
        <w:rPr>
          <w:rFonts w:hint="eastAsia" w:ascii="宋体" w:hAnsi="宋体" w:cs="Calibri"/>
          <w:b/>
          <w:bCs/>
          <w:kern w:val="0"/>
          <w:sz w:val="22"/>
        </w:rPr>
        <w:t>2</w:t>
      </w:r>
      <w:r>
        <w:rPr>
          <w:rFonts w:ascii="宋体" w:hAnsi="宋体" w:cs="Calibri"/>
          <w:b/>
          <w:bCs/>
          <w:kern w:val="0"/>
          <w:sz w:val="22"/>
        </w:rPr>
        <w:t xml:space="preserve"> 资金来源</w:t>
      </w:r>
      <w:bookmarkEnd w:id="3"/>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 w:name="_Toc10673"/>
      <w:r>
        <w:rPr>
          <w:rFonts w:ascii="宋体" w:hAnsi="宋体" w:cs="Calibri"/>
          <w:b/>
          <w:bCs/>
          <w:kern w:val="0"/>
          <w:sz w:val="22"/>
        </w:rPr>
        <w:t>1.</w:t>
      </w:r>
      <w:r>
        <w:rPr>
          <w:rFonts w:hint="eastAsia" w:ascii="宋体" w:hAnsi="宋体" w:cs="Calibri"/>
          <w:b/>
          <w:bCs/>
          <w:kern w:val="0"/>
          <w:sz w:val="22"/>
        </w:rPr>
        <w:t>3</w:t>
      </w:r>
      <w:r>
        <w:rPr>
          <w:rFonts w:ascii="宋体" w:hAnsi="宋体" w:cs="Calibri"/>
          <w:b/>
          <w:bCs/>
          <w:kern w:val="0"/>
          <w:sz w:val="22"/>
        </w:rPr>
        <w:t xml:space="preserve"> 招标</w:t>
      </w:r>
      <w:bookmarkEnd w:id="4"/>
      <w:r>
        <w:rPr>
          <w:rFonts w:hint="eastAsia" w:ascii="宋体" w:hAnsi="宋体" w:cs="Calibri"/>
          <w:b/>
          <w:bCs/>
          <w:kern w:val="0"/>
          <w:sz w:val="22"/>
        </w:rPr>
        <w:t>内容</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5" w:name="_Toc718"/>
      <w:r>
        <w:rPr>
          <w:rFonts w:ascii="宋体" w:hAnsi="宋体" w:cs="Calibri"/>
          <w:b/>
          <w:bCs/>
          <w:kern w:val="0"/>
          <w:sz w:val="22"/>
        </w:rPr>
        <w:t>1.</w:t>
      </w:r>
      <w:r>
        <w:rPr>
          <w:rFonts w:hint="eastAsia" w:ascii="宋体" w:hAnsi="宋体" w:cs="Calibri"/>
          <w:b/>
          <w:bCs/>
          <w:kern w:val="0"/>
          <w:sz w:val="22"/>
        </w:rPr>
        <w:t>4</w:t>
      </w:r>
      <w:r>
        <w:rPr>
          <w:rFonts w:ascii="宋体" w:hAnsi="宋体" w:cs="Calibri"/>
          <w:b/>
          <w:bCs/>
          <w:kern w:val="0"/>
          <w:sz w:val="22"/>
        </w:rPr>
        <w:t xml:space="preserve"> 招标方式</w:t>
      </w:r>
      <w:bookmarkEnd w:id="5"/>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6" w:name="_Toc9161"/>
      <w:r>
        <w:rPr>
          <w:rFonts w:ascii="宋体" w:hAnsi="宋体" w:cs="Calibri"/>
          <w:b/>
          <w:bCs/>
          <w:kern w:val="0"/>
          <w:sz w:val="22"/>
        </w:rPr>
        <w:t>1.</w:t>
      </w:r>
      <w:r>
        <w:rPr>
          <w:rFonts w:hint="eastAsia" w:ascii="宋体" w:hAnsi="宋体" w:cs="Calibri"/>
          <w:b/>
          <w:bCs/>
          <w:kern w:val="0"/>
          <w:sz w:val="22"/>
        </w:rPr>
        <w:t xml:space="preserve">5 </w:t>
      </w:r>
      <w:r>
        <w:rPr>
          <w:rFonts w:ascii="宋体" w:hAnsi="宋体" w:cs="Calibri"/>
          <w:b/>
          <w:bCs/>
          <w:kern w:val="0"/>
          <w:sz w:val="22"/>
        </w:rPr>
        <w:t>资格审查</w:t>
      </w:r>
      <w:bookmarkEnd w:id="6"/>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7" w:name="_Toc13012"/>
      <w:r>
        <w:rPr>
          <w:rFonts w:ascii="宋体" w:hAnsi="宋体" w:cs="Calibri"/>
          <w:b/>
          <w:bCs/>
          <w:kern w:val="0"/>
          <w:sz w:val="22"/>
        </w:rPr>
        <w:t>1.</w:t>
      </w:r>
      <w:r>
        <w:rPr>
          <w:rFonts w:hint="eastAsia" w:ascii="宋体" w:hAnsi="宋体" w:cs="Calibri"/>
          <w:b/>
          <w:bCs/>
          <w:kern w:val="0"/>
          <w:sz w:val="22"/>
        </w:rPr>
        <w:t>6</w:t>
      </w:r>
      <w:r>
        <w:rPr>
          <w:rFonts w:ascii="宋体" w:hAnsi="宋体" w:cs="Calibri"/>
          <w:b/>
          <w:bCs/>
          <w:kern w:val="0"/>
          <w:sz w:val="22"/>
        </w:rPr>
        <w:t xml:space="preserve"> 投标人资质条件、能力和信誉</w:t>
      </w:r>
      <w:bookmarkEnd w:id="7"/>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8" w:name="_Toc2796"/>
      <w:r>
        <w:rPr>
          <w:rFonts w:ascii="宋体" w:hAnsi="宋体" w:cs="Calibri"/>
          <w:b/>
          <w:bCs/>
          <w:kern w:val="0"/>
          <w:sz w:val="22"/>
        </w:rPr>
        <w:t>1.</w:t>
      </w:r>
      <w:r>
        <w:rPr>
          <w:rFonts w:hint="eastAsia" w:ascii="宋体" w:hAnsi="宋体" w:cs="Calibri"/>
          <w:b/>
          <w:bCs/>
          <w:kern w:val="0"/>
          <w:sz w:val="22"/>
        </w:rPr>
        <w:t>7</w:t>
      </w:r>
      <w:r>
        <w:rPr>
          <w:rFonts w:ascii="宋体" w:hAnsi="宋体" w:cs="Calibri"/>
          <w:b/>
          <w:bCs/>
          <w:kern w:val="0"/>
          <w:sz w:val="22"/>
        </w:rPr>
        <w:t xml:space="preserve"> </w:t>
      </w:r>
      <w:r>
        <w:rPr>
          <w:rFonts w:hint="eastAsia" w:ascii="宋体" w:hAnsi="宋体" w:cs="Calibri"/>
          <w:b/>
          <w:bCs/>
          <w:kern w:val="0"/>
          <w:sz w:val="22"/>
        </w:rPr>
        <w:t>供货</w:t>
      </w:r>
      <w:r>
        <w:rPr>
          <w:rFonts w:ascii="宋体" w:hAnsi="宋体" w:cs="Calibri"/>
          <w:b/>
          <w:bCs/>
          <w:kern w:val="0"/>
          <w:sz w:val="22"/>
        </w:rPr>
        <w:t>期</w:t>
      </w:r>
      <w:bookmarkEnd w:id="8"/>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1.8 质量要求</w:t>
      </w:r>
    </w:p>
    <w:p>
      <w:pPr>
        <w:adjustRightInd w:val="0"/>
        <w:snapToGrid w:val="0"/>
        <w:spacing w:line="360" w:lineRule="exact"/>
        <w:ind w:firstLine="440"/>
        <w:rPr>
          <w:rFonts w:ascii="宋体" w:hAnsi="宋体" w:cs="Calibri"/>
          <w:color w:val="000000"/>
          <w:sz w:val="22"/>
        </w:rPr>
      </w:pPr>
      <w:bookmarkStart w:id="9" w:name="_Toc13907"/>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w:t>
      </w:r>
      <w:r>
        <w:rPr>
          <w:rFonts w:hint="eastAsia" w:ascii="宋体" w:hAnsi="宋体" w:cs="Calibri"/>
          <w:b/>
          <w:bCs/>
          <w:kern w:val="0"/>
          <w:sz w:val="22"/>
        </w:rPr>
        <w:t>9</w:t>
      </w:r>
      <w:r>
        <w:rPr>
          <w:rFonts w:ascii="宋体" w:hAnsi="宋体" w:cs="Calibri"/>
          <w:b/>
          <w:bCs/>
          <w:kern w:val="0"/>
          <w:sz w:val="22"/>
        </w:rPr>
        <w:t xml:space="preserve"> 踏勘现场</w:t>
      </w:r>
      <w:bookmarkEnd w:id="9"/>
    </w:p>
    <w:p>
      <w:pPr>
        <w:adjustRightInd w:val="0"/>
        <w:snapToGrid w:val="0"/>
        <w:spacing w:line="360" w:lineRule="exact"/>
        <w:ind w:firstLine="440"/>
        <w:rPr>
          <w:rFonts w:ascii="宋体" w:hAnsi="宋体" w:cs="Calibri"/>
          <w:color w:val="000000"/>
          <w:sz w:val="22"/>
        </w:rPr>
      </w:pPr>
      <w:r>
        <w:rPr>
          <w:rFonts w:ascii="宋体" w:hAnsi="宋体" w:cs="Calibri"/>
          <w:sz w:val="22"/>
        </w:rPr>
        <w:t>1.</w:t>
      </w:r>
      <w:r>
        <w:rPr>
          <w:rFonts w:hint="eastAsia" w:ascii="宋体" w:hAnsi="宋体" w:cs="Calibri"/>
          <w:sz w:val="22"/>
        </w:rPr>
        <w:t>9</w:t>
      </w:r>
      <w:r>
        <w:rPr>
          <w:rFonts w:ascii="宋体" w:hAnsi="宋体" w:cs="Calibri"/>
          <w:sz w:val="22"/>
        </w:rPr>
        <w:t>.1</w:t>
      </w:r>
      <w:r>
        <w:rPr>
          <w:rFonts w:ascii="宋体" w:hAnsi="宋体" w:cs="Calibri"/>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.2 投标人踏勘现场发生的费用自理。</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.3 投标人自行负责在踏勘现场中所发生的人员伤亡和财产损失。</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ascii="宋体" w:hAnsi="宋体" w:cs="Calibri"/>
          <w:b/>
          <w:bCs/>
          <w:kern w:val="0"/>
          <w:sz w:val="22"/>
        </w:rPr>
      </w:pPr>
      <w:bookmarkStart w:id="10" w:name="_Toc4199"/>
      <w:r>
        <w:rPr>
          <w:rFonts w:ascii="宋体" w:hAnsi="宋体" w:cs="Calibri"/>
          <w:b/>
          <w:bCs/>
          <w:kern w:val="0"/>
          <w:sz w:val="22"/>
        </w:rPr>
        <w:t>1.</w:t>
      </w:r>
      <w:r>
        <w:rPr>
          <w:rFonts w:hint="eastAsia" w:ascii="宋体" w:hAnsi="宋体" w:cs="Calibri"/>
          <w:b/>
          <w:bCs/>
          <w:kern w:val="0"/>
          <w:sz w:val="22"/>
        </w:rPr>
        <w:t>10</w:t>
      </w:r>
      <w:r>
        <w:rPr>
          <w:rFonts w:ascii="宋体" w:hAnsi="宋体" w:cs="Calibri"/>
          <w:b/>
          <w:bCs/>
          <w:kern w:val="0"/>
          <w:sz w:val="22"/>
        </w:rPr>
        <w:t xml:space="preserve"> 投标预备会</w:t>
      </w:r>
      <w:bookmarkEnd w:id="1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11" w:name="_Toc4584"/>
      <w:r>
        <w:rPr>
          <w:rFonts w:ascii="宋体" w:hAnsi="宋体" w:cs="Calibri"/>
          <w:b/>
          <w:bCs/>
          <w:kern w:val="0"/>
          <w:sz w:val="22"/>
        </w:rPr>
        <w:t>1.1</w:t>
      </w:r>
      <w:r>
        <w:rPr>
          <w:rFonts w:hint="eastAsia" w:ascii="宋体" w:hAnsi="宋体" w:cs="Calibri"/>
          <w:b/>
          <w:bCs/>
          <w:kern w:val="0"/>
          <w:sz w:val="22"/>
        </w:rPr>
        <w:t>1</w:t>
      </w:r>
      <w:r>
        <w:rPr>
          <w:rFonts w:ascii="宋体" w:hAnsi="宋体" w:cs="Calibri"/>
          <w:b/>
          <w:bCs/>
          <w:kern w:val="0"/>
          <w:sz w:val="22"/>
        </w:rPr>
        <w:t xml:space="preserve"> 分包</w:t>
      </w:r>
      <w:bookmarkEnd w:id="1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本项目</w:t>
      </w:r>
      <w:r>
        <w:rPr>
          <w:rFonts w:hint="eastAsia" w:ascii="宋体" w:hAnsi="宋体" w:cs="Calibri"/>
          <w:color w:val="000000"/>
          <w:sz w:val="22"/>
        </w:rPr>
        <w:t>涉及到其它专业的部分分项工作</w:t>
      </w:r>
      <w:r>
        <w:rPr>
          <w:rFonts w:ascii="宋体" w:hAnsi="宋体" w:cs="Calibri"/>
          <w:color w:val="000000"/>
          <w:sz w:val="22"/>
        </w:rPr>
        <w:t>允许分包。</w:t>
      </w:r>
    </w:p>
    <w:p>
      <w:pPr>
        <w:autoSpaceDE w:val="0"/>
        <w:autoSpaceDN w:val="0"/>
        <w:adjustRightInd w:val="0"/>
        <w:snapToGrid w:val="0"/>
        <w:spacing w:line="360" w:lineRule="exact"/>
        <w:rPr>
          <w:rFonts w:ascii="宋体" w:hAnsi="宋体" w:cs="Calibri"/>
          <w:b/>
          <w:bCs/>
          <w:kern w:val="0"/>
          <w:sz w:val="22"/>
        </w:rPr>
      </w:pPr>
      <w:bookmarkStart w:id="12" w:name="_Toc3996"/>
      <w:r>
        <w:rPr>
          <w:rFonts w:ascii="宋体" w:hAnsi="宋体" w:cs="Calibri"/>
          <w:b/>
          <w:bCs/>
          <w:kern w:val="0"/>
          <w:sz w:val="22"/>
        </w:rPr>
        <w:t>1.1</w:t>
      </w:r>
      <w:r>
        <w:rPr>
          <w:rFonts w:hint="eastAsia" w:ascii="宋体" w:hAnsi="宋体" w:cs="Calibri"/>
          <w:b/>
          <w:bCs/>
          <w:kern w:val="0"/>
          <w:sz w:val="22"/>
        </w:rPr>
        <w:t>2</w:t>
      </w:r>
      <w:r>
        <w:rPr>
          <w:rFonts w:ascii="宋体" w:hAnsi="宋体" w:cs="Calibri"/>
          <w:b/>
          <w:bCs/>
          <w:kern w:val="0"/>
          <w:sz w:val="22"/>
        </w:rPr>
        <w:t xml:space="preserve"> 投标费用</w:t>
      </w:r>
      <w:bookmarkEnd w:id="12"/>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投标人在投标过程中的一切费用，不论中标与否，均由投标人自理。</w:t>
      </w:r>
    </w:p>
    <w:p>
      <w:pPr>
        <w:autoSpaceDE w:val="0"/>
        <w:autoSpaceDN w:val="0"/>
        <w:adjustRightInd w:val="0"/>
        <w:snapToGrid w:val="0"/>
        <w:spacing w:line="360" w:lineRule="exact"/>
        <w:rPr>
          <w:rFonts w:ascii="宋体" w:hAnsi="宋体" w:cs="Calibri"/>
          <w:b/>
          <w:bCs/>
          <w:kern w:val="0"/>
          <w:sz w:val="22"/>
        </w:rPr>
      </w:pPr>
      <w:bookmarkStart w:id="13" w:name="_Toc15241"/>
      <w:bookmarkStart w:id="14" w:name="_Toc143421657"/>
      <w:r>
        <w:rPr>
          <w:rFonts w:ascii="宋体" w:hAnsi="宋体" w:cs="Calibri"/>
          <w:b/>
          <w:bCs/>
          <w:kern w:val="0"/>
          <w:sz w:val="22"/>
        </w:rPr>
        <w:t>2.招标文件</w:t>
      </w:r>
      <w:bookmarkEnd w:id="13"/>
      <w:bookmarkEnd w:id="14"/>
    </w:p>
    <w:p>
      <w:pPr>
        <w:autoSpaceDE w:val="0"/>
        <w:autoSpaceDN w:val="0"/>
        <w:adjustRightInd w:val="0"/>
        <w:snapToGrid w:val="0"/>
        <w:spacing w:line="360" w:lineRule="exact"/>
        <w:rPr>
          <w:rFonts w:ascii="宋体" w:hAnsi="宋体" w:cs="Calibri"/>
          <w:b/>
          <w:bCs/>
          <w:kern w:val="0"/>
          <w:sz w:val="22"/>
        </w:rPr>
      </w:pPr>
      <w:bookmarkStart w:id="15" w:name="_Toc1426"/>
      <w:r>
        <w:rPr>
          <w:rFonts w:ascii="宋体" w:hAnsi="宋体" w:cs="Calibri"/>
          <w:b/>
          <w:bCs/>
          <w:kern w:val="0"/>
          <w:sz w:val="22"/>
        </w:rPr>
        <w:t>2.1 招标文件的组成</w:t>
      </w:r>
      <w:bookmarkEnd w:id="15"/>
    </w:p>
    <w:p>
      <w:pPr>
        <w:adjustRightInd w:val="0"/>
        <w:snapToGrid w:val="0"/>
        <w:spacing w:line="360" w:lineRule="exact"/>
        <w:ind w:firstLine="440"/>
        <w:rPr>
          <w:rFonts w:ascii="宋体" w:hAnsi="宋体" w:cs="Calibri"/>
          <w:kern w:val="0"/>
          <w:sz w:val="22"/>
        </w:rPr>
      </w:pPr>
      <w:r>
        <w:rPr>
          <w:rFonts w:ascii="宋体" w:hAnsi="宋体" w:cs="Calibri"/>
          <w:kern w:val="0"/>
          <w:sz w:val="22"/>
        </w:rPr>
        <w:t>本招标文件包括：</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（1）招标公告</w:t>
      </w:r>
    </w:p>
    <w:p>
      <w:pPr>
        <w:adjustRightInd w:val="0"/>
        <w:snapToGrid w:val="0"/>
        <w:spacing w:line="360" w:lineRule="exact"/>
        <w:ind w:firstLine="440"/>
        <w:rPr>
          <w:rFonts w:ascii="宋体" w:hAnsi="宋体" w:cs="Calibri"/>
          <w:kern w:val="0"/>
          <w:sz w:val="22"/>
        </w:rPr>
      </w:pPr>
      <w:r>
        <w:rPr>
          <w:rFonts w:ascii="宋体" w:hAnsi="宋体" w:cs="Calibri"/>
          <w:kern w:val="0"/>
          <w:sz w:val="22"/>
        </w:rPr>
        <w:t>（2）投标人须知</w:t>
      </w:r>
    </w:p>
    <w:p>
      <w:pPr>
        <w:adjustRightInd w:val="0"/>
        <w:snapToGrid w:val="0"/>
        <w:spacing w:line="360" w:lineRule="exact"/>
        <w:ind w:firstLine="440"/>
        <w:rPr>
          <w:rFonts w:ascii="宋体" w:hAnsi="宋体" w:cs="Calibri"/>
          <w:kern w:val="0"/>
          <w:sz w:val="22"/>
        </w:rPr>
      </w:pPr>
      <w:r>
        <w:rPr>
          <w:rFonts w:ascii="宋体" w:hAnsi="宋体" w:cs="Calibri"/>
          <w:kern w:val="0"/>
          <w:sz w:val="22"/>
        </w:rPr>
        <w:t>（3）货物需求一览表及技术规格</w:t>
      </w:r>
    </w:p>
    <w:p>
      <w:pPr>
        <w:adjustRightInd w:val="0"/>
        <w:snapToGrid w:val="0"/>
        <w:spacing w:line="360" w:lineRule="exact"/>
        <w:ind w:firstLine="440"/>
        <w:rPr>
          <w:rFonts w:ascii="宋体" w:hAnsi="宋体" w:cs="Calibri"/>
          <w:kern w:val="0"/>
          <w:sz w:val="22"/>
        </w:rPr>
      </w:pPr>
      <w:r>
        <w:rPr>
          <w:rFonts w:ascii="宋体" w:hAnsi="宋体" w:cs="Calibri"/>
          <w:kern w:val="0"/>
          <w:sz w:val="22"/>
        </w:rPr>
        <w:t>（4）合同条款</w:t>
      </w:r>
    </w:p>
    <w:p>
      <w:pPr>
        <w:adjustRightInd w:val="0"/>
        <w:snapToGrid w:val="0"/>
        <w:spacing w:line="360" w:lineRule="exact"/>
        <w:ind w:firstLine="440"/>
        <w:rPr>
          <w:rFonts w:ascii="宋体" w:hAnsi="宋体" w:cs="Calibri"/>
          <w:kern w:val="0"/>
          <w:sz w:val="22"/>
        </w:rPr>
      </w:pPr>
      <w:r>
        <w:rPr>
          <w:rFonts w:ascii="宋体" w:hAnsi="宋体" w:cs="Calibri"/>
          <w:kern w:val="0"/>
          <w:sz w:val="22"/>
        </w:rPr>
        <w:t>（5）评标办法</w:t>
      </w:r>
      <w:r>
        <w:rPr>
          <w:rFonts w:hint="eastAsia" w:ascii="宋体" w:hAnsi="宋体" w:cs="Calibri"/>
          <w:kern w:val="0"/>
          <w:sz w:val="22"/>
        </w:rPr>
        <w:t>及标准</w:t>
      </w:r>
    </w:p>
    <w:p>
      <w:pPr>
        <w:adjustRightInd w:val="0"/>
        <w:snapToGrid w:val="0"/>
        <w:spacing w:line="360" w:lineRule="exact"/>
        <w:ind w:firstLine="440"/>
        <w:rPr>
          <w:rFonts w:ascii="宋体" w:hAnsi="宋体" w:cs="Calibri"/>
          <w:kern w:val="0"/>
          <w:sz w:val="22"/>
        </w:rPr>
      </w:pPr>
      <w:r>
        <w:rPr>
          <w:rFonts w:ascii="宋体" w:hAnsi="宋体" w:cs="Calibri"/>
          <w:kern w:val="0"/>
          <w:sz w:val="22"/>
        </w:rPr>
        <w:t>（6）投标文件格式</w:t>
      </w:r>
    </w:p>
    <w:p>
      <w:pPr>
        <w:adjustRightInd w:val="0"/>
        <w:snapToGrid w:val="0"/>
        <w:spacing w:line="360" w:lineRule="exact"/>
        <w:ind w:firstLine="440"/>
        <w:rPr>
          <w:rFonts w:ascii="宋体" w:hAnsi="宋体" w:cs="Calibri"/>
          <w:kern w:val="0"/>
          <w:sz w:val="22"/>
        </w:rPr>
      </w:pPr>
      <w:r>
        <w:rPr>
          <w:rFonts w:ascii="宋体" w:hAnsi="宋体" w:cs="Calibri"/>
          <w:sz w:val="22"/>
        </w:rPr>
        <w:t>根据本须知第2.2款和2.3款对招标文件做出的澄清、修改，构成招标文件的组成部分。</w:t>
      </w:r>
    </w:p>
    <w:p>
      <w:pPr>
        <w:autoSpaceDE w:val="0"/>
        <w:autoSpaceDN w:val="0"/>
        <w:adjustRightInd w:val="0"/>
        <w:snapToGrid w:val="0"/>
        <w:spacing w:line="360" w:lineRule="exact"/>
        <w:rPr>
          <w:rFonts w:ascii="宋体" w:hAnsi="宋体" w:cs="Calibri"/>
          <w:b/>
          <w:bCs/>
          <w:kern w:val="0"/>
          <w:sz w:val="22"/>
        </w:rPr>
      </w:pPr>
      <w:bookmarkStart w:id="16" w:name="_Toc18230"/>
      <w:r>
        <w:rPr>
          <w:rFonts w:ascii="宋体" w:hAnsi="宋体" w:cs="Calibri"/>
          <w:b/>
          <w:bCs/>
          <w:kern w:val="0"/>
          <w:sz w:val="22"/>
        </w:rPr>
        <w:t>2.2 招标文件的澄清</w:t>
      </w:r>
      <w:bookmarkEnd w:id="16"/>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2.2.2</w:t>
      </w:r>
      <w:r>
        <w:rPr>
          <w:rFonts w:hint="eastAsia" w:cs="Calibri"/>
          <w:color w:val="000000"/>
          <w:szCs w:val="21"/>
        </w:rPr>
        <w:t>招标人将视情况采用补充公告的方式予以澄清。</w:t>
      </w:r>
    </w:p>
    <w:p>
      <w:pPr>
        <w:autoSpaceDE w:val="0"/>
        <w:autoSpaceDN w:val="0"/>
        <w:adjustRightInd w:val="0"/>
        <w:snapToGrid w:val="0"/>
        <w:spacing w:line="360" w:lineRule="exact"/>
        <w:rPr>
          <w:rFonts w:ascii="宋体" w:hAnsi="宋体" w:cs="Calibri"/>
          <w:b/>
          <w:bCs/>
          <w:kern w:val="0"/>
          <w:sz w:val="22"/>
        </w:rPr>
      </w:pPr>
      <w:bookmarkStart w:id="17" w:name="_Toc18303"/>
      <w:r>
        <w:rPr>
          <w:rFonts w:ascii="宋体" w:hAnsi="宋体" w:cs="Calibri"/>
          <w:b/>
          <w:bCs/>
          <w:kern w:val="0"/>
          <w:sz w:val="22"/>
        </w:rPr>
        <w:t>2.3 招标文件的修改</w:t>
      </w:r>
      <w:bookmarkEnd w:id="17"/>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2.3.1</w:t>
      </w: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utoSpaceDE w:val="0"/>
        <w:autoSpaceDN w:val="0"/>
        <w:adjustRightInd w:val="0"/>
        <w:snapToGrid w:val="0"/>
        <w:spacing w:line="360" w:lineRule="exact"/>
        <w:rPr>
          <w:rFonts w:ascii="宋体" w:hAnsi="宋体" w:cs="Calibri"/>
          <w:b/>
          <w:bCs/>
          <w:kern w:val="0"/>
          <w:sz w:val="22"/>
        </w:rPr>
      </w:pPr>
      <w:bookmarkStart w:id="18" w:name="_Toc18870"/>
      <w:bookmarkStart w:id="19" w:name="_Toc143421658"/>
      <w:r>
        <w:rPr>
          <w:rFonts w:ascii="宋体" w:hAnsi="宋体" w:cs="Calibri"/>
          <w:b/>
          <w:bCs/>
          <w:kern w:val="0"/>
          <w:sz w:val="22"/>
        </w:rPr>
        <w:t>3.投标文件</w:t>
      </w:r>
      <w:bookmarkEnd w:id="18"/>
      <w:bookmarkEnd w:id="19"/>
    </w:p>
    <w:p>
      <w:pPr>
        <w:autoSpaceDE w:val="0"/>
        <w:autoSpaceDN w:val="0"/>
        <w:adjustRightInd w:val="0"/>
        <w:snapToGrid w:val="0"/>
        <w:spacing w:line="360" w:lineRule="exact"/>
        <w:rPr>
          <w:rFonts w:ascii="宋体" w:hAnsi="宋体" w:cs="Calibri"/>
          <w:b/>
          <w:bCs/>
          <w:kern w:val="0"/>
          <w:sz w:val="22"/>
        </w:rPr>
      </w:pPr>
      <w:bookmarkStart w:id="20" w:name="_Toc461"/>
      <w:r>
        <w:rPr>
          <w:rFonts w:ascii="宋体" w:hAnsi="宋体" w:cs="Calibri"/>
          <w:b/>
          <w:bCs/>
          <w:kern w:val="0"/>
          <w:sz w:val="22"/>
        </w:rPr>
        <w:t>3.1 投标文件的语言和计量单位</w:t>
      </w:r>
      <w:bookmarkEnd w:id="20"/>
    </w:p>
    <w:p>
      <w:pPr>
        <w:adjustRightInd w:val="0"/>
        <w:snapToGrid w:val="0"/>
        <w:spacing w:line="360" w:lineRule="exact"/>
        <w:ind w:firstLine="440"/>
        <w:rPr>
          <w:rFonts w:ascii="宋体" w:hAnsi="宋体" w:cs="Calibri"/>
          <w:kern w:val="0"/>
          <w:sz w:val="22"/>
        </w:rPr>
      </w:pPr>
      <w:r>
        <w:rPr>
          <w:rFonts w:ascii="宋体" w:hAnsi="宋体" w:cs="Calibri"/>
          <w:sz w:val="22"/>
        </w:rPr>
        <w:t>3.1.1投标文件与投标有关的所有文件均应使用中文。</w:t>
      </w:r>
    </w:p>
    <w:p>
      <w:pPr>
        <w:adjustRightInd w:val="0"/>
        <w:snapToGrid w:val="0"/>
        <w:spacing w:line="360" w:lineRule="exact"/>
        <w:ind w:firstLine="44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pPr>
        <w:adjustRightInd w:val="0"/>
        <w:snapToGrid w:val="0"/>
        <w:spacing w:line="360" w:lineRule="exact"/>
        <w:ind w:firstLine="440"/>
        <w:rPr>
          <w:rFonts w:ascii="宋体" w:hAnsi="宋体" w:cs="Calibri"/>
          <w:kern w:val="0"/>
          <w:sz w:val="22"/>
        </w:rPr>
      </w:pPr>
      <w:r>
        <w:rPr>
          <w:rFonts w:ascii="宋体" w:hAnsi="宋体" w:cs="Calibri"/>
          <w:kern w:val="0"/>
          <w:sz w:val="22"/>
        </w:rPr>
        <w:t>3.1.3招标文件中的“天”除特别说明外，均为日历天。</w:t>
      </w:r>
    </w:p>
    <w:p>
      <w:pPr>
        <w:adjustRightInd w:val="0"/>
        <w:snapToGrid w:val="0"/>
        <w:spacing w:line="360" w:lineRule="exact"/>
        <w:ind w:firstLine="440"/>
        <w:rPr>
          <w:rFonts w:ascii="宋体" w:hAnsi="宋体" w:cs="Calibri"/>
          <w:kern w:val="0"/>
          <w:sz w:val="22"/>
        </w:rPr>
      </w:pPr>
      <w:r>
        <w:rPr>
          <w:rFonts w:ascii="宋体" w:hAnsi="宋体" w:cs="Calibri"/>
          <w:kern w:val="0"/>
          <w:sz w:val="22"/>
        </w:rPr>
        <w:t>3.1.4招标文件中所指的“合同”除特别说明外，指 “销售</w:t>
      </w:r>
      <w:r>
        <w:rPr>
          <w:rFonts w:hint="eastAsia" w:ascii="宋体" w:hAnsi="宋体" w:cs="Calibri"/>
          <w:kern w:val="0"/>
          <w:sz w:val="22"/>
        </w:rPr>
        <w:t>（供货）</w:t>
      </w:r>
      <w:r>
        <w:rPr>
          <w:rFonts w:ascii="宋体" w:hAnsi="宋体" w:cs="Calibri"/>
          <w:kern w:val="0"/>
          <w:sz w:val="22"/>
        </w:rPr>
        <w:t>合同”。</w:t>
      </w:r>
    </w:p>
    <w:p>
      <w:pPr>
        <w:autoSpaceDE w:val="0"/>
        <w:autoSpaceDN w:val="0"/>
        <w:adjustRightInd w:val="0"/>
        <w:snapToGrid w:val="0"/>
        <w:spacing w:line="360" w:lineRule="exact"/>
        <w:rPr>
          <w:rFonts w:ascii="宋体" w:hAnsi="宋体" w:cs="Calibri"/>
          <w:b/>
          <w:bCs/>
          <w:kern w:val="0"/>
          <w:sz w:val="22"/>
        </w:rPr>
      </w:pPr>
      <w:bookmarkStart w:id="21" w:name="_Toc1411"/>
      <w:r>
        <w:rPr>
          <w:rFonts w:ascii="宋体" w:hAnsi="宋体" w:cs="Calibri"/>
          <w:b/>
          <w:bCs/>
          <w:kern w:val="0"/>
          <w:sz w:val="22"/>
        </w:rPr>
        <w:t>3.2 投标文件的组成</w:t>
      </w:r>
      <w:bookmarkEnd w:id="21"/>
    </w:p>
    <w:p>
      <w:pPr>
        <w:adjustRightInd w:val="0"/>
        <w:snapToGrid w:val="0"/>
        <w:spacing w:line="360" w:lineRule="exact"/>
        <w:ind w:firstLine="440"/>
        <w:rPr>
          <w:rFonts w:ascii="宋体" w:hAnsi="宋体" w:cs="Calibri"/>
          <w:sz w:val="22"/>
        </w:rPr>
      </w:pPr>
      <w:bookmarkStart w:id="22" w:name="_Toc32225"/>
      <w:r>
        <w:rPr>
          <w:rFonts w:ascii="宋体" w:hAnsi="宋体" w:cs="Calibri"/>
          <w:sz w:val="22"/>
        </w:rPr>
        <w:t>3.2.1投标函；</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2</w:t>
      </w:r>
      <w:r>
        <w:rPr>
          <w:rFonts w:ascii="宋体" w:hAnsi="宋体" w:cs="Calibri"/>
          <w:color w:val="000000"/>
          <w:sz w:val="22"/>
        </w:rPr>
        <w:t>法定代表人资格证明书；</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3</w:t>
      </w:r>
      <w:r>
        <w:rPr>
          <w:rFonts w:ascii="宋体" w:hAnsi="宋体" w:cs="Calibri"/>
          <w:color w:val="000000"/>
          <w:sz w:val="22"/>
        </w:rPr>
        <w:t>授权委托书；</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4</w:t>
      </w:r>
      <w:r>
        <w:rPr>
          <w:rFonts w:ascii="宋体" w:hAnsi="宋体" w:cs="Calibri"/>
          <w:color w:val="000000"/>
          <w:sz w:val="22"/>
        </w:rPr>
        <w:t xml:space="preserve"> 投标报价表；</w:t>
      </w:r>
    </w:p>
    <w:p>
      <w:pPr>
        <w:adjustRightInd w:val="0"/>
        <w:snapToGrid w:val="0"/>
        <w:spacing w:line="360" w:lineRule="exact"/>
        <w:ind w:firstLine="440"/>
        <w:rPr>
          <w:rFonts w:ascii="宋体" w:hAnsi="宋体" w:cs="Calibri"/>
          <w:sz w:val="22"/>
        </w:rPr>
      </w:pPr>
      <w:r>
        <w:rPr>
          <w:rFonts w:ascii="宋体" w:hAnsi="宋体" w:cs="Calibri"/>
          <w:sz w:val="22"/>
        </w:rPr>
        <w:t>3.2.5投标人资格证明文件：</w:t>
      </w:r>
    </w:p>
    <w:p>
      <w:pPr>
        <w:adjustRightInd w:val="0"/>
        <w:snapToGrid w:val="0"/>
        <w:spacing w:line="360" w:lineRule="exact"/>
        <w:ind w:firstLine="440"/>
        <w:rPr>
          <w:rFonts w:ascii="宋体" w:hAnsi="宋体" w:cs="Calibri"/>
          <w:sz w:val="22"/>
        </w:rPr>
      </w:pPr>
      <w:r>
        <w:rPr>
          <w:rFonts w:ascii="宋体" w:hAnsi="宋体" w:cs="Calibri"/>
          <w:sz w:val="22"/>
        </w:rPr>
        <w:t>（1）</w:t>
      </w:r>
      <w:r>
        <w:rPr>
          <w:rFonts w:ascii="宋体" w:hAnsi="宋体" w:cs="Calibri"/>
          <w:color w:val="000000"/>
          <w:sz w:val="22"/>
        </w:rPr>
        <w:t>投标人一般情况</w:t>
      </w:r>
      <w:r>
        <w:rPr>
          <w:rFonts w:hint="eastAsia" w:ascii="宋体" w:hAnsi="宋体" w:cs="Calibri"/>
          <w:color w:val="000000"/>
          <w:sz w:val="22"/>
        </w:rPr>
        <w:t>及</w:t>
      </w:r>
      <w:r>
        <w:rPr>
          <w:rFonts w:ascii="宋体" w:hAnsi="宋体" w:cs="Calibri"/>
          <w:color w:val="000000"/>
          <w:sz w:val="22"/>
        </w:rPr>
        <w:t>有关证明投标人法律地位的文件</w:t>
      </w: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djustRightInd w:val="0"/>
        <w:snapToGrid w:val="0"/>
        <w:spacing w:line="360" w:lineRule="exact"/>
        <w:ind w:firstLine="440"/>
        <w:rPr>
          <w:rFonts w:ascii="宋体" w:hAnsi="宋体" w:cs="Arial"/>
          <w:kern w:val="0"/>
          <w:sz w:val="22"/>
        </w:rPr>
      </w:pPr>
      <w:r>
        <w:rPr>
          <w:rFonts w:hint="eastAsia" w:ascii="宋体" w:hAnsi="宋体" w:cs="Calibri"/>
          <w:sz w:val="22"/>
        </w:rPr>
        <w:t>（2）</w:t>
      </w:r>
      <w:r>
        <w:rPr>
          <w:rFonts w:hint="eastAsia" w:ascii="宋体" w:hAnsi="宋体" w:cs="宋体"/>
          <w:sz w:val="22"/>
        </w:rPr>
        <w:t>制造商资格声明</w:t>
      </w:r>
      <w:r>
        <w:rPr>
          <w:rFonts w:hint="eastAsia" w:ascii="宋体" w:hAnsi="宋体" w:cs="Arial"/>
          <w:kern w:val="0"/>
          <w:sz w:val="22"/>
        </w:rPr>
        <w:t>。</w:t>
      </w:r>
    </w:p>
    <w:p>
      <w:pPr>
        <w:adjustRightInd w:val="0"/>
        <w:snapToGrid w:val="0"/>
        <w:spacing w:line="360" w:lineRule="exact"/>
        <w:ind w:firstLine="440"/>
        <w:rPr>
          <w:rFonts w:ascii="宋体" w:hAnsi="宋体" w:cs="Arial"/>
          <w:kern w:val="0"/>
          <w:sz w:val="22"/>
        </w:rPr>
      </w:pPr>
      <w:r>
        <w:rPr>
          <w:rFonts w:hint="eastAsia" w:ascii="宋体" w:hAnsi="宋体" w:cs="Arial"/>
          <w:kern w:val="0"/>
          <w:sz w:val="22"/>
        </w:rPr>
        <w:t>（3）</w:t>
      </w:r>
      <w:r>
        <w:rPr>
          <w:rFonts w:ascii="宋体" w:hAnsi="宋体" w:cs="Calibri"/>
          <w:color w:val="000000"/>
          <w:sz w:val="22"/>
        </w:rPr>
        <w:t>设备制造商的授权书</w:t>
      </w:r>
      <w:r>
        <w:rPr>
          <w:rFonts w:hint="eastAsia" w:ascii="宋体" w:hAnsi="宋体" w:cs="Calibri"/>
          <w:color w:val="000000"/>
          <w:sz w:val="22"/>
        </w:rPr>
        <w:t>（代理商投标时提供）</w:t>
      </w:r>
    </w:p>
    <w:p>
      <w:pPr>
        <w:adjustRightInd w:val="0"/>
        <w:snapToGrid w:val="0"/>
        <w:spacing w:line="360" w:lineRule="exact"/>
        <w:ind w:firstLine="440"/>
        <w:rPr>
          <w:rFonts w:ascii="宋体" w:hAnsi="宋体" w:cs="Calibri"/>
          <w:sz w:val="22"/>
        </w:rPr>
      </w:pPr>
      <w:r>
        <w:rPr>
          <w:rFonts w:hint="eastAsia" w:ascii="宋体" w:hAnsi="宋体" w:cs="Arial"/>
          <w:kern w:val="0"/>
          <w:sz w:val="22"/>
        </w:rPr>
        <w:t>（4）</w:t>
      </w:r>
      <w:r>
        <w:rPr>
          <w:rFonts w:hint="eastAsia" w:ascii="宋体" w:hAnsi="宋体" w:cs="Calibri"/>
          <w:sz w:val="22"/>
        </w:rPr>
        <w:t>投标产品近三年的销售业绩一览表（附业绩的合同）。</w:t>
      </w:r>
    </w:p>
    <w:p>
      <w:pPr>
        <w:adjustRightInd w:val="0"/>
        <w:snapToGrid w:val="0"/>
        <w:spacing w:line="360" w:lineRule="exact"/>
        <w:ind w:firstLine="440"/>
        <w:rPr>
          <w:rFonts w:ascii="宋体" w:hAnsi="宋体" w:cs="宋体"/>
          <w:sz w:val="22"/>
        </w:rPr>
      </w:pPr>
      <w:r>
        <w:rPr>
          <w:rFonts w:ascii="宋体" w:hAnsi="宋体" w:cs="Calibri"/>
          <w:sz w:val="22"/>
        </w:rPr>
        <w:t>3.2.6</w:t>
      </w:r>
      <w:r>
        <w:rPr>
          <w:rFonts w:hint="eastAsia" w:ascii="宋体" w:hAnsi="宋体" w:cs="宋体"/>
          <w:sz w:val="22"/>
        </w:rPr>
        <w:t>技术规格偏离表；</w:t>
      </w:r>
    </w:p>
    <w:p>
      <w:pPr>
        <w:adjustRightInd w:val="0"/>
        <w:snapToGrid w:val="0"/>
        <w:spacing w:line="360" w:lineRule="exact"/>
        <w:ind w:firstLine="440"/>
        <w:rPr>
          <w:rFonts w:ascii="宋体" w:hAnsi="宋体" w:cs="Calibri"/>
          <w:sz w:val="22"/>
        </w:rPr>
      </w:pPr>
      <w:r>
        <w:rPr>
          <w:rFonts w:hint="eastAsia" w:ascii="宋体" w:hAnsi="宋体" w:cs="宋体"/>
          <w:sz w:val="22"/>
        </w:rPr>
        <w:t>3.2.7 商务条款响应偏离表；</w:t>
      </w:r>
    </w:p>
    <w:p>
      <w:pPr>
        <w:adjustRightInd w:val="0"/>
        <w:snapToGrid w:val="0"/>
        <w:spacing w:line="360" w:lineRule="exact"/>
        <w:ind w:firstLine="440"/>
        <w:rPr>
          <w:rFonts w:ascii="宋体" w:hAnsi="宋体" w:cs="宋体"/>
          <w:sz w:val="22"/>
        </w:rPr>
      </w:pPr>
      <w:r>
        <w:rPr>
          <w:rFonts w:hint="eastAsia" w:ascii="宋体" w:hAnsi="宋体" w:cs="宋体"/>
          <w:sz w:val="22"/>
        </w:rPr>
        <w:t>3.2.8系统设备供货范围（包括设备数量、型号规格、产地、品牌），进口零部件详细清单（需说明产地、品牌）；</w:t>
      </w:r>
    </w:p>
    <w:p>
      <w:pPr>
        <w:adjustRightInd w:val="0"/>
        <w:snapToGrid w:val="0"/>
        <w:spacing w:line="360" w:lineRule="exact"/>
        <w:ind w:firstLine="440"/>
        <w:rPr>
          <w:rFonts w:ascii="宋体" w:hAnsi="宋体" w:cs="宋体"/>
          <w:sz w:val="22"/>
        </w:rPr>
      </w:pPr>
      <w:r>
        <w:rPr>
          <w:rFonts w:hint="eastAsia" w:ascii="宋体" w:hAnsi="宋体" w:cs="宋体"/>
          <w:sz w:val="22"/>
        </w:rPr>
        <w:t>3.2.9技术参数、结构及性能特点等产品技术规格书；</w:t>
      </w:r>
    </w:p>
    <w:p>
      <w:pPr>
        <w:adjustRightInd w:val="0"/>
        <w:snapToGrid w:val="0"/>
        <w:spacing w:line="360" w:lineRule="exact"/>
        <w:ind w:firstLine="440"/>
        <w:rPr>
          <w:rFonts w:ascii="宋体" w:hAnsi="宋体" w:cs="宋体"/>
          <w:sz w:val="22"/>
        </w:rPr>
      </w:pPr>
      <w:r>
        <w:rPr>
          <w:rFonts w:hint="eastAsia" w:ascii="宋体" w:hAnsi="宋体" w:cs="宋体"/>
          <w:sz w:val="22"/>
        </w:rPr>
        <w:t>3.2.10主要原材料及部件性能和生产厂家；</w:t>
      </w:r>
    </w:p>
    <w:p>
      <w:pPr>
        <w:adjustRightInd w:val="0"/>
        <w:snapToGrid w:val="0"/>
        <w:spacing w:line="360" w:lineRule="exact"/>
        <w:ind w:firstLine="440"/>
        <w:rPr>
          <w:rFonts w:ascii="宋体" w:hAnsi="宋体" w:cs="宋体"/>
          <w:sz w:val="22"/>
        </w:rPr>
      </w:pPr>
      <w:r>
        <w:rPr>
          <w:rFonts w:hint="eastAsia" w:ascii="宋体" w:hAnsi="宋体" w:cs="宋体"/>
          <w:sz w:val="22"/>
        </w:rPr>
        <w:t>3.2.11产品制造、安装、验收标准和验收方法；</w:t>
      </w:r>
    </w:p>
    <w:p>
      <w:pPr>
        <w:adjustRightInd w:val="0"/>
        <w:snapToGrid w:val="0"/>
        <w:spacing w:line="360" w:lineRule="exact"/>
        <w:ind w:firstLine="440"/>
        <w:rPr>
          <w:rFonts w:ascii="宋体" w:hAnsi="宋体" w:cs="宋体"/>
          <w:sz w:val="22"/>
        </w:rPr>
      </w:pPr>
      <w:r>
        <w:rPr>
          <w:rFonts w:hint="eastAsia" w:ascii="宋体" w:hAnsi="宋体" w:cs="宋体"/>
          <w:sz w:val="22"/>
        </w:rPr>
        <w:t>3.2.12现场指导、调试；</w:t>
      </w:r>
    </w:p>
    <w:p>
      <w:pPr>
        <w:adjustRightInd w:val="0"/>
        <w:snapToGrid w:val="0"/>
        <w:spacing w:line="360" w:lineRule="exact"/>
        <w:ind w:firstLine="440"/>
        <w:rPr>
          <w:rFonts w:ascii="宋体" w:hAnsi="宋体" w:cs="宋体"/>
          <w:sz w:val="22"/>
        </w:rPr>
      </w:pPr>
      <w:r>
        <w:rPr>
          <w:rFonts w:hint="eastAsia" w:ascii="宋体" w:hAnsi="宋体" w:cs="宋体"/>
          <w:sz w:val="22"/>
        </w:rPr>
        <w:t>3.2.13</w:t>
      </w:r>
      <w:r>
        <w:rPr>
          <w:rFonts w:ascii="宋体" w:hAnsi="宋体" w:cs="宋体"/>
          <w:sz w:val="22"/>
        </w:rPr>
        <w:t>产品的技术服务和售后服务的内容、措施、承诺</w:t>
      </w:r>
      <w:r>
        <w:rPr>
          <w:rFonts w:hint="eastAsia" w:ascii="宋体" w:hAnsi="宋体" w:cs="宋体"/>
          <w:sz w:val="22"/>
        </w:rPr>
        <w:t>；</w:t>
      </w:r>
    </w:p>
    <w:p>
      <w:pPr>
        <w:adjustRightInd w:val="0"/>
        <w:snapToGrid w:val="0"/>
        <w:spacing w:line="360" w:lineRule="exact"/>
        <w:ind w:firstLine="440"/>
        <w:rPr>
          <w:rFonts w:ascii="宋体" w:hAnsi="宋体" w:cs="宋体"/>
          <w:sz w:val="22"/>
        </w:rPr>
      </w:pPr>
      <w:r>
        <w:rPr>
          <w:rFonts w:hint="eastAsia" w:ascii="宋体" w:hAnsi="宋体" w:cs="宋体"/>
          <w:sz w:val="22"/>
        </w:rPr>
        <w:t>3.2.14提供详细的培训计划，包括培训内容、培训时间、培训人数等；</w:t>
      </w:r>
    </w:p>
    <w:p>
      <w:pPr>
        <w:adjustRightInd w:val="0"/>
        <w:snapToGrid w:val="0"/>
        <w:spacing w:line="360" w:lineRule="exact"/>
        <w:ind w:firstLine="440"/>
        <w:rPr>
          <w:rFonts w:ascii="宋体" w:hAnsi="宋体" w:cs="宋体"/>
          <w:sz w:val="22"/>
        </w:rPr>
      </w:pPr>
      <w:r>
        <w:rPr>
          <w:rFonts w:hint="eastAsia" w:ascii="宋体" w:hAnsi="宋体" w:cs="宋体"/>
          <w:sz w:val="22"/>
        </w:rPr>
        <w:t>3.2.15关于质量保证期的说明；</w:t>
      </w:r>
    </w:p>
    <w:p>
      <w:pPr>
        <w:adjustRightInd w:val="0"/>
        <w:snapToGrid w:val="0"/>
        <w:spacing w:line="360" w:lineRule="exact"/>
        <w:ind w:firstLine="440"/>
        <w:rPr>
          <w:rFonts w:ascii="宋体" w:hAnsi="宋体" w:cs="宋体"/>
          <w:sz w:val="22"/>
        </w:rPr>
      </w:pPr>
      <w:r>
        <w:rPr>
          <w:rFonts w:hint="eastAsia" w:ascii="宋体" w:hAnsi="宋体" w:cs="宋体"/>
          <w:sz w:val="22"/>
        </w:rPr>
        <w:t>3.2.16优惠条件：投标人承诺给予用户的其他优惠条款，包括付款条件、培训服务、质量保证期等方面的优惠；</w:t>
      </w:r>
    </w:p>
    <w:p>
      <w:pPr>
        <w:adjustRightInd w:val="0"/>
        <w:snapToGrid w:val="0"/>
        <w:spacing w:line="360" w:lineRule="exact"/>
        <w:ind w:firstLine="440"/>
        <w:rPr>
          <w:rFonts w:ascii="宋体" w:hAnsi="宋体" w:cs="宋体"/>
          <w:sz w:val="22"/>
        </w:rPr>
      </w:pPr>
      <w:r>
        <w:rPr>
          <w:rFonts w:hint="eastAsia" w:ascii="宋体" w:hAnsi="宋体" w:cs="宋体"/>
          <w:sz w:val="22"/>
        </w:rPr>
        <w:t>3.2.17</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3.3 投标报价</w:t>
      </w:r>
      <w:bookmarkEnd w:id="22"/>
    </w:p>
    <w:p>
      <w:pPr>
        <w:adjustRightInd w:val="0"/>
        <w:snapToGrid w:val="0"/>
        <w:spacing w:line="360" w:lineRule="exact"/>
        <w:ind w:firstLine="440"/>
        <w:rPr>
          <w:rFonts w:ascii="宋体" w:hAnsi="宋体" w:cs="Calibri"/>
          <w:sz w:val="22"/>
        </w:rPr>
      </w:pPr>
      <w:bookmarkStart w:id="23" w:name="_Toc13307"/>
      <w:r>
        <w:rPr>
          <w:rFonts w:ascii="宋体" w:hAnsi="宋体" w:cs="Calibri"/>
          <w:sz w:val="22"/>
        </w:rPr>
        <w:t>3.3.1</w:t>
      </w:r>
      <w:r>
        <w:rPr>
          <w:rFonts w:hint="eastAsia" w:ascii="宋体" w:hAnsi="宋体" w:cs="宋体"/>
          <w:sz w:val="22"/>
        </w:rPr>
        <w:t>投标人递交的投标函及投标报价表中的投标总价必须一致。</w:t>
      </w:r>
      <w:r>
        <w:rPr>
          <w:rFonts w:ascii="宋体" w:hAnsi="宋体" w:cs="Calibri"/>
          <w:sz w:val="22"/>
        </w:rPr>
        <w:t>投标人对该项目只允许有一个总报价，招标人不接受任何有选择的报价及修正报价；</w:t>
      </w:r>
    </w:p>
    <w:p>
      <w:pPr>
        <w:adjustRightInd w:val="0"/>
        <w:snapToGrid w:val="0"/>
        <w:spacing w:line="360" w:lineRule="exact"/>
        <w:ind w:firstLine="440"/>
        <w:rPr>
          <w:rFonts w:ascii="宋体" w:hAnsi="宋体" w:cs="宋体"/>
          <w:bCs/>
          <w:sz w:val="22"/>
        </w:rPr>
      </w:pPr>
      <w:r>
        <w:rPr>
          <w:rFonts w:ascii="宋体" w:hAnsi="宋体" w:cs="Calibri"/>
          <w:sz w:val="22"/>
        </w:rPr>
        <w:t>3.3.</w:t>
      </w:r>
      <w:r>
        <w:rPr>
          <w:rFonts w:hint="eastAsia" w:ascii="宋体" w:hAnsi="宋体" w:cs="Calibri"/>
          <w:sz w:val="22"/>
        </w:rPr>
        <w:t>2</w:t>
      </w:r>
      <w:r>
        <w:rPr>
          <w:rFonts w:hint="eastAsia" w:ascii="宋体" w:hAnsi="宋体" w:cs="宋体"/>
          <w:sz w:val="22"/>
        </w:rPr>
        <w:t>投标人所报投标总价应为投标人为完成本项目所发生的一切费用（包含并不限于货物</w:t>
      </w:r>
      <w:r>
        <w:rPr>
          <w:rFonts w:ascii="宋体" w:hAnsi="宋体" w:cs="宋体"/>
          <w:sz w:val="22"/>
        </w:rPr>
        <w:t>的</w:t>
      </w:r>
      <w:r>
        <w:rPr>
          <w:rFonts w:hint="eastAsia" w:ascii="宋体" w:hAnsi="宋体" w:cs="宋体"/>
          <w:sz w:val="22"/>
        </w:rPr>
        <w:t>供货、运输（包括送至招标人指定地点卸车）、包装费、保险费、税费、验收、技术培训及售后服务等）</w:t>
      </w:r>
      <w:r>
        <w:rPr>
          <w:rFonts w:ascii="宋体" w:hAnsi="宋体" w:cs="宋体"/>
          <w:sz w:val="22"/>
        </w:rPr>
        <w:t>，包括</w:t>
      </w:r>
      <w:r>
        <w:rPr>
          <w:rFonts w:hint="eastAsia" w:ascii="宋体" w:hAnsi="宋体" w:cs="宋体"/>
          <w:sz w:val="22"/>
        </w:rPr>
        <w:t>货物供货</w:t>
      </w:r>
      <w:r>
        <w:rPr>
          <w:rFonts w:ascii="宋体" w:hAnsi="宋体" w:cs="宋体"/>
          <w:sz w:val="22"/>
        </w:rPr>
        <w:t>及相关服务等全过程产生的所有成本和费用以及一切税费</w:t>
      </w:r>
      <w:r>
        <w:rPr>
          <w:rFonts w:ascii="宋体" w:hAnsi="宋体" w:cs="Calibri"/>
          <w:sz w:val="22"/>
        </w:rPr>
        <w:t>；</w:t>
      </w:r>
      <w:r>
        <w:rPr>
          <w:rFonts w:ascii="宋体" w:hAnsi="宋体" w:cs="宋体"/>
          <w:bCs/>
          <w:sz w:val="22"/>
        </w:rPr>
        <w:t xml:space="preserve"> </w:t>
      </w:r>
    </w:p>
    <w:p>
      <w:pPr>
        <w:adjustRightInd w:val="0"/>
        <w:snapToGrid w:val="0"/>
        <w:spacing w:line="360" w:lineRule="exact"/>
        <w:ind w:firstLine="440"/>
        <w:rPr>
          <w:rFonts w:ascii="宋体" w:hAnsi="宋体" w:cs="宋体"/>
          <w:sz w:val="22"/>
        </w:rPr>
      </w:pPr>
      <w:r>
        <w:rPr>
          <w:rFonts w:ascii="宋体" w:hAnsi="宋体" w:cs="Calibri"/>
          <w:sz w:val="22"/>
        </w:rPr>
        <w:t>3.3.</w:t>
      </w:r>
      <w:r>
        <w:rPr>
          <w:rFonts w:hint="eastAsia" w:ascii="宋体" w:hAnsi="宋体" w:cs="Calibri"/>
          <w:sz w:val="22"/>
        </w:rPr>
        <w:t>3</w:t>
      </w:r>
      <w:r>
        <w:rPr>
          <w:rFonts w:hint="eastAsia" w:ascii="宋体" w:hAnsi="宋体" w:cs="宋体"/>
          <w:sz w:val="22"/>
        </w:rPr>
        <w:t>投标人应按“投标报价表”的要求报价，在投标报价表上写明拟提供货物的单价和总价；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4</w:t>
      </w:r>
      <w:r>
        <w:rPr>
          <w:rFonts w:hint="eastAsia" w:ascii="宋体" w:hAnsi="宋体" w:cs="宋体"/>
          <w:sz w:val="22"/>
        </w:rPr>
        <w:t>如果投标人认为为圆满完成本项目还有其他需要单独计价的配合工作，则应列明具体的细目和金额。所有与本项目有关的未列入“投标报价表”的工作内容，均被认为已经包含在其他细目及投标总价中。</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5投标人(如中标)在投标文件中提供的货物清单和报价将是签订合同的唯一依据，其报价在本次投标有效期内不能发生改变（</w:t>
      </w:r>
      <w:r>
        <w:rPr>
          <w:rFonts w:hint="eastAsia" w:ascii="宋体" w:hAnsi="宋体" w:cs="宋体"/>
          <w:sz w:val="22"/>
        </w:rPr>
        <w:t>招标人变更除外）</w:t>
      </w:r>
      <w:r>
        <w:rPr>
          <w:rFonts w:hint="eastAsia" w:ascii="宋体" w:hAnsi="宋体" w:cs="Calibri"/>
          <w:sz w:val="22"/>
        </w:rPr>
        <w:t>。如有改变，招标人将拒绝与其签订合同。</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6投标人对每种货物只允许有一个报价。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7招标人不接受任何折扣优惠报价，不接受任何赠送和选择性报价。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8所有根据合同或其它原因应由投标人支付的税款和其它应交纳的费用都要包括在投标人提交的投标价格中。</w:t>
      </w:r>
    </w:p>
    <w:p>
      <w:pPr>
        <w:adjustRightInd w:val="0"/>
        <w:snapToGrid w:val="0"/>
        <w:spacing w:line="360" w:lineRule="exact"/>
        <w:ind w:firstLine="440"/>
        <w:rPr>
          <w:rFonts w:ascii="宋体" w:hAnsi="宋体" w:cs="Calibri"/>
          <w:sz w:val="22"/>
        </w:rPr>
      </w:pPr>
      <w:r>
        <w:rPr>
          <w:rFonts w:hint="eastAsia" w:ascii="宋体" w:hAnsi="宋体" w:cs="Calibri"/>
          <w:sz w:val="22"/>
        </w:rPr>
        <w:t>3.3.9其它须在报价中考虑的因素：</w:t>
      </w:r>
    </w:p>
    <w:p>
      <w:pPr>
        <w:adjustRightInd w:val="0"/>
        <w:snapToGrid w:val="0"/>
        <w:spacing w:line="360" w:lineRule="exact"/>
        <w:ind w:firstLine="440"/>
        <w:rPr>
          <w:rFonts w:ascii="宋体" w:hAnsi="宋体" w:cs="Calibri"/>
          <w:sz w:val="22"/>
        </w:rPr>
      </w:pPr>
      <w:r>
        <w:rPr>
          <w:rFonts w:hint="eastAsia" w:ascii="宋体" w:hAnsi="宋体" w:cs="Calibri"/>
          <w:sz w:val="22"/>
        </w:rPr>
        <w:t>（1）本项目在安装期间，应注意保护好招标人现有成品，如有损坏，须无条件修复至招标人满意，各投标人须自行考虑相关费用并计入投标总价且一次性包干。</w:t>
      </w:r>
    </w:p>
    <w:p>
      <w:pPr>
        <w:adjustRightInd w:val="0"/>
        <w:snapToGrid w:val="0"/>
        <w:spacing w:line="360" w:lineRule="exact"/>
        <w:ind w:firstLine="440"/>
        <w:rPr>
          <w:rFonts w:ascii="宋体" w:hAnsi="宋体" w:cs="Calibri"/>
          <w:sz w:val="22"/>
        </w:rPr>
      </w:pPr>
      <w:r>
        <w:rPr>
          <w:rFonts w:hint="eastAsia" w:ascii="宋体" w:hAnsi="宋体" w:cs="Calibri"/>
          <w:sz w:val="22"/>
        </w:rPr>
        <w:t>（2）交付验收前产品的保护费由投标人自行考虑并计入总价。</w:t>
      </w:r>
    </w:p>
    <w:p>
      <w:pPr>
        <w:adjustRightInd w:val="0"/>
        <w:snapToGrid w:val="0"/>
        <w:spacing w:line="360" w:lineRule="exact"/>
        <w:ind w:firstLine="440"/>
        <w:rPr>
          <w:rFonts w:ascii="宋体" w:hAnsi="宋体" w:cs="Calibri"/>
          <w:sz w:val="22"/>
        </w:rPr>
      </w:pPr>
      <w:r>
        <w:rPr>
          <w:rFonts w:hint="eastAsia" w:ascii="宋体" w:hAnsi="宋体" w:cs="Calibri"/>
          <w:sz w:val="22"/>
        </w:rPr>
        <w:t>（3）投标人安装过程中需自行负责现场人员生命、财产安全，自行解决与现场人员的劳务关系纠纷，可能产生的费用计入投标总价。</w:t>
      </w:r>
    </w:p>
    <w:p>
      <w:pPr>
        <w:adjustRightInd w:val="0"/>
        <w:snapToGrid w:val="0"/>
        <w:spacing w:line="360" w:lineRule="exact"/>
        <w:ind w:firstLine="440"/>
        <w:rPr>
          <w:rFonts w:ascii="宋体" w:hAnsi="宋体" w:cs="Calibri"/>
          <w:sz w:val="22"/>
        </w:rPr>
      </w:pPr>
      <w:r>
        <w:rPr>
          <w:rFonts w:hint="eastAsia" w:ascii="宋体" w:hAnsi="宋体" w:cs="Calibri"/>
          <w:sz w:val="22"/>
        </w:rPr>
        <w:t>3.3.10</w:t>
      </w:r>
      <w:r>
        <w:rPr>
          <w:rFonts w:hint="eastAsia" w:ascii="宋体" w:hAnsi="宋体" w:cs="Calibri"/>
          <w:b/>
          <w:color w:val="000000"/>
          <w:kern w:val="0"/>
          <w:sz w:val="22"/>
          <w:u w:val="single"/>
        </w:rPr>
        <w:t>投标报价如有漏项，风险由投标人承担，即在评标时，按照最不利原则予以修正，但在签订合同时，认为这些漏项或者缺项已包含在投标报价的其他部分中，不再单独计价，也不因此增加合同价格</w:t>
      </w:r>
      <w:r>
        <w:rPr>
          <w:rFonts w:ascii="宋体" w:hAnsi="宋体" w:cs="Calibri"/>
          <w:b/>
          <w:color w:val="000000"/>
          <w:kern w:val="0"/>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3.4 投标有效期</w:t>
      </w:r>
      <w:bookmarkEnd w:id="23"/>
    </w:p>
    <w:p>
      <w:pPr>
        <w:adjustRightInd w:val="0"/>
        <w:snapToGrid w:val="0"/>
        <w:spacing w:line="360" w:lineRule="exact"/>
        <w:ind w:firstLine="440"/>
        <w:rPr>
          <w:rFonts w:ascii="宋体" w:hAnsi="宋体" w:cs="Calibri"/>
          <w:kern w:val="0"/>
          <w:sz w:val="22"/>
        </w:rPr>
      </w:pPr>
      <w:r>
        <w:rPr>
          <w:rFonts w:ascii="宋体" w:hAnsi="宋体" w:cs="Calibri"/>
          <w:kern w:val="0"/>
          <w:sz w:val="22"/>
        </w:rPr>
        <w:t>3.4.1在投标人须知前附表规定的投标有效期内，投标人不得要求撤销和修改其投标文件。</w:t>
      </w:r>
    </w:p>
    <w:p>
      <w:pPr>
        <w:adjustRightInd w:val="0"/>
        <w:snapToGrid w:val="0"/>
        <w:spacing w:line="360" w:lineRule="exact"/>
        <w:ind w:firstLine="440"/>
        <w:rPr>
          <w:rFonts w:ascii="宋体" w:hAnsi="宋体" w:cs="Calibri"/>
          <w:kern w:val="0"/>
          <w:sz w:val="22"/>
        </w:rPr>
      </w:pPr>
      <w:r>
        <w:rPr>
          <w:rFonts w:ascii="宋体" w:hAnsi="宋体" w:cs="Calibri"/>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cs="Calibri"/>
          <w:b/>
          <w:bCs/>
          <w:kern w:val="0"/>
          <w:sz w:val="22"/>
        </w:rPr>
      </w:pPr>
      <w:bookmarkStart w:id="24" w:name="_Toc30464"/>
      <w:r>
        <w:rPr>
          <w:rFonts w:ascii="宋体" w:hAnsi="宋体" w:cs="Calibri"/>
          <w:b/>
          <w:bCs/>
          <w:kern w:val="0"/>
          <w:sz w:val="22"/>
        </w:rPr>
        <w:t>3.5 投标保证金</w:t>
      </w:r>
      <w:bookmarkEnd w:id="24"/>
      <w:r>
        <w:rPr>
          <w:rFonts w:hint="eastAsia" w:ascii="宋体" w:hAnsi="宋体" w:cs="Calibri"/>
          <w:b/>
          <w:bCs/>
          <w:kern w:val="0"/>
          <w:sz w:val="22"/>
        </w:rPr>
        <w:t>（如有）</w:t>
      </w:r>
    </w:p>
    <w:p>
      <w:pPr>
        <w:adjustRightInd w:val="0"/>
        <w:snapToGrid w:val="0"/>
        <w:spacing w:line="360" w:lineRule="exact"/>
        <w:ind w:firstLine="440"/>
        <w:rPr>
          <w:rFonts w:ascii="宋体" w:hAnsi="宋体" w:cs="Calibri"/>
          <w:kern w:val="0"/>
          <w:sz w:val="22"/>
        </w:rPr>
      </w:pPr>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3.5.2招标人与中标人签订合同书后5日内，应当向未中标的投标人和中标人退还投标保证金。</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ascii="宋体" w:hAnsi="宋体" w:cs="Calibri"/>
          <w:color w:val="000000"/>
          <w:kern w:val="0"/>
          <w:sz w:val="22"/>
        </w:rPr>
        <w:t>中标人在收到中标通知书后，</w:t>
      </w:r>
      <w:r>
        <w:rPr>
          <w:rFonts w:ascii="宋体" w:hAnsi="宋体" w:cs="Calibri"/>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cs="Calibri"/>
          <w:b/>
          <w:bCs/>
          <w:kern w:val="0"/>
          <w:sz w:val="22"/>
        </w:rPr>
      </w:pPr>
      <w:bookmarkStart w:id="25" w:name="_Toc29989"/>
      <w:r>
        <w:rPr>
          <w:rFonts w:ascii="宋体" w:hAnsi="宋体" w:cs="Calibri"/>
          <w:b/>
          <w:bCs/>
          <w:kern w:val="0"/>
          <w:sz w:val="22"/>
        </w:rPr>
        <w:t>3.6 投标文件的编制</w:t>
      </w:r>
      <w:bookmarkEnd w:id="25"/>
    </w:p>
    <w:p>
      <w:pPr>
        <w:adjustRightInd w:val="0"/>
        <w:snapToGrid w:val="0"/>
        <w:spacing w:line="360" w:lineRule="exact"/>
        <w:ind w:firstLine="440"/>
        <w:rPr>
          <w:rFonts w:ascii="宋体" w:hAnsi="宋体" w:cs="Calibri"/>
          <w:sz w:val="22"/>
        </w:rPr>
      </w:pPr>
      <w:r>
        <w:rPr>
          <w:rFonts w:ascii="宋体" w:hAnsi="宋体" w:cs="Calibri"/>
          <w:sz w:val="22"/>
        </w:rPr>
        <w:t>3.6.1 投标文件应按本须知第3.2款规定的内容和第</w:t>
      </w:r>
      <w:r>
        <w:rPr>
          <w:rFonts w:hint="eastAsia" w:ascii="宋体" w:hAnsi="宋体" w:cs="Calibri"/>
          <w:sz w:val="22"/>
        </w:rPr>
        <w:t>六</w:t>
      </w:r>
      <w:r>
        <w:rPr>
          <w:rFonts w:ascii="宋体" w:hAnsi="宋体" w:cs="Calibri"/>
          <w:sz w:val="22"/>
        </w:rPr>
        <w:t>章“投标文件格式”进行编写，如有必要，可以增加附页，作为投标文件的组成部分，“投标文件格式”中没有规定的可自行编制格式。其中，</w:t>
      </w:r>
      <w:r>
        <w:rPr>
          <w:rFonts w:hint="eastAsia" w:ascii="宋体" w:hAnsi="宋体" w:cs="Calibri"/>
          <w:sz w:val="22"/>
        </w:rPr>
        <w:t>供货期</w:t>
      </w:r>
      <w:r>
        <w:rPr>
          <w:rFonts w:ascii="宋体" w:hAnsi="宋体" w:cs="Calibri"/>
          <w:sz w:val="22"/>
        </w:rPr>
        <w:t>在满足招标文件实质性要求的基础上，可以提出比招标文件要求更有利于招标人的承诺。</w:t>
      </w:r>
    </w:p>
    <w:p>
      <w:pPr>
        <w:adjustRightInd w:val="0"/>
        <w:snapToGrid w:val="0"/>
        <w:spacing w:line="360" w:lineRule="exact"/>
        <w:ind w:firstLine="440"/>
        <w:rPr>
          <w:rFonts w:ascii="宋体" w:hAnsi="宋体" w:cs="Calibri"/>
          <w:kern w:val="0"/>
          <w:sz w:val="22"/>
        </w:rPr>
      </w:pPr>
      <w:r>
        <w:rPr>
          <w:rFonts w:ascii="宋体" w:hAnsi="宋体" w:cs="Calibri"/>
          <w:sz w:val="22"/>
        </w:rPr>
        <w:t xml:space="preserve">3.6.2 </w:t>
      </w:r>
      <w:r>
        <w:rPr>
          <w:rFonts w:ascii="宋体" w:hAnsi="宋体" w:cs="Calibri"/>
          <w:kern w:val="0"/>
          <w:sz w:val="22"/>
        </w:rPr>
        <w:t>投标文件应对招标文件有关</w:t>
      </w:r>
      <w:r>
        <w:rPr>
          <w:rFonts w:hint="eastAsia" w:ascii="宋体" w:hAnsi="宋体" w:cs="Calibri"/>
          <w:kern w:val="0"/>
          <w:sz w:val="22"/>
        </w:rPr>
        <w:t>供货期</w:t>
      </w:r>
      <w:r>
        <w:rPr>
          <w:rFonts w:ascii="宋体" w:hAnsi="宋体" w:cs="Calibri"/>
          <w:kern w:val="0"/>
          <w:sz w:val="22"/>
        </w:rPr>
        <w:t>、投标有效期、招标</w:t>
      </w:r>
      <w:r>
        <w:rPr>
          <w:rFonts w:hint="eastAsia" w:ascii="宋体" w:hAnsi="宋体" w:cs="Calibri"/>
          <w:kern w:val="0"/>
          <w:sz w:val="22"/>
        </w:rPr>
        <w:t>内容</w:t>
      </w:r>
      <w:r>
        <w:rPr>
          <w:rFonts w:ascii="宋体" w:hAnsi="宋体" w:cs="Calibri"/>
          <w:kern w:val="0"/>
          <w:sz w:val="22"/>
        </w:rPr>
        <w:t>等实质性内容作出响应。</w:t>
      </w:r>
    </w:p>
    <w:p>
      <w:pPr>
        <w:adjustRightInd w:val="0"/>
        <w:snapToGrid w:val="0"/>
        <w:spacing w:line="360" w:lineRule="exact"/>
        <w:ind w:firstLine="440"/>
        <w:rPr>
          <w:rFonts w:ascii="宋体" w:hAnsi="宋体" w:cs="Calibri"/>
          <w:sz w:val="22"/>
        </w:rPr>
      </w:pPr>
      <w:r>
        <w:rPr>
          <w:rFonts w:ascii="宋体" w:hAnsi="宋体" w:cs="Calibri"/>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ascii="宋体" w:hAnsi="宋体" w:cs="Calibri"/>
          <w:kern w:val="0"/>
          <w:sz w:val="22"/>
        </w:rPr>
        <w:t>签字或盖章的具体要求见投标人须知前附表。</w:t>
      </w:r>
    </w:p>
    <w:p>
      <w:pPr>
        <w:adjustRightInd w:val="0"/>
        <w:snapToGrid w:val="0"/>
        <w:spacing w:line="360" w:lineRule="exact"/>
        <w:ind w:firstLine="440"/>
        <w:rPr>
          <w:rFonts w:ascii="宋体" w:hAnsi="宋体" w:cs="Calibri"/>
          <w:sz w:val="22"/>
        </w:rPr>
      </w:pPr>
      <w:r>
        <w:rPr>
          <w:rFonts w:ascii="宋体" w:hAnsi="宋体" w:cs="Calibri"/>
          <w:sz w:val="22"/>
        </w:rPr>
        <w:t>3.6.4投标文件正本一份， 副本份数见投标人须知前附表。正本、副本的封面上应清楚地标记</w:t>
      </w:r>
      <w:r>
        <w:rPr>
          <w:rFonts w:ascii="宋体" w:hAnsi="宋体" w:cs="Calibri"/>
          <w:b/>
          <w:bCs/>
          <w:sz w:val="22"/>
        </w:rPr>
        <w:t>“正本</w:t>
      </w:r>
      <w:r>
        <w:rPr>
          <w:rFonts w:ascii="宋体" w:hAnsi="宋体" w:cs="Calibri"/>
          <w:sz w:val="22"/>
        </w:rPr>
        <w:t>”或“</w:t>
      </w:r>
      <w:r>
        <w:rPr>
          <w:rFonts w:ascii="宋体" w:hAnsi="宋体" w:cs="Calibri"/>
          <w:b/>
          <w:bCs/>
          <w:sz w:val="22"/>
        </w:rPr>
        <w:t>副本</w:t>
      </w:r>
      <w:r>
        <w:rPr>
          <w:rFonts w:ascii="宋体" w:hAnsi="宋体" w:cs="Calibri"/>
          <w:sz w:val="22"/>
        </w:rPr>
        <w:t>”的字样。当副本和正本不一致时，以正本为准。</w:t>
      </w:r>
    </w:p>
    <w:p>
      <w:pPr>
        <w:adjustRightInd w:val="0"/>
        <w:snapToGrid w:val="0"/>
        <w:spacing w:line="360" w:lineRule="exact"/>
        <w:ind w:firstLine="440"/>
        <w:rPr>
          <w:rFonts w:ascii="宋体" w:hAnsi="宋体" w:cs="Calibri"/>
          <w:sz w:val="22"/>
        </w:rPr>
      </w:pPr>
      <w:r>
        <w:rPr>
          <w:rFonts w:ascii="宋体" w:hAnsi="宋体" w:cs="Calibri"/>
          <w:sz w:val="22"/>
        </w:rPr>
        <w:t>3.6.5投标文件的正本与副本应分别按A4规格装订成册，具体装订要求见投标人须知前附表规定。</w:t>
      </w:r>
      <w:bookmarkStart w:id="26" w:name="_Toc143421659"/>
    </w:p>
    <w:p>
      <w:pPr>
        <w:autoSpaceDE w:val="0"/>
        <w:autoSpaceDN w:val="0"/>
        <w:adjustRightInd w:val="0"/>
        <w:snapToGrid w:val="0"/>
        <w:spacing w:line="360" w:lineRule="exact"/>
        <w:rPr>
          <w:rFonts w:ascii="宋体" w:hAnsi="宋体" w:cs="Calibri"/>
          <w:b/>
          <w:bCs/>
          <w:kern w:val="0"/>
          <w:sz w:val="22"/>
        </w:rPr>
      </w:pPr>
      <w:bookmarkStart w:id="27" w:name="_Toc32652"/>
      <w:r>
        <w:rPr>
          <w:rFonts w:ascii="宋体" w:hAnsi="宋体" w:cs="Calibri"/>
          <w:b/>
          <w:bCs/>
          <w:kern w:val="0"/>
          <w:sz w:val="22"/>
        </w:rPr>
        <w:t>4.投标</w:t>
      </w:r>
      <w:bookmarkEnd w:id="26"/>
      <w:bookmarkEnd w:id="27"/>
    </w:p>
    <w:p>
      <w:pPr>
        <w:autoSpaceDE w:val="0"/>
        <w:autoSpaceDN w:val="0"/>
        <w:adjustRightInd w:val="0"/>
        <w:snapToGrid w:val="0"/>
        <w:spacing w:line="360" w:lineRule="exact"/>
        <w:rPr>
          <w:rFonts w:ascii="宋体" w:hAnsi="宋体" w:cs="Calibri"/>
          <w:b/>
          <w:bCs/>
          <w:kern w:val="0"/>
          <w:sz w:val="22"/>
        </w:rPr>
      </w:pPr>
      <w:bookmarkStart w:id="28" w:name="_Toc649"/>
      <w:r>
        <w:rPr>
          <w:rFonts w:ascii="宋体" w:hAnsi="宋体" w:cs="Calibri"/>
          <w:b/>
          <w:bCs/>
          <w:kern w:val="0"/>
          <w:sz w:val="22"/>
        </w:rPr>
        <w:t>4.1 投标文件的密封和标识</w:t>
      </w:r>
      <w:bookmarkEnd w:id="28"/>
    </w:p>
    <w:p>
      <w:pPr>
        <w:adjustRightInd w:val="0"/>
        <w:snapToGrid w:val="0"/>
        <w:spacing w:line="360" w:lineRule="exact"/>
        <w:ind w:firstLine="440"/>
        <w:rPr>
          <w:rFonts w:ascii="宋体" w:hAnsi="宋体" w:cs="Calibri"/>
          <w:kern w:val="0"/>
          <w:sz w:val="22"/>
        </w:rPr>
      </w:pPr>
      <w:r>
        <w:rPr>
          <w:rFonts w:ascii="宋体" w:hAnsi="宋体" w:cs="Calibri"/>
          <w:sz w:val="22"/>
        </w:rPr>
        <w:t>4.1.1</w:t>
      </w:r>
      <w:r>
        <w:rPr>
          <w:rFonts w:ascii="宋体" w:hAnsi="宋体" w:cs="Calibri"/>
          <w:kern w:val="0"/>
          <w:sz w:val="22"/>
        </w:rPr>
        <w:t>投标文件的正本、副本及电子文档可一同</w:t>
      </w:r>
      <w:r>
        <w:rPr>
          <w:rFonts w:hint="eastAsia" w:ascii="宋体" w:hAnsi="宋体" w:cs="Calibri"/>
          <w:kern w:val="0"/>
          <w:sz w:val="22"/>
        </w:rPr>
        <w:t>密封</w:t>
      </w:r>
      <w:r>
        <w:rPr>
          <w:rFonts w:ascii="宋体" w:hAnsi="宋体" w:cs="Calibri"/>
          <w:kern w:val="0"/>
          <w:sz w:val="22"/>
        </w:rPr>
        <w:t>包装，并在封口处加盖投标人单位公章或法定代表人盖章（或签字）或委托代理人盖章（或签字）。</w:t>
      </w:r>
    </w:p>
    <w:p>
      <w:pPr>
        <w:adjustRightInd w:val="0"/>
        <w:snapToGrid w:val="0"/>
        <w:spacing w:line="360" w:lineRule="exact"/>
        <w:ind w:firstLine="440"/>
        <w:rPr>
          <w:rFonts w:ascii="宋体" w:hAnsi="宋体" w:cs="Calibri"/>
          <w:sz w:val="22"/>
        </w:rPr>
      </w:pPr>
      <w:r>
        <w:rPr>
          <w:rFonts w:ascii="宋体" w:hAnsi="宋体" w:cs="Calibri"/>
          <w:sz w:val="22"/>
        </w:rPr>
        <w:t>4.1.2 投标文件的封套上应清楚地标记“投标文件”字样，封套上应写明的其他内容见投标人须知前附表。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4.1.3 未按本章第4.1.1项或第4.1.2项要求密封和加写标记的投标文件，招标人不予受理。</w:t>
      </w:r>
    </w:p>
    <w:p>
      <w:pPr>
        <w:adjustRightInd w:val="0"/>
        <w:snapToGrid w:val="0"/>
        <w:spacing w:line="360" w:lineRule="exact"/>
        <w:ind w:firstLine="440"/>
        <w:rPr>
          <w:rFonts w:ascii="宋体" w:hAnsi="宋体" w:cs="Calibri"/>
          <w:kern w:val="0"/>
          <w:sz w:val="22"/>
        </w:rPr>
      </w:pPr>
      <w:r>
        <w:rPr>
          <w:rFonts w:ascii="宋体" w:hAnsi="宋体" w:cs="Calibri"/>
          <w:kern w:val="0"/>
          <w:sz w:val="22"/>
        </w:rPr>
        <w:t>4.1.</w:t>
      </w:r>
      <w:r>
        <w:rPr>
          <w:rFonts w:hint="eastAsia" w:ascii="宋体" w:hAnsi="宋体" w:cs="Calibri"/>
          <w:kern w:val="0"/>
          <w:sz w:val="22"/>
        </w:rPr>
        <w:t>4</w:t>
      </w:r>
      <w:r>
        <w:rPr>
          <w:rFonts w:ascii="宋体" w:hAnsi="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cs="Calibri"/>
          <w:b/>
          <w:bCs/>
          <w:kern w:val="0"/>
          <w:sz w:val="22"/>
        </w:rPr>
      </w:pPr>
      <w:bookmarkStart w:id="29" w:name="_Toc16616"/>
      <w:r>
        <w:rPr>
          <w:rFonts w:ascii="宋体" w:hAnsi="宋体" w:cs="Calibri"/>
          <w:b/>
          <w:bCs/>
          <w:kern w:val="0"/>
          <w:sz w:val="22"/>
        </w:rPr>
        <w:t xml:space="preserve">4.2 投标文件的递交 </w:t>
      </w:r>
      <w:bookmarkEnd w:id="29"/>
    </w:p>
    <w:p>
      <w:pPr>
        <w:autoSpaceDE w:val="0"/>
        <w:autoSpaceDN w:val="0"/>
        <w:adjustRightInd w:val="0"/>
        <w:snapToGrid w:val="0"/>
        <w:spacing w:line="360" w:lineRule="exact"/>
        <w:ind w:firstLine="476"/>
        <w:rPr>
          <w:rFonts w:ascii="宋体" w:hAnsi="宋体" w:cs="Calibri"/>
          <w:b/>
          <w:bCs/>
          <w:kern w:val="0"/>
          <w:sz w:val="22"/>
        </w:rPr>
      </w:pPr>
      <w:r>
        <w:rPr>
          <w:rFonts w:ascii="宋体" w:hAnsi="宋体" w:cs="Calibri"/>
          <w:b/>
          <w:bCs/>
          <w:kern w:val="0"/>
          <w:sz w:val="22"/>
        </w:rPr>
        <w:t>4.2.1投标人应在本须知前附表规定的投标截止时间前递交投标文件。</w:t>
      </w:r>
    </w:p>
    <w:p>
      <w:pPr>
        <w:adjustRightInd w:val="0"/>
        <w:snapToGrid w:val="0"/>
        <w:spacing w:line="360" w:lineRule="exact"/>
        <w:ind w:firstLine="440"/>
        <w:rPr>
          <w:rFonts w:ascii="宋体" w:hAnsi="宋体" w:cs="Calibri"/>
          <w:sz w:val="22"/>
        </w:rPr>
      </w:pPr>
      <w:r>
        <w:rPr>
          <w:rFonts w:ascii="宋体" w:hAnsi="宋体" w:cs="Calibri"/>
          <w:sz w:val="22"/>
        </w:rPr>
        <w:t>4.2.2投标人送达投标文件的地点：见投标人须知前附表。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4.2.3除投标人须知前附表另有规定外，投标人所递交的投标文件不予退还。</w:t>
      </w:r>
    </w:p>
    <w:p>
      <w:pPr>
        <w:adjustRightInd w:val="0"/>
        <w:snapToGrid w:val="0"/>
        <w:spacing w:line="360" w:lineRule="exact"/>
        <w:ind w:firstLine="440"/>
        <w:rPr>
          <w:rFonts w:ascii="宋体" w:hAnsi="宋体" w:cs="Calibri"/>
          <w:sz w:val="22"/>
        </w:rPr>
      </w:pPr>
      <w:r>
        <w:rPr>
          <w:rFonts w:ascii="宋体" w:hAnsi="宋体" w:cs="Calibri"/>
          <w:sz w:val="22"/>
        </w:rPr>
        <w:t>4.2.</w:t>
      </w:r>
      <w:r>
        <w:rPr>
          <w:rFonts w:hint="eastAsia" w:ascii="宋体" w:hAnsi="宋体" w:cs="Calibri"/>
          <w:sz w:val="22"/>
        </w:rPr>
        <w:t>4</w:t>
      </w:r>
      <w:r>
        <w:rPr>
          <w:rFonts w:ascii="宋体" w:hAnsi="宋体" w:cs="Calibri"/>
          <w:sz w:val="22"/>
        </w:rPr>
        <w:t>逾期送达的或者未送达指定地点的投标文件，招标人不予受理。</w:t>
      </w:r>
    </w:p>
    <w:p>
      <w:pPr>
        <w:autoSpaceDE w:val="0"/>
        <w:autoSpaceDN w:val="0"/>
        <w:adjustRightInd w:val="0"/>
        <w:snapToGrid w:val="0"/>
        <w:spacing w:line="360" w:lineRule="exact"/>
        <w:rPr>
          <w:rFonts w:ascii="宋体" w:hAnsi="宋体" w:cs="Calibri"/>
          <w:b/>
          <w:bCs/>
          <w:kern w:val="0"/>
          <w:sz w:val="22"/>
        </w:rPr>
      </w:pPr>
      <w:bookmarkStart w:id="30" w:name="_Toc26099"/>
      <w:r>
        <w:rPr>
          <w:rFonts w:ascii="宋体" w:hAnsi="宋体" w:cs="Calibri"/>
          <w:b/>
          <w:bCs/>
          <w:kern w:val="0"/>
          <w:sz w:val="22"/>
        </w:rPr>
        <w:t>4.3 投标文件的修改和撤回</w:t>
      </w:r>
      <w:bookmarkEnd w:id="30"/>
    </w:p>
    <w:p>
      <w:pPr>
        <w:adjustRightInd w:val="0"/>
        <w:snapToGrid w:val="0"/>
        <w:spacing w:line="360" w:lineRule="exact"/>
        <w:ind w:firstLine="440"/>
        <w:rPr>
          <w:rFonts w:ascii="宋体" w:hAnsi="宋体" w:cs="Calibri"/>
          <w:kern w:val="0"/>
          <w:sz w:val="22"/>
        </w:rPr>
      </w:pPr>
      <w:r>
        <w:rPr>
          <w:rFonts w:ascii="宋体" w:hAnsi="宋体" w:cs="Calibri"/>
          <w:kern w:val="0"/>
          <w:sz w:val="22"/>
        </w:rPr>
        <w:t>4.3.1在规定的投标截止时间前，投标人可以修改或撤回已递交的投标文件，但应以书面形式通知招标人。</w:t>
      </w:r>
    </w:p>
    <w:p>
      <w:pPr>
        <w:adjustRightInd w:val="0"/>
        <w:snapToGrid w:val="0"/>
        <w:spacing w:line="360" w:lineRule="exact"/>
        <w:ind w:firstLine="440"/>
        <w:rPr>
          <w:rFonts w:ascii="宋体" w:hAnsi="宋体" w:cs="Calibri"/>
          <w:kern w:val="0"/>
          <w:sz w:val="22"/>
        </w:rPr>
      </w:pPr>
      <w:r>
        <w:rPr>
          <w:rFonts w:ascii="宋体" w:hAnsi="宋体" w:cs="Calibri"/>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rPr>
          <w:rFonts w:ascii="宋体" w:hAnsi="宋体" w:cs="Calibri"/>
          <w:kern w:val="0"/>
          <w:sz w:val="22"/>
        </w:rPr>
      </w:pPr>
      <w:r>
        <w:rPr>
          <w:rFonts w:ascii="宋体" w:hAnsi="宋体" w:cs="Calibri"/>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cs="Calibri"/>
          <w:b/>
          <w:bCs/>
          <w:kern w:val="0"/>
          <w:sz w:val="22"/>
        </w:rPr>
      </w:pPr>
      <w:bookmarkStart w:id="31" w:name="_Toc29641"/>
      <w:r>
        <w:rPr>
          <w:rFonts w:ascii="宋体" w:hAnsi="宋体" w:cs="Calibri"/>
          <w:b/>
          <w:bCs/>
          <w:kern w:val="0"/>
          <w:sz w:val="22"/>
        </w:rPr>
        <w:t>5.开标</w:t>
      </w:r>
      <w:bookmarkEnd w:id="31"/>
    </w:p>
    <w:p>
      <w:pPr>
        <w:autoSpaceDE w:val="0"/>
        <w:autoSpaceDN w:val="0"/>
        <w:adjustRightInd w:val="0"/>
        <w:snapToGrid w:val="0"/>
        <w:spacing w:line="360" w:lineRule="exact"/>
        <w:rPr>
          <w:rFonts w:ascii="宋体" w:hAnsi="宋体" w:cs="Calibri"/>
          <w:b/>
          <w:bCs/>
          <w:kern w:val="0"/>
          <w:sz w:val="22"/>
        </w:rPr>
      </w:pPr>
      <w:bookmarkStart w:id="32" w:name="_Toc15123"/>
      <w:r>
        <w:rPr>
          <w:rFonts w:ascii="宋体" w:hAnsi="宋体" w:cs="Calibri"/>
          <w:b/>
          <w:bCs/>
          <w:kern w:val="0"/>
          <w:sz w:val="22"/>
        </w:rPr>
        <w:t>5.1 开标时间和地点</w:t>
      </w:r>
      <w:bookmarkEnd w:id="32"/>
    </w:p>
    <w:p>
      <w:pPr>
        <w:adjustRightInd w:val="0"/>
        <w:snapToGrid w:val="0"/>
        <w:spacing w:line="360" w:lineRule="exact"/>
        <w:ind w:firstLine="440"/>
        <w:rPr>
          <w:rFonts w:ascii="宋体" w:hAnsi="宋体" w:cs="Calibri"/>
          <w:sz w:val="22"/>
        </w:rPr>
      </w:pPr>
      <w:r>
        <w:rPr>
          <w:rFonts w:ascii="宋体" w:hAnsi="宋体" w:cs="Calibri"/>
          <w:sz w:val="22"/>
        </w:rPr>
        <w:t>5.1.1</w:t>
      </w:r>
      <w:r>
        <w:rPr>
          <w:rFonts w:hint="eastAsia" w:ascii="宋体" w:hAnsi="宋体" w:cs="Calibri"/>
          <w:sz w:val="22"/>
        </w:rPr>
        <w:t>招标人在投标人须知规定的投标截止时间（开标时间）和地点公开开标，并邀请所有投标人的法定代表人或其委托代理人准时参加，参加开标的代表应签名报到以证明其出席，未参加开标的投标人视作默认开标结果。</w:t>
      </w:r>
    </w:p>
    <w:p>
      <w:pPr>
        <w:adjustRightInd w:val="0"/>
        <w:snapToGrid w:val="0"/>
        <w:spacing w:line="360" w:lineRule="exact"/>
        <w:ind w:firstLine="440"/>
        <w:rPr>
          <w:rFonts w:ascii="宋体" w:hAnsi="宋体" w:cs="Calibri"/>
          <w:sz w:val="22"/>
        </w:rPr>
      </w:pPr>
      <w:r>
        <w:rPr>
          <w:rFonts w:ascii="宋体" w:hAnsi="宋体" w:cs="Calibri"/>
          <w:sz w:val="22"/>
        </w:rPr>
        <w:t>5.1.2投标人在投标时应随身携带下列资料提交招标</w:t>
      </w:r>
      <w:r>
        <w:rPr>
          <w:rFonts w:hint="eastAsia" w:ascii="宋体" w:hAnsi="宋体" w:cs="Calibri"/>
          <w:sz w:val="22"/>
        </w:rPr>
        <w:t>人</w:t>
      </w:r>
    </w:p>
    <w:p>
      <w:pPr>
        <w:adjustRightInd w:val="0"/>
        <w:snapToGrid w:val="0"/>
        <w:spacing w:line="360" w:lineRule="exact"/>
        <w:ind w:firstLine="440"/>
        <w:rPr>
          <w:rFonts w:ascii="宋体" w:hAnsi="宋体" w:cs="Calibri"/>
          <w:sz w:val="22"/>
        </w:rPr>
      </w:pPr>
      <w:r>
        <w:rPr>
          <w:rFonts w:ascii="宋体" w:hAnsi="宋体" w:cs="Calibri"/>
          <w:sz w:val="22"/>
        </w:rPr>
        <w:t>（1）委托代理人的身份证、法定代表人授权委托书</w:t>
      </w:r>
      <w:r>
        <w:rPr>
          <w:rFonts w:hint="eastAsia" w:ascii="宋体" w:hAnsi="宋体" w:cs="Calibri"/>
          <w:sz w:val="22"/>
        </w:rPr>
        <w:t>（装订在投标文件内亦可）</w:t>
      </w:r>
      <w:r>
        <w:rPr>
          <w:rFonts w:ascii="宋体" w:hAnsi="宋体" w:cs="Calibri"/>
          <w:sz w:val="22"/>
        </w:rPr>
        <w:t>；</w:t>
      </w:r>
    </w:p>
    <w:p>
      <w:pPr>
        <w:adjustRightInd w:val="0"/>
        <w:snapToGrid w:val="0"/>
        <w:spacing w:line="360" w:lineRule="exact"/>
        <w:ind w:firstLine="440"/>
        <w:rPr>
          <w:rFonts w:ascii="宋体" w:hAnsi="宋体" w:cs="Calibri"/>
          <w:sz w:val="22"/>
        </w:rPr>
      </w:pPr>
      <w:r>
        <w:rPr>
          <w:rFonts w:ascii="宋体" w:hAnsi="宋体" w:cs="Calibri"/>
          <w:sz w:val="22"/>
        </w:rPr>
        <w:t>（2）投标保证金收执证明或汇款凭证或银行回单</w:t>
      </w:r>
      <w:r>
        <w:rPr>
          <w:rFonts w:hint="eastAsia" w:ascii="宋体" w:hAnsi="宋体" w:cs="Calibri"/>
          <w:sz w:val="22"/>
        </w:rPr>
        <w:t>（装订在投标文件内亦可）</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bookmarkStart w:id="33" w:name="_Toc7101"/>
      <w:r>
        <w:rPr>
          <w:rFonts w:ascii="宋体" w:hAnsi="宋体" w:cs="Calibri"/>
          <w:b/>
          <w:bCs/>
          <w:kern w:val="0"/>
          <w:sz w:val="22"/>
        </w:rPr>
        <w:t>5.2 开标程序</w:t>
      </w:r>
      <w:bookmarkEnd w:id="33"/>
    </w:p>
    <w:p>
      <w:pPr>
        <w:adjustRightInd w:val="0"/>
        <w:snapToGrid w:val="0"/>
        <w:spacing w:line="360" w:lineRule="exact"/>
        <w:ind w:firstLine="440"/>
        <w:rPr>
          <w:rFonts w:ascii="宋体" w:hAnsi="宋体" w:cs="Calibri"/>
          <w:kern w:val="0"/>
          <w:sz w:val="22"/>
        </w:rPr>
      </w:pPr>
      <w:r>
        <w:rPr>
          <w:rFonts w:ascii="宋体" w:hAnsi="宋体" w:cs="Calibri"/>
          <w:kern w:val="0"/>
          <w:sz w:val="22"/>
        </w:rPr>
        <w:t>主持人按下列程序进行开标：</w:t>
      </w:r>
    </w:p>
    <w:p>
      <w:pPr>
        <w:adjustRightInd w:val="0"/>
        <w:snapToGrid w:val="0"/>
        <w:spacing w:line="360" w:lineRule="exact"/>
        <w:ind w:firstLine="440"/>
        <w:rPr>
          <w:rFonts w:ascii="宋体" w:hAnsi="宋体" w:cs="Calibri"/>
          <w:kern w:val="0"/>
          <w:sz w:val="22"/>
        </w:rPr>
      </w:pPr>
      <w:r>
        <w:rPr>
          <w:rFonts w:ascii="宋体" w:hAnsi="宋体" w:cs="Calibri"/>
          <w:kern w:val="0"/>
          <w:sz w:val="22"/>
        </w:rPr>
        <w:t>（1）宣布开标纪律；</w:t>
      </w:r>
    </w:p>
    <w:p>
      <w:pPr>
        <w:adjustRightInd w:val="0"/>
        <w:snapToGrid w:val="0"/>
        <w:spacing w:line="360" w:lineRule="exact"/>
        <w:ind w:firstLine="440"/>
        <w:rPr>
          <w:rFonts w:ascii="宋体" w:hAnsi="宋体" w:cs="Calibri"/>
          <w:kern w:val="0"/>
          <w:sz w:val="22"/>
        </w:rPr>
      </w:pPr>
      <w:r>
        <w:rPr>
          <w:rFonts w:ascii="宋体" w:hAnsi="宋体" w:cs="Calibri"/>
          <w:kern w:val="0"/>
          <w:sz w:val="22"/>
        </w:rPr>
        <w:t>（2）公布在投标截止时间前递交投标文件的投标人名称，并点名确认投标人是否派人到场；</w:t>
      </w:r>
    </w:p>
    <w:p>
      <w:pPr>
        <w:adjustRightInd w:val="0"/>
        <w:snapToGrid w:val="0"/>
        <w:spacing w:line="360" w:lineRule="exact"/>
        <w:ind w:firstLine="440"/>
        <w:rPr>
          <w:rFonts w:ascii="宋体" w:hAnsi="宋体" w:cs="Calibri"/>
          <w:kern w:val="0"/>
          <w:sz w:val="22"/>
        </w:rPr>
      </w:pPr>
      <w:r>
        <w:rPr>
          <w:rFonts w:ascii="宋体" w:hAnsi="宋体" w:cs="Calibri"/>
          <w:kern w:val="0"/>
          <w:sz w:val="22"/>
        </w:rPr>
        <w:t>（3）宣布开标人、唱标人、记录人、监标人等有关人员姓名；</w:t>
      </w:r>
    </w:p>
    <w:p>
      <w:pPr>
        <w:adjustRightInd w:val="0"/>
        <w:snapToGrid w:val="0"/>
        <w:spacing w:line="360" w:lineRule="exact"/>
        <w:ind w:firstLine="440"/>
        <w:rPr>
          <w:rFonts w:ascii="宋体" w:hAnsi="宋体" w:cs="Calibri"/>
          <w:kern w:val="0"/>
          <w:sz w:val="22"/>
        </w:rPr>
      </w:pPr>
      <w:r>
        <w:rPr>
          <w:rFonts w:ascii="宋体" w:hAnsi="宋体" w:cs="Calibri"/>
          <w:kern w:val="0"/>
          <w:sz w:val="22"/>
        </w:rPr>
        <w:t>（4）按照投标人须知前附表规定检查投标文件的密封情况；</w:t>
      </w:r>
    </w:p>
    <w:p>
      <w:pPr>
        <w:adjustRightInd w:val="0"/>
        <w:snapToGrid w:val="0"/>
        <w:spacing w:line="360" w:lineRule="exact"/>
        <w:ind w:firstLine="440"/>
        <w:rPr>
          <w:rFonts w:ascii="宋体" w:hAnsi="宋体" w:cs="Calibri"/>
          <w:kern w:val="0"/>
          <w:sz w:val="22"/>
        </w:rPr>
      </w:pPr>
      <w:r>
        <w:rPr>
          <w:rFonts w:ascii="宋体" w:hAnsi="宋体" w:cs="Calibri"/>
          <w:kern w:val="0"/>
          <w:sz w:val="22"/>
        </w:rPr>
        <w:t>（5）按照投标人须知前附表的规定确定并宣布投标文件开标顺序；</w:t>
      </w:r>
    </w:p>
    <w:p>
      <w:pPr>
        <w:adjustRightInd w:val="0"/>
        <w:snapToGrid w:val="0"/>
        <w:spacing w:line="360" w:lineRule="exact"/>
        <w:ind w:firstLine="440"/>
        <w:rPr>
          <w:rFonts w:ascii="宋体" w:hAnsi="宋体" w:cs="Calibri"/>
          <w:kern w:val="0"/>
          <w:sz w:val="22"/>
        </w:rPr>
      </w:pPr>
      <w:r>
        <w:rPr>
          <w:rFonts w:ascii="宋体" w:hAnsi="宋体" w:cs="Calibri"/>
          <w:kern w:val="0"/>
          <w:sz w:val="22"/>
        </w:rPr>
        <w:t>（6）</w:t>
      </w:r>
      <w:r>
        <w:rPr>
          <w:rFonts w:ascii="宋体" w:hAnsi="宋体" w:cs="Calibri"/>
          <w:sz w:val="22"/>
        </w:rPr>
        <w:t>按照宣布的开标顺序当众开标，公布投标人名称、投标保证金的递交情况、投标报价、</w:t>
      </w:r>
      <w:r>
        <w:rPr>
          <w:rFonts w:hint="eastAsia" w:ascii="宋体" w:hAnsi="宋体" w:cs="Calibri"/>
          <w:sz w:val="22"/>
        </w:rPr>
        <w:t>供货期</w:t>
      </w:r>
      <w:r>
        <w:rPr>
          <w:rFonts w:ascii="宋体" w:hAnsi="宋体" w:cs="Calibri"/>
          <w:sz w:val="22"/>
        </w:rPr>
        <w:t>及其他内容，并记录在案；</w:t>
      </w:r>
    </w:p>
    <w:p>
      <w:pPr>
        <w:adjustRightInd w:val="0"/>
        <w:snapToGrid w:val="0"/>
        <w:spacing w:line="360" w:lineRule="exact"/>
        <w:ind w:firstLine="440"/>
        <w:rPr>
          <w:rFonts w:ascii="宋体" w:hAnsi="宋体" w:cs="Calibri"/>
          <w:kern w:val="0"/>
          <w:sz w:val="22"/>
        </w:rPr>
      </w:pPr>
      <w:r>
        <w:rPr>
          <w:rFonts w:ascii="宋体" w:hAnsi="宋体" w:cs="Calibri"/>
          <w:kern w:val="0"/>
          <w:sz w:val="22"/>
        </w:rPr>
        <w:t>（7）投标人代表、招标人代表、监标人、记录人等有关人员在开标记录上签字确认；</w:t>
      </w:r>
    </w:p>
    <w:p>
      <w:pPr>
        <w:adjustRightInd w:val="0"/>
        <w:snapToGrid w:val="0"/>
        <w:spacing w:line="360" w:lineRule="exact"/>
        <w:ind w:firstLine="440"/>
        <w:rPr>
          <w:rFonts w:ascii="宋体" w:hAnsi="宋体" w:cs="Calibri"/>
          <w:kern w:val="0"/>
          <w:sz w:val="22"/>
        </w:rPr>
      </w:pPr>
      <w:r>
        <w:rPr>
          <w:rFonts w:ascii="宋体" w:hAnsi="宋体" w:cs="Calibri"/>
          <w:kern w:val="0"/>
          <w:sz w:val="22"/>
        </w:rPr>
        <w:t>（8）开标结束。</w:t>
      </w:r>
    </w:p>
    <w:p>
      <w:pPr>
        <w:autoSpaceDE w:val="0"/>
        <w:autoSpaceDN w:val="0"/>
        <w:adjustRightInd w:val="0"/>
        <w:snapToGrid w:val="0"/>
        <w:spacing w:line="360" w:lineRule="exact"/>
        <w:rPr>
          <w:rFonts w:ascii="宋体" w:hAnsi="宋体" w:cs="Calibri"/>
          <w:b/>
          <w:bCs/>
          <w:kern w:val="0"/>
          <w:sz w:val="22"/>
        </w:rPr>
      </w:pPr>
      <w:bookmarkStart w:id="34" w:name="_Toc31578"/>
      <w:r>
        <w:rPr>
          <w:rFonts w:ascii="宋体" w:hAnsi="宋体" w:cs="Calibri"/>
          <w:b/>
          <w:bCs/>
          <w:kern w:val="0"/>
          <w:sz w:val="22"/>
        </w:rPr>
        <w:t>6.评标</w:t>
      </w:r>
      <w:bookmarkEnd w:id="34"/>
    </w:p>
    <w:p>
      <w:pPr>
        <w:autoSpaceDE w:val="0"/>
        <w:autoSpaceDN w:val="0"/>
        <w:adjustRightInd w:val="0"/>
        <w:snapToGrid w:val="0"/>
        <w:spacing w:line="360" w:lineRule="exact"/>
        <w:rPr>
          <w:rFonts w:ascii="宋体" w:hAnsi="宋体" w:cs="Calibri"/>
          <w:b/>
          <w:bCs/>
          <w:kern w:val="0"/>
          <w:sz w:val="22"/>
        </w:rPr>
      </w:pPr>
      <w:bookmarkStart w:id="35" w:name="_Toc10279"/>
      <w:r>
        <w:rPr>
          <w:rFonts w:ascii="宋体" w:hAnsi="宋体" w:cs="Calibri"/>
          <w:b/>
          <w:bCs/>
          <w:kern w:val="0"/>
          <w:sz w:val="22"/>
        </w:rPr>
        <w:t>6.1 评标委员会</w:t>
      </w:r>
      <w:bookmarkEnd w:id="35"/>
    </w:p>
    <w:p>
      <w:pPr>
        <w:adjustRightInd w:val="0"/>
        <w:snapToGrid w:val="0"/>
        <w:spacing w:line="360" w:lineRule="exact"/>
        <w:ind w:firstLine="440"/>
        <w:rPr>
          <w:rFonts w:ascii="宋体" w:hAnsi="宋体" w:cs="Calibri"/>
          <w:kern w:val="0"/>
          <w:sz w:val="22"/>
        </w:rPr>
      </w:pPr>
      <w:r>
        <w:rPr>
          <w:rFonts w:ascii="宋体" w:hAnsi="宋体" w:cs="Calibri"/>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rPr>
          <w:rFonts w:ascii="宋体" w:hAnsi="宋体" w:cs="Calibri"/>
          <w:kern w:val="0"/>
          <w:sz w:val="22"/>
        </w:rPr>
      </w:pPr>
      <w:r>
        <w:rPr>
          <w:rFonts w:ascii="宋体" w:hAnsi="宋体" w:cs="Calibri"/>
          <w:kern w:val="0"/>
          <w:sz w:val="22"/>
        </w:rPr>
        <w:t>6.1.2评标委员会成员有下列情形之一的，应当回避：</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（1）招标人或投标人的主要负责人的近亲属；</w:t>
      </w:r>
    </w:p>
    <w:p>
      <w:pPr>
        <w:adjustRightInd w:val="0"/>
        <w:snapToGrid w:val="0"/>
        <w:spacing w:line="360" w:lineRule="exact"/>
        <w:ind w:firstLine="440"/>
        <w:rPr>
          <w:rFonts w:ascii="宋体" w:hAnsi="宋体" w:cs="Calibri"/>
          <w:kern w:val="0"/>
          <w:sz w:val="22"/>
        </w:rPr>
      </w:pPr>
      <w:r>
        <w:rPr>
          <w:rFonts w:ascii="宋体" w:hAnsi="宋体" w:cs="Calibri"/>
          <w:kern w:val="0"/>
          <w:sz w:val="22"/>
        </w:rPr>
        <w:t>（2）项目主管部门或者行政监督部门的人员；</w:t>
      </w:r>
    </w:p>
    <w:p>
      <w:pPr>
        <w:adjustRightInd w:val="0"/>
        <w:snapToGrid w:val="0"/>
        <w:spacing w:line="360" w:lineRule="exact"/>
        <w:ind w:firstLine="440"/>
        <w:rPr>
          <w:rFonts w:ascii="宋体" w:hAnsi="宋体" w:cs="Calibri"/>
          <w:kern w:val="0"/>
          <w:sz w:val="22"/>
        </w:rPr>
      </w:pPr>
      <w:r>
        <w:rPr>
          <w:rFonts w:ascii="宋体" w:hAnsi="宋体" w:cs="Calibri"/>
          <w:kern w:val="0"/>
          <w:sz w:val="22"/>
        </w:rPr>
        <w:t>（3）与投标人有经济利益关系，可能影响对投标公正评审的；</w:t>
      </w:r>
    </w:p>
    <w:p>
      <w:pPr>
        <w:adjustRightInd w:val="0"/>
        <w:snapToGrid w:val="0"/>
        <w:spacing w:line="360" w:lineRule="exact"/>
        <w:ind w:firstLine="440"/>
        <w:rPr>
          <w:rFonts w:ascii="宋体" w:hAnsi="宋体" w:cs="Calibri"/>
          <w:kern w:val="0"/>
          <w:sz w:val="22"/>
        </w:rPr>
      </w:pPr>
      <w:r>
        <w:rPr>
          <w:rFonts w:ascii="宋体" w:hAnsi="宋体" w:cs="Calibri"/>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cs="Calibri"/>
          <w:b/>
          <w:bCs/>
          <w:kern w:val="0"/>
          <w:sz w:val="22"/>
        </w:rPr>
      </w:pPr>
      <w:bookmarkStart w:id="36" w:name="_Toc3460"/>
      <w:r>
        <w:rPr>
          <w:rFonts w:ascii="宋体" w:hAnsi="宋体" w:cs="Calibri"/>
          <w:b/>
          <w:bCs/>
          <w:kern w:val="0"/>
          <w:sz w:val="22"/>
        </w:rPr>
        <w:t>6.2 评标原则</w:t>
      </w:r>
      <w:bookmarkEnd w:id="36"/>
    </w:p>
    <w:p>
      <w:pPr>
        <w:adjustRightInd w:val="0"/>
        <w:snapToGrid w:val="0"/>
        <w:spacing w:line="360" w:lineRule="exact"/>
        <w:ind w:firstLine="440"/>
        <w:rPr>
          <w:rFonts w:ascii="宋体" w:hAnsi="宋体" w:cs="Calibri"/>
          <w:kern w:val="0"/>
          <w:sz w:val="22"/>
        </w:rPr>
      </w:pPr>
      <w:r>
        <w:rPr>
          <w:rFonts w:ascii="宋体" w:hAnsi="宋体" w:cs="Calibri"/>
          <w:kern w:val="0"/>
          <w:sz w:val="22"/>
        </w:rPr>
        <w:t>评标活动遵循公平、公正、科学和择优的原则。</w:t>
      </w:r>
    </w:p>
    <w:p>
      <w:pPr>
        <w:autoSpaceDE w:val="0"/>
        <w:autoSpaceDN w:val="0"/>
        <w:adjustRightInd w:val="0"/>
        <w:snapToGrid w:val="0"/>
        <w:spacing w:line="360" w:lineRule="exact"/>
        <w:rPr>
          <w:rFonts w:ascii="宋体" w:hAnsi="宋体" w:cs="Calibri"/>
          <w:b/>
          <w:bCs/>
          <w:kern w:val="0"/>
          <w:sz w:val="22"/>
        </w:rPr>
      </w:pPr>
      <w:bookmarkStart w:id="37" w:name="_Toc28178"/>
      <w:r>
        <w:rPr>
          <w:rFonts w:ascii="宋体" w:hAnsi="宋体" w:cs="Calibri"/>
          <w:b/>
          <w:bCs/>
          <w:kern w:val="0"/>
          <w:sz w:val="22"/>
        </w:rPr>
        <w:t>6.3 评标</w:t>
      </w:r>
      <w:bookmarkEnd w:id="37"/>
    </w:p>
    <w:p>
      <w:pPr>
        <w:adjustRightInd w:val="0"/>
        <w:snapToGrid w:val="0"/>
        <w:spacing w:line="360" w:lineRule="exact"/>
        <w:ind w:firstLine="440"/>
        <w:rPr>
          <w:rFonts w:ascii="宋体" w:hAnsi="宋体" w:cs="Calibri"/>
          <w:kern w:val="0"/>
          <w:sz w:val="22"/>
        </w:rPr>
      </w:pPr>
      <w:r>
        <w:rPr>
          <w:rFonts w:ascii="宋体" w:hAnsi="宋体" w:cs="Calibri"/>
          <w:kern w:val="0"/>
          <w:sz w:val="22"/>
        </w:rPr>
        <w:t>评标委员会按照第</w:t>
      </w:r>
      <w:r>
        <w:rPr>
          <w:rFonts w:hint="eastAsia" w:ascii="宋体" w:hAnsi="宋体" w:cs="Calibri"/>
          <w:kern w:val="0"/>
          <w:sz w:val="22"/>
        </w:rPr>
        <w:t>五</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”对投标文件进行评审。第</w:t>
      </w:r>
      <w:r>
        <w:rPr>
          <w:rFonts w:hint="eastAsia" w:ascii="宋体" w:hAnsi="宋体" w:cs="Calibri"/>
          <w:kern w:val="0"/>
          <w:sz w:val="22"/>
        </w:rPr>
        <w:t>五</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”没有规定的方法、评审因素和标准，不作为评标依据。</w:t>
      </w:r>
    </w:p>
    <w:p>
      <w:pPr>
        <w:autoSpaceDE w:val="0"/>
        <w:autoSpaceDN w:val="0"/>
        <w:adjustRightInd w:val="0"/>
        <w:snapToGrid w:val="0"/>
        <w:spacing w:line="360" w:lineRule="exact"/>
        <w:rPr>
          <w:rFonts w:ascii="宋体" w:hAnsi="宋体" w:cs="Calibri"/>
          <w:b/>
          <w:bCs/>
          <w:kern w:val="0"/>
          <w:sz w:val="22"/>
        </w:rPr>
      </w:pPr>
      <w:bookmarkStart w:id="38" w:name="_Toc24237"/>
      <w:r>
        <w:rPr>
          <w:rFonts w:ascii="宋体" w:hAnsi="宋体" w:cs="Calibri"/>
          <w:b/>
          <w:bCs/>
          <w:kern w:val="0"/>
          <w:sz w:val="22"/>
        </w:rPr>
        <w:t>7.合同授予</w:t>
      </w:r>
      <w:bookmarkEnd w:id="38"/>
    </w:p>
    <w:p>
      <w:pPr>
        <w:autoSpaceDE w:val="0"/>
        <w:autoSpaceDN w:val="0"/>
        <w:adjustRightInd w:val="0"/>
        <w:snapToGrid w:val="0"/>
        <w:spacing w:line="360" w:lineRule="exact"/>
        <w:rPr>
          <w:rFonts w:ascii="宋体" w:hAnsi="宋体" w:cs="Calibri"/>
          <w:b/>
          <w:bCs/>
          <w:kern w:val="0"/>
          <w:sz w:val="22"/>
        </w:rPr>
      </w:pPr>
      <w:bookmarkStart w:id="39" w:name="_Toc18809"/>
      <w:r>
        <w:rPr>
          <w:rFonts w:ascii="宋体" w:hAnsi="宋体" w:cs="Calibri"/>
          <w:b/>
          <w:bCs/>
          <w:kern w:val="0"/>
          <w:sz w:val="22"/>
        </w:rPr>
        <w:t>7.1 定标方式</w:t>
      </w:r>
      <w:bookmarkEnd w:id="39"/>
    </w:p>
    <w:p>
      <w:pPr>
        <w:adjustRightInd w:val="0"/>
        <w:snapToGrid w:val="0"/>
        <w:spacing w:line="360" w:lineRule="exact"/>
        <w:ind w:firstLine="440"/>
        <w:rPr>
          <w:rFonts w:ascii="宋体" w:hAnsi="宋体" w:cs="Calibri"/>
          <w:sz w:val="22"/>
        </w:rPr>
      </w:pPr>
      <w:r>
        <w:rPr>
          <w:rFonts w:ascii="宋体" w:hAnsi="宋体" w:cs="Calibri"/>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ascii="宋体" w:hAnsi="宋体" w:cs="Calibri"/>
          <w:b/>
          <w:bCs/>
          <w:kern w:val="0"/>
          <w:sz w:val="22"/>
        </w:rPr>
      </w:pPr>
      <w:bookmarkStart w:id="40" w:name="_Toc14573"/>
      <w:r>
        <w:rPr>
          <w:rFonts w:ascii="宋体" w:hAnsi="宋体" w:cs="Calibri"/>
          <w:b/>
          <w:bCs/>
          <w:kern w:val="0"/>
          <w:sz w:val="22"/>
        </w:rPr>
        <w:t>7.2 中标通知</w:t>
      </w:r>
      <w:bookmarkEnd w:id="40"/>
    </w:p>
    <w:p>
      <w:pPr>
        <w:adjustRightInd w:val="0"/>
        <w:snapToGrid w:val="0"/>
        <w:spacing w:line="360" w:lineRule="exact"/>
        <w:ind w:firstLine="440"/>
        <w:rPr>
          <w:rFonts w:ascii="宋体" w:hAnsi="宋体" w:cs="Calibri"/>
          <w:kern w:val="0"/>
          <w:sz w:val="22"/>
        </w:rPr>
      </w:pPr>
      <w:r>
        <w:rPr>
          <w:rFonts w:ascii="宋体" w:hAnsi="宋体" w:cs="Calibri"/>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ascii="宋体" w:hAnsi="宋体" w:cs="Calibri"/>
          <w:b/>
          <w:bCs/>
          <w:kern w:val="0"/>
          <w:sz w:val="22"/>
        </w:rPr>
      </w:pPr>
      <w:bookmarkStart w:id="41" w:name="_Toc27132"/>
      <w:r>
        <w:rPr>
          <w:rFonts w:ascii="宋体" w:hAnsi="宋体" w:cs="Calibri"/>
          <w:b/>
          <w:bCs/>
          <w:kern w:val="0"/>
          <w:sz w:val="22"/>
        </w:rPr>
        <w:t>7.3 履约</w:t>
      </w:r>
      <w:r>
        <w:rPr>
          <w:rFonts w:hint="eastAsia" w:ascii="宋体" w:hAnsi="宋体" w:cs="Calibri"/>
          <w:b/>
          <w:bCs/>
          <w:kern w:val="0"/>
          <w:sz w:val="22"/>
        </w:rPr>
        <w:t>保证金</w:t>
      </w:r>
      <w:bookmarkEnd w:id="41"/>
    </w:p>
    <w:p>
      <w:pPr>
        <w:adjustRightInd w:val="0"/>
        <w:snapToGrid w:val="0"/>
        <w:spacing w:line="360" w:lineRule="exact"/>
        <w:ind w:firstLine="440"/>
        <w:rPr>
          <w:rFonts w:ascii="宋体" w:hAnsi="宋体" w:cs="Calibri"/>
          <w:kern w:val="0"/>
          <w:sz w:val="22"/>
        </w:rPr>
      </w:pPr>
      <w:r>
        <w:rPr>
          <w:rFonts w:ascii="宋体" w:hAnsi="宋体" w:cs="Calibri"/>
          <w:kern w:val="0"/>
          <w:sz w:val="22"/>
        </w:rPr>
        <w:t>7.3.1在签订合同前，中标人应按投标人须知前附表规定的金额</w:t>
      </w:r>
      <w:r>
        <w:rPr>
          <w:rFonts w:hint="eastAsia" w:ascii="宋体" w:hAnsi="宋体" w:cs="Calibri"/>
          <w:kern w:val="0"/>
          <w:sz w:val="22"/>
        </w:rPr>
        <w:t>和</w:t>
      </w:r>
      <w:r>
        <w:rPr>
          <w:rFonts w:ascii="宋体" w:hAnsi="宋体" w:cs="Calibri"/>
          <w:kern w:val="0"/>
          <w:sz w:val="22"/>
        </w:rPr>
        <w:t>担保形式向招标人提交履约</w:t>
      </w:r>
      <w:r>
        <w:rPr>
          <w:rFonts w:hint="eastAsia" w:ascii="宋体" w:hAnsi="宋体" w:cs="Calibri"/>
          <w:kern w:val="0"/>
          <w:sz w:val="22"/>
        </w:rPr>
        <w:t>保证金</w:t>
      </w:r>
      <w:r>
        <w:rPr>
          <w:rFonts w:ascii="宋体" w:hAnsi="宋体" w:cs="Calibri"/>
          <w:kern w:val="0"/>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7.3.2 中标人不能按本章第7.3.1项要求提交履约</w:t>
      </w:r>
      <w:r>
        <w:rPr>
          <w:rFonts w:hint="eastAsia" w:ascii="宋体" w:hAnsi="宋体" w:cs="Calibri"/>
          <w:kern w:val="0"/>
          <w:sz w:val="22"/>
        </w:rPr>
        <w:t>保证金</w:t>
      </w:r>
      <w:r>
        <w:rPr>
          <w:rFonts w:ascii="宋体" w:hAnsi="宋体" w:cs="Calibri"/>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cs="Calibri"/>
          <w:b/>
          <w:bCs/>
          <w:kern w:val="0"/>
          <w:sz w:val="22"/>
        </w:rPr>
      </w:pPr>
      <w:bookmarkStart w:id="42" w:name="_Toc27581"/>
      <w:r>
        <w:rPr>
          <w:rFonts w:ascii="宋体" w:hAnsi="宋体" w:cs="Calibri"/>
          <w:b/>
          <w:bCs/>
          <w:kern w:val="0"/>
          <w:sz w:val="22"/>
        </w:rPr>
        <w:t>7.4 签订合同</w:t>
      </w:r>
      <w:bookmarkEnd w:id="42"/>
    </w:p>
    <w:p>
      <w:pPr>
        <w:adjustRightInd w:val="0"/>
        <w:snapToGrid w:val="0"/>
        <w:spacing w:line="360" w:lineRule="exact"/>
        <w:ind w:firstLine="440"/>
        <w:rPr>
          <w:rFonts w:ascii="宋体" w:hAnsi="宋体" w:cs="Calibri"/>
          <w:kern w:val="0"/>
          <w:sz w:val="22"/>
        </w:rPr>
      </w:pPr>
      <w:r>
        <w:rPr>
          <w:rFonts w:ascii="宋体" w:hAnsi="宋体" w:cs="Calibri"/>
          <w:sz w:val="22"/>
        </w:rPr>
        <w:t>7</w:t>
      </w:r>
      <w:bookmarkStart w:id="43" w:name="_Toc219809801"/>
      <w:bookmarkStart w:id="44" w:name="_Toc220123241"/>
      <w:bookmarkStart w:id="45" w:name="_Toc11806"/>
      <w:r>
        <w:rPr>
          <w:rFonts w:ascii="宋体" w:hAnsi="宋体" w:cs="Calibri"/>
          <w:kern w:val="0"/>
          <w:sz w:val="22"/>
        </w:rPr>
        <w:t>.4.1招标人和中标人应当自中标通知书发出之日起30个工作日内订立书面</w:t>
      </w:r>
      <w:r>
        <w:rPr>
          <w:rFonts w:hint="eastAsia" w:ascii="宋体" w:hAnsi="宋体" w:cs="Calibri"/>
          <w:kern w:val="0"/>
          <w:sz w:val="22"/>
        </w:rPr>
        <w:t>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）。中标人无正当理由拒签</w:t>
      </w:r>
      <w:r>
        <w:rPr>
          <w:rFonts w:hint="eastAsia" w:ascii="宋体" w:hAnsi="宋体" w:cs="Calibri"/>
          <w:kern w:val="0"/>
          <w:sz w:val="22"/>
        </w:rPr>
        <w:t>合同</w:t>
      </w:r>
      <w:r>
        <w:rPr>
          <w:rFonts w:ascii="宋体" w:hAnsi="宋体" w:cs="Calibri"/>
          <w:kern w:val="0"/>
          <w:sz w:val="22"/>
        </w:rPr>
        <w:t>的，招标人取消其中标资格，其投标保证金不予退还；给招标人造成的损失超过投标保证金数额的，中标人还应当对超过部分予以赔偿。</w:t>
      </w:r>
    </w:p>
    <w:p>
      <w:pPr>
        <w:adjustRightInd w:val="0"/>
        <w:snapToGrid w:val="0"/>
        <w:spacing w:line="360" w:lineRule="exact"/>
        <w:ind w:firstLine="440"/>
        <w:rPr>
          <w:rFonts w:ascii="宋体" w:hAnsi="宋体" w:cs="Calibri"/>
          <w:kern w:val="0"/>
          <w:sz w:val="22"/>
        </w:rPr>
      </w:pPr>
      <w:r>
        <w:rPr>
          <w:rFonts w:ascii="宋体" w:hAnsi="宋体" w:cs="Calibri"/>
          <w:kern w:val="0"/>
          <w:sz w:val="22"/>
        </w:rPr>
        <w:t>7.4.2 发出中标通知书后，招标人无正当理由拒签合同的，招标人向中标人退还投标保证金；给中标人造成损失的，还应当赔偿损失。</w:t>
      </w:r>
    </w:p>
    <w:p>
      <w:pPr>
        <w:adjustRightInd w:val="0"/>
        <w:snapToGrid w:val="0"/>
        <w:spacing w:line="360" w:lineRule="exact"/>
        <w:ind w:firstLine="440" w:firstLineChars="200"/>
        <w:rPr>
          <w:rFonts w:ascii="宋体" w:hAnsi="宋体" w:cs="Calibri"/>
          <w:b/>
          <w:color w:val="000000"/>
          <w:kern w:val="0"/>
          <w:sz w:val="22"/>
        </w:rPr>
      </w:pPr>
      <w:r>
        <w:rPr>
          <w:rFonts w:hint="eastAsia" w:ascii="宋体" w:hAnsi="宋体" w:cs="Calibri"/>
          <w:color w:val="000000"/>
          <w:kern w:val="0"/>
          <w:sz w:val="22"/>
        </w:rPr>
        <w:t xml:space="preserve">7.4.3 </w:t>
      </w:r>
      <w:r>
        <w:rPr>
          <w:rFonts w:hint="eastAsia" w:ascii="宋体" w:hAnsi="宋体" w:cs="Calibri"/>
          <w:b/>
          <w:color w:val="000000"/>
          <w:kern w:val="0"/>
          <w:sz w:val="22"/>
        </w:rPr>
        <w:t>招标人在授予合同有权对本项目的内容等予以增加或者减少，中标人不得提出异议，否则招标人有权取消其中标资格。</w:t>
      </w:r>
    </w:p>
    <w:p>
      <w:pPr>
        <w:adjustRightInd w:val="0"/>
        <w:snapToGrid w:val="0"/>
        <w:spacing w:line="360" w:lineRule="exact"/>
        <w:ind w:firstLine="440"/>
        <w:rPr>
          <w:rFonts w:ascii="宋体" w:hAnsi="宋体" w:cs="Calibri"/>
          <w:kern w:val="0"/>
          <w:sz w:val="22"/>
        </w:rPr>
      </w:pPr>
      <w:r>
        <w:rPr>
          <w:rFonts w:hint="eastAsia" w:ascii="宋体" w:hAnsi="宋体" w:cs="Calibri"/>
          <w:color w:val="000000"/>
          <w:kern w:val="0"/>
          <w:sz w:val="22"/>
        </w:rPr>
        <w:t xml:space="preserve">7.4.4 </w:t>
      </w:r>
      <w:r>
        <w:rPr>
          <w:rFonts w:hint="eastAsia" w:ascii="宋体" w:hAnsi="宋体" w:cs="Calibri"/>
          <w:b/>
          <w:color w:val="000000"/>
          <w:kern w:val="0"/>
          <w:sz w:val="22"/>
        </w:rPr>
        <w:t>招标人在授予合同前的任何时候，仍保留接受或者拒绝任何投标和拒绝所有投标的权利。</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8.重新招标和不再招标</w:t>
      </w:r>
      <w:bookmarkEnd w:id="43"/>
      <w:bookmarkEnd w:id="44"/>
      <w:bookmarkEnd w:id="45"/>
    </w:p>
    <w:p>
      <w:pPr>
        <w:autoSpaceDE w:val="0"/>
        <w:autoSpaceDN w:val="0"/>
        <w:adjustRightInd w:val="0"/>
        <w:snapToGrid w:val="0"/>
        <w:spacing w:line="360" w:lineRule="exact"/>
        <w:rPr>
          <w:rFonts w:ascii="宋体" w:hAnsi="宋体" w:cs="Calibri"/>
          <w:b/>
          <w:bCs/>
          <w:kern w:val="0"/>
          <w:sz w:val="22"/>
        </w:rPr>
      </w:pPr>
      <w:bookmarkStart w:id="46" w:name="_Toc220123242"/>
      <w:bookmarkStart w:id="47" w:name="_Toc15553"/>
      <w:bookmarkStart w:id="48" w:name="_Toc219809802"/>
      <w:r>
        <w:rPr>
          <w:rFonts w:ascii="宋体" w:hAnsi="宋体" w:cs="Calibri"/>
          <w:b/>
          <w:bCs/>
          <w:kern w:val="0"/>
          <w:sz w:val="22"/>
        </w:rPr>
        <w:t>8.1 重新招标</w:t>
      </w:r>
      <w:bookmarkEnd w:id="46"/>
      <w:bookmarkEnd w:id="47"/>
      <w:bookmarkEnd w:id="48"/>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utoSpaceDE w:val="0"/>
        <w:autoSpaceDN w:val="0"/>
        <w:adjustRightInd w:val="0"/>
        <w:snapToGrid w:val="0"/>
        <w:spacing w:line="360" w:lineRule="exact"/>
        <w:rPr>
          <w:rFonts w:ascii="宋体" w:hAnsi="宋体" w:cs="Calibri"/>
          <w:b/>
          <w:bCs/>
          <w:kern w:val="0"/>
          <w:sz w:val="22"/>
        </w:rPr>
      </w:pPr>
      <w:bookmarkStart w:id="49" w:name="_Toc18806"/>
      <w:bookmarkStart w:id="50" w:name="_Toc220123243"/>
      <w:bookmarkStart w:id="51" w:name="_Toc219809803"/>
      <w:r>
        <w:rPr>
          <w:rFonts w:ascii="宋体" w:hAnsi="宋体" w:cs="Calibri"/>
          <w:b/>
          <w:bCs/>
          <w:kern w:val="0"/>
          <w:sz w:val="22"/>
        </w:rPr>
        <w:t>8.2 不再招标</w:t>
      </w:r>
      <w:bookmarkEnd w:id="49"/>
      <w:bookmarkEnd w:id="50"/>
      <w:bookmarkEnd w:id="51"/>
    </w:p>
    <w:p>
      <w:pPr>
        <w:adjustRightInd w:val="0"/>
        <w:snapToGrid w:val="0"/>
        <w:spacing w:line="360" w:lineRule="exact"/>
        <w:ind w:firstLine="440"/>
        <w:rPr>
          <w:rFonts w:ascii="宋体" w:hAnsi="宋体" w:cs="Calibri"/>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cs="Calibri"/>
          <w:b/>
          <w:bCs/>
          <w:kern w:val="0"/>
          <w:sz w:val="22"/>
        </w:rPr>
      </w:pPr>
      <w:bookmarkStart w:id="52" w:name="_Toc215941254"/>
      <w:bookmarkStart w:id="53" w:name="_Toc2986"/>
      <w:bookmarkStart w:id="54" w:name="_Toc220123244"/>
      <w:bookmarkStart w:id="55" w:name="_Toc219809804"/>
      <w:r>
        <w:rPr>
          <w:rFonts w:ascii="宋体" w:hAnsi="宋体" w:cs="Calibri"/>
          <w:b/>
          <w:bCs/>
          <w:kern w:val="0"/>
          <w:sz w:val="22"/>
        </w:rPr>
        <w:t>9.纪律和监督</w:t>
      </w:r>
      <w:bookmarkEnd w:id="52"/>
      <w:bookmarkEnd w:id="53"/>
      <w:bookmarkEnd w:id="54"/>
      <w:bookmarkEnd w:id="55"/>
    </w:p>
    <w:p>
      <w:pPr>
        <w:autoSpaceDE w:val="0"/>
        <w:autoSpaceDN w:val="0"/>
        <w:adjustRightInd w:val="0"/>
        <w:snapToGrid w:val="0"/>
        <w:spacing w:line="360" w:lineRule="exact"/>
        <w:rPr>
          <w:rFonts w:ascii="宋体" w:hAnsi="宋体" w:cs="Calibri"/>
          <w:b/>
          <w:bCs/>
          <w:kern w:val="0"/>
          <w:sz w:val="22"/>
        </w:rPr>
      </w:pPr>
      <w:bookmarkStart w:id="56" w:name="_Toc5509"/>
      <w:bookmarkStart w:id="57" w:name="_Toc220123245"/>
      <w:bookmarkStart w:id="58" w:name="_Toc219809805"/>
      <w:r>
        <w:rPr>
          <w:rFonts w:ascii="宋体" w:hAnsi="宋体" w:cs="Calibri"/>
          <w:b/>
          <w:bCs/>
          <w:kern w:val="0"/>
          <w:sz w:val="22"/>
        </w:rPr>
        <w:t>9.1 对招标人的纪律要求</w:t>
      </w:r>
      <w:bookmarkEnd w:id="56"/>
      <w:bookmarkEnd w:id="57"/>
      <w:bookmarkEnd w:id="58"/>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cs="Calibri"/>
          <w:b/>
          <w:bCs/>
          <w:kern w:val="0"/>
          <w:sz w:val="22"/>
        </w:rPr>
      </w:pPr>
      <w:bookmarkStart w:id="59" w:name="_Toc10820"/>
      <w:bookmarkStart w:id="60" w:name="_Toc220123246"/>
      <w:bookmarkStart w:id="61" w:name="_Toc219809806"/>
      <w:r>
        <w:rPr>
          <w:rFonts w:ascii="宋体" w:hAnsi="宋体" w:cs="Calibri"/>
          <w:b/>
          <w:bCs/>
          <w:kern w:val="0"/>
          <w:sz w:val="22"/>
        </w:rPr>
        <w:t>9.2 对投标人的纪律要求</w:t>
      </w:r>
      <w:bookmarkEnd w:id="59"/>
      <w:bookmarkEnd w:id="60"/>
      <w:bookmarkEnd w:id="6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ascii="宋体" w:hAnsi="宋体" w:cs="Calibri"/>
          <w:b/>
          <w:color w:val="000000"/>
          <w:sz w:val="22"/>
        </w:rPr>
      </w:pPr>
      <w:r>
        <w:rPr>
          <w:rFonts w:hint="eastAsia" w:ascii="宋体" w:hAnsi="宋体" w:cs="Calibri"/>
          <w:b/>
          <w:color w:val="00000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ascii="宋体" w:hAnsi="宋体" w:cs="Calibri"/>
          <w:b/>
          <w:bCs/>
          <w:kern w:val="0"/>
          <w:sz w:val="22"/>
        </w:rPr>
      </w:pPr>
      <w:bookmarkStart w:id="62" w:name="_Toc220123247"/>
      <w:bookmarkStart w:id="63" w:name="_Toc10756"/>
      <w:bookmarkStart w:id="64" w:name="_Toc219809807"/>
      <w:r>
        <w:rPr>
          <w:rFonts w:ascii="宋体" w:hAnsi="宋体" w:cs="Calibri"/>
          <w:b/>
          <w:bCs/>
          <w:kern w:val="0"/>
          <w:sz w:val="22"/>
        </w:rPr>
        <w:t>9.3 对评标委员会成员的纪律要求</w:t>
      </w:r>
      <w:bookmarkEnd w:id="62"/>
      <w:bookmarkEnd w:id="63"/>
      <w:bookmarkEnd w:id="64"/>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ascii="宋体" w:hAnsi="宋体" w:cs="Calibri"/>
          <w:color w:val="000000"/>
          <w:sz w:val="22"/>
        </w:rPr>
        <w:t>五</w:t>
      </w:r>
      <w:r>
        <w:rPr>
          <w:rFonts w:ascii="宋体" w:hAnsi="宋体" w:cs="Calibri"/>
          <w:color w:val="000000"/>
          <w:sz w:val="22"/>
        </w:rPr>
        <w:t>章“评标办法及标准”没有规定的评审因素和标准进行评标。</w:t>
      </w:r>
    </w:p>
    <w:p>
      <w:pPr>
        <w:autoSpaceDE w:val="0"/>
        <w:autoSpaceDN w:val="0"/>
        <w:adjustRightInd w:val="0"/>
        <w:snapToGrid w:val="0"/>
        <w:spacing w:line="360" w:lineRule="exact"/>
        <w:rPr>
          <w:rFonts w:ascii="宋体" w:hAnsi="宋体" w:cs="Calibri"/>
          <w:b/>
          <w:bCs/>
          <w:kern w:val="0"/>
          <w:sz w:val="22"/>
        </w:rPr>
      </w:pPr>
      <w:bookmarkStart w:id="65" w:name="_Toc12792"/>
      <w:bookmarkStart w:id="66" w:name="_Toc220123248"/>
      <w:bookmarkStart w:id="67" w:name="_Toc219809808"/>
      <w:r>
        <w:rPr>
          <w:rFonts w:ascii="宋体" w:hAnsi="宋体" w:cs="Calibri"/>
          <w:b/>
          <w:bCs/>
          <w:kern w:val="0"/>
          <w:sz w:val="22"/>
        </w:rPr>
        <w:t>9.4 对评标活动有关的工作人员的纪律要求</w:t>
      </w:r>
      <w:bookmarkEnd w:id="65"/>
      <w:bookmarkEnd w:id="66"/>
      <w:bookmarkEnd w:id="67"/>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cs="Calibri"/>
          <w:b/>
          <w:bCs/>
          <w:kern w:val="0"/>
          <w:sz w:val="22"/>
        </w:rPr>
      </w:pPr>
      <w:bookmarkStart w:id="68" w:name="_Toc219809809"/>
      <w:bookmarkStart w:id="69" w:name="_Toc220123249"/>
      <w:bookmarkStart w:id="70" w:name="_Toc239"/>
      <w:r>
        <w:rPr>
          <w:rFonts w:ascii="宋体" w:hAnsi="宋体" w:cs="Calibri"/>
          <w:b/>
          <w:bCs/>
          <w:kern w:val="0"/>
          <w:sz w:val="22"/>
        </w:rPr>
        <w:t>9.5 投诉</w:t>
      </w:r>
      <w:bookmarkEnd w:id="68"/>
      <w:bookmarkEnd w:id="69"/>
      <w:bookmarkEnd w:id="7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cs="Calibri"/>
          <w:b/>
          <w:bCs/>
          <w:kern w:val="0"/>
          <w:sz w:val="22"/>
        </w:rPr>
      </w:pPr>
      <w:bookmarkStart w:id="71" w:name="_Toc10817"/>
      <w:r>
        <w:rPr>
          <w:rFonts w:ascii="宋体" w:hAnsi="宋体" w:cs="Calibri"/>
          <w:b/>
          <w:bCs/>
          <w:kern w:val="0"/>
          <w:sz w:val="22"/>
        </w:rPr>
        <w:t>10. 需要补充的其他内容</w:t>
      </w:r>
      <w:bookmarkEnd w:id="71"/>
    </w:p>
    <w:p>
      <w:pPr>
        <w:autoSpaceDE w:val="0"/>
        <w:autoSpaceDN w:val="0"/>
        <w:adjustRightInd w:val="0"/>
        <w:snapToGrid w:val="0"/>
        <w:spacing w:line="360" w:lineRule="exact"/>
        <w:ind w:firstLine="440"/>
        <w:jc w:val="left"/>
        <w:rPr>
          <w:rFonts w:ascii="宋体" w:hAnsi="宋体" w:cs="Calibri"/>
          <w:color w:val="000000"/>
          <w:sz w:val="22"/>
        </w:rPr>
      </w:pPr>
      <w:r>
        <w:rPr>
          <w:rFonts w:ascii="宋体" w:hAnsi="宋体" w:cs="Calibri"/>
          <w:color w:val="000000"/>
          <w:sz w:val="22"/>
        </w:rPr>
        <w:t>需要补充的其他内容：见投标人须知前附表。</w:t>
      </w:r>
    </w:p>
    <w:p>
      <w:pPr>
        <w:spacing w:line="560" w:lineRule="exact"/>
      </w:pPr>
    </w:p>
    <w:p>
      <w:pPr>
        <w:spacing w:line="560" w:lineRule="exact"/>
        <w:jc w:val="center"/>
      </w:pPr>
    </w:p>
    <w:p>
      <w:pPr>
        <w:snapToGrid w:val="0"/>
        <w:spacing w:line="560" w:lineRule="exact"/>
      </w:pPr>
    </w:p>
    <w:p>
      <w:pPr>
        <w:pStyle w:val="42"/>
      </w:pPr>
      <w:r>
        <w:rPr>
          <w:sz w:val="24"/>
        </w:rPr>
        <w:br w:type="page"/>
      </w:r>
      <w:bookmarkStart w:id="72" w:name="_Toc321925453"/>
      <w:r>
        <w:t>第</w:t>
      </w:r>
      <w:r>
        <w:rPr>
          <w:rFonts w:hint="eastAsia"/>
        </w:rPr>
        <w:t>三</w:t>
      </w:r>
      <w:r>
        <w:t>章  货物需求一览表及技术规格</w:t>
      </w:r>
      <w:bookmarkEnd w:id="72"/>
    </w:p>
    <w:p>
      <w:pPr>
        <w:spacing w:line="360" w:lineRule="auto"/>
        <w:rPr>
          <w:rFonts w:ascii="宋体" w:hAnsi="宋体"/>
          <w:b/>
          <w:sz w:val="22"/>
        </w:rPr>
      </w:pPr>
      <w:r>
        <w:rPr>
          <w:rFonts w:hint="eastAsia" w:ascii="宋体" w:hAnsi="宋体"/>
          <w:b/>
          <w:sz w:val="22"/>
        </w:rPr>
        <w:t>一、招标内容</w:t>
      </w:r>
    </w:p>
    <w:p>
      <w:pPr>
        <w:spacing w:line="360" w:lineRule="auto"/>
        <w:rPr>
          <w:rFonts w:ascii="宋体" w:hAnsi="宋体"/>
          <w:sz w:val="22"/>
        </w:rPr>
      </w:pPr>
      <w:r>
        <w:rPr>
          <w:rFonts w:hint="eastAsia" w:ascii="宋体" w:hAnsi="宋体"/>
          <w:sz w:val="22"/>
        </w:rPr>
        <w:t xml:space="preserve">    杭州萧山国际机场</w:t>
      </w:r>
      <w:r>
        <w:rPr>
          <w:rFonts w:hint="eastAsia" w:ascii="宋体" w:hAnsi="宋体" w:cs="Arial"/>
          <w:kern w:val="0"/>
          <w:sz w:val="22"/>
        </w:rPr>
        <w:t>T2航站楼固定廊桥地毯的</w:t>
      </w:r>
      <w:r>
        <w:rPr>
          <w:rFonts w:hint="eastAsia" w:ascii="宋体" w:hAnsi="宋体"/>
          <w:sz w:val="22"/>
        </w:rPr>
        <w:t>采购及安装。</w:t>
      </w:r>
    </w:p>
    <w:p>
      <w:pPr>
        <w:spacing w:line="360" w:lineRule="auto"/>
        <w:ind w:firstLine="440" w:firstLineChars="200"/>
        <w:rPr>
          <w:rFonts w:ascii="宋体" w:hAnsi="宋体"/>
          <w:sz w:val="22"/>
        </w:rPr>
      </w:pPr>
      <w:r>
        <w:rPr>
          <w:rFonts w:hint="eastAsia" w:ascii="宋体" w:hAnsi="宋体"/>
          <w:sz w:val="22"/>
        </w:rPr>
        <w:t>招标人将从深化设计、产品制造、供货、安装、验收、备品备件、技术培训及售后服务等各个方面进行评价。</w:t>
      </w:r>
    </w:p>
    <w:p>
      <w:pPr>
        <w:spacing w:line="360" w:lineRule="auto"/>
        <w:rPr>
          <w:rFonts w:ascii="宋体" w:hAnsi="宋体"/>
          <w:b/>
          <w:sz w:val="22"/>
        </w:rPr>
      </w:pPr>
      <w:r>
        <w:rPr>
          <w:rFonts w:hint="eastAsia" w:ascii="宋体" w:hAnsi="宋体"/>
          <w:b/>
          <w:sz w:val="22"/>
        </w:rPr>
        <w:t>二、货物需求一览表</w:t>
      </w:r>
    </w:p>
    <w:tbl>
      <w:tblPr>
        <w:tblStyle w:val="49"/>
        <w:tblW w:w="95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8"/>
        <w:gridCol w:w="4776"/>
        <w:gridCol w:w="30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668" w:type="dxa"/>
            <w:vAlign w:val="center"/>
          </w:tcPr>
          <w:p>
            <w:pPr>
              <w:spacing w:line="360" w:lineRule="auto"/>
              <w:jc w:val="center"/>
              <w:rPr>
                <w:rFonts w:asciiTheme="minorEastAsia" w:hAnsiTheme="minorEastAsia"/>
                <w:sz w:val="22"/>
              </w:rPr>
            </w:pPr>
            <w:r>
              <w:rPr>
                <w:rFonts w:hint="eastAsia" w:asciiTheme="minorEastAsia" w:hAnsiTheme="minorEastAsia"/>
                <w:sz w:val="22"/>
              </w:rPr>
              <w:t>序号</w:t>
            </w:r>
          </w:p>
        </w:tc>
        <w:tc>
          <w:tcPr>
            <w:tcW w:w="4776" w:type="dxa"/>
            <w:vAlign w:val="center"/>
          </w:tcPr>
          <w:p>
            <w:pPr>
              <w:spacing w:line="360" w:lineRule="auto"/>
              <w:jc w:val="center"/>
              <w:rPr>
                <w:rFonts w:asciiTheme="minorEastAsia" w:hAnsiTheme="minorEastAsia"/>
                <w:sz w:val="22"/>
              </w:rPr>
            </w:pPr>
            <w:r>
              <w:rPr>
                <w:rFonts w:hint="eastAsia" w:asciiTheme="minorEastAsia" w:hAnsiTheme="minorEastAsia"/>
                <w:sz w:val="22"/>
              </w:rPr>
              <w:t>货物品名</w:t>
            </w:r>
          </w:p>
        </w:tc>
        <w:tc>
          <w:tcPr>
            <w:tcW w:w="3070" w:type="dxa"/>
            <w:vAlign w:val="center"/>
          </w:tcPr>
          <w:p>
            <w:pPr>
              <w:spacing w:line="360" w:lineRule="auto"/>
              <w:jc w:val="center"/>
              <w:rPr>
                <w:rFonts w:asciiTheme="minorEastAsia" w:hAnsiTheme="minorEastAsia"/>
                <w:sz w:val="22"/>
              </w:rPr>
            </w:pPr>
            <w:r>
              <w:rPr>
                <w:rFonts w:hint="eastAsia" w:asciiTheme="minorEastAsia" w:hAnsiTheme="minorEastAsia"/>
                <w:sz w:val="22"/>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6" w:hRule="atLeast"/>
        </w:trPr>
        <w:tc>
          <w:tcPr>
            <w:tcW w:w="1668" w:type="dxa"/>
            <w:vAlign w:val="center"/>
          </w:tcPr>
          <w:p>
            <w:pPr>
              <w:spacing w:line="360" w:lineRule="auto"/>
              <w:jc w:val="center"/>
              <w:rPr>
                <w:rFonts w:asciiTheme="minorEastAsia" w:hAnsiTheme="minorEastAsia"/>
                <w:sz w:val="22"/>
              </w:rPr>
            </w:pPr>
            <w:r>
              <w:rPr>
                <w:rFonts w:hint="eastAsia" w:asciiTheme="minorEastAsia" w:hAnsiTheme="minorEastAsia"/>
                <w:sz w:val="22"/>
              </w:rPr>
              <w:t>1</w:t>
            </w:r>
          </w:p>
        </w:tc>
        <w:tc>
          <w:tcPr>
            <w:tcW w:w="4776" w:type="dxa"/>
            <w:vAlign w:val="center"/>
          </w:tcPr>
          <w:p>
            <w:pPr>
              <w:spacing w:line="360" w:lineRule="auto"/>
              <w:jc w:val="center"/>
              <w:rPr>
                <w:rFonts w:asciiTheme="minorEastAsia" w:hAnsiTheme="minorEastAsia"/>
                <w:sz w:val="22"/>
              </w:rPr>
            </w:pPr>
            <w:r>
              <w:rPr>
                <w:rFonts w:hint="eastAsia" w:asciiTheme="minorEastAsia" w:hAnsiTheme="minorEastAsia"/>
                <w:bCs/>
                <w:sz w:val="22"/>
              </w:rPr>
              <w:t>阿克斯明斯特地毯</w:t>
            </w:r>
          </w:p>
        </w:tc>
        <w:tc>
          <w:tcPr>
            <w:tcW w:w="3070" w:type="dxa"/>
            <w:vAlign w:val="center"/>
          </w:tcPr>
          <w:p>
            <w:pPr>
              <w:spacing w:line="360" w:lineRule="auto"/>
              <w:jc w:val="center"/>
              <w:rPr>
                <w:rFonts w:asciiTheme="minorEastAsia" w:hAnsiTheme="minorEastAsia"/>
                <w:sz w:val="22"/>
              </w:rPr>
            </w:pPr>
            <w:r>
              <w:rPr>
                <w:rFonts w:hint="eastAsia" w:asciiTheme="minorEastAsia" w:hAnsiTheme="minorEastAsia"/>
                <w:sz w:val="22"/>
              </w:rPr>
              <w:t>1050㎡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6" w:hRule="atLeast"/>
        </w:trPr>
        <w:tc>
          <w:tcPr>
            <w:tcW w:w="1668" w:type="dxa"/>
            <w:vAlign w:val="center"/>
          </w:tcPr>
          <w:p>
            <w:pPr>
              <w:spacing w:line="360" w:lineRule="auto"/>
              <w:jc w:val="center"/>
              <w:rPr>
                <w:rFonts w:asciiTheme="minorEastAsia" w:hAnsiTheme="minorEastAsia"/>
                <w:sz w:val="22"/>
              </w:rPr>
            </w:pPr>
            <w:r>
              <w:rPr>
                <w:rFonts w:hint="eastAsia" w:asciiTheme="minorEastAsia" w:hAnsiTheme="minorEastAsia"/>
                <w:sz w:val="22"/>
              </w:rPr>
              <w:t>备注</w:t>
            </w:r>
          </w:p>
        </w:tc>
        <w:tc>
          <w:tcPr>
            <w:tcW w:w="7846" w:type="dxa"/>
            <w:gridSpan w:val="2"/>
            <w:vAlign w:val="center"/>
          </w:tcPr>
          <w:p>
            <w:pPr>
              <w:spacing w:line="360" w:lineRule="auto"/>
              <w:jc w:val="center"/>
              <w:rPr>
                <w:rFonts w:asciiTheme="minorEastAsia" w:hAnsiTheme="minorEastAsia"/>
                <w:sz w:val="22"/>
              </w:rPr>
            </w:pPr>
            <w:r>
              <w:rPr>
                <w:rFonts w:hint="eastAsia" w:asciiTheme="minorEastAsia" w:hAnsiTheme="minorEastAsia"/>
                <w:sz w:val="22"/>
              </w:rPr>
              <w:t>地毯配色花型以招标方书面通知为准</w:t>
            </w:r>
          </w:p>
        </w:tc>
      </w:tr>
    </w:tbl>
    <w:p>
      <w:pPr>
        <w:spacing w:line="360" w:lineRule="auto"/>
        <w:rPr>
          <w:rFonts w:ascii="宋体" w:hAnsi="宋体"/>
          <w:b/>
          <w:sz w:val="22"/>
        </w:rPr>
      </w:pPr>
    </w:p>
    <w:p>
      <w:pPr>
        <w:spacing w:line="360" w:lineRule="auto"/>
        <w:rPr>
          <w:rFonts w:ascii="宋体" w:hAnsi="宋体"/>
          <w:b/>
          <w:sz w:val="22"/>
        </w:rPr>
      </w:pPr>
      <w:r>
        <w:rPr>
          <w:rFonts w:hint="eastAsia" w:ascii="宋体" w:hAnsi="宋体"/>
          <w:sz w:val="22"/>
        </w:rPr>
        <w:t>备注：投标人报价为杭州萧山国际机场内交货价，含产品价格、运输费、包装费、安装费、旧地毯的拆除及清运费、保险费、税费等所有费用。甲方不再承担其他任何费用。</w:t>
      </w:r>
    </w:p>
    <w:p>
      <w:pPr>
        <w:spacing w:line="360" w:lineRule="auto"/>
        <w:rPr>
          <w:rFonts w:ascii="宋体" w:hAnsi="宋体"/>
          <w:b/>
          <w:sz w:val="22"/>
        </w:rPr>
      </w:pPr>
      <w:r>
        <w:rPr>
          <w:rFonts w:hint="eastAsia" w:ascii="宋体" w:hAnsi="宋体"/>
          <w:b/>
          <w:sz w:val="22"/>
        </w:rPr>
        <w:t>三、</w:t>
      </w:r>
      <w:r>
        <w:rPr>
          <w:rFonts w:ascii="宋体" w:hAnsi="宋体"/>
          <w:b/>
          <w:sz w:val="22"/>
        </w:rPr>
        <w:t xml:space="preserve"> </w:t>
      </w:r>
      <w:r>
        <w:rPr>
          <w:rFonts w:hint="eastAsia" w:ascii="宋体" w:hAnsi="宋体"/>
          <w:b/>
          <w:sz w:val="22"/>
        </w:rPr>
        <w:t>技术规格及其它要求</w:t>
      </w:r>
    </w:p>
    <w:p>
      <w:pPr>
        <w:spacing w:line="360" w:lineRule="auto"/>
        <w:ind w:firstLine="433" w:firstLineChars="196"/>
        <w:rPr>
          <w:rFonts w:asciiTheme="minorEastAsia" w:hAnsiTheme="minorEastAsia"/>
          <w:b/>
          <w:sz w:val="22"/>
        </w:rPr>
      </w:pPr>
      <w:r>
        <w:rPr>
          <w:rFonts w:hint="eastAsia" w:asciiTheme="minorEastAsia" w:hAnsiTheme="minorEastAsia"/>
          <w:b/>
          <w:sz w:val="22"/>
        </w:rPr>
        <w:t>1.技术规格</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1.1本章中所列技术指标由主要技术指标和一般技术指标构成，对主要技术指标，投标人必须进行实质性应答，并列出具体参数。该类指标不得有漏报、偏差。如所报参数有偏差，须优于招标文件的参数。否则将承担被拒绝接受的风险。</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1.2本章中，凡属应答的条款必须按招标文件所列序号一一应答，所排序号应与招标文件一致。投标人必须按招标文件内容和顺序逐项作出实质性应答。技术规格中的任何偏差都必须列入投标文件中的偏差表。任何不按此要求的投标文件将承担被拒绝接受的风险。投标人中标后，在合同谈判中的任何偏差都不得超越此偏差表中已被招标人确认的条款。</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1.3所有应答均不得照抄、复制本章所列条款、指标和参数。非量化指标可以直接进行应答，量化指标必须应答具体数值，主要技术指标必须提供检测报告或样本。</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1.4本技术规格仅指出产品的基本要求，不应作为</w:t>
      </w:r>
      <w:r>
        <w:rPr>
          <w:rFonts w:hint="eastAsia" w:asciiTheme="minorEastAsia" w:hAnsiTheme="minorEastAsia" w:eastAsiaTheme="minorEastAsia"/>
          <w:sz w:val="22"/>
        </w:rPr>
        <w:t>航站楼地毯</w:t>
      </w:r>
      <w:r>
        <w:rPr>
          <w:rFonts w:asciiTheme="minorEastAsia" w:hAnsiTheme="minorEastAsia" w:eastAsiaTheme="minorEastAsia"/>
          <w:sz w:val="22"/>
        </w:rPr>
        <w:t>完整的详细要求，投标人应负责采用最新标准设计、先进工艺制造投标产品，完成招标文件中规定范围内的所有工作，提供所有用于完善施工和用于正常操作、测试和使用的各项部件，包括所需的工程监督、劳务、工具、材料和仪器，并保证满足技术规格的要求。同时，投标人应提供本技术规格中未描述的，但为保证</w:t>
      </w:r>
      <w:r>
        <w:rPr>
          <w:rFonts w:hint="eastAsia" w:asciiTheme="minorEastAsia" w:hAnsiTheme="minorEastAsia" w:eastAsiaTheme="minorEastAsia"/>
          <w:sz w:val="22"/>
        </w:rPr>
        <w:t>航站楼地毯</w:t>
      </w:r>
      <w:r>
        <w:rPr>
          <w:rFonts w:asciiTheme="minorEastAsia" w:hAnsiTheme="minorEastAsia" w:eastAsiaTheme="minorEastAsia"/>
          <w:sz w:val="22"/>
        </w:rPr>
        <w:t>能正常有效使用，保证质量所需要的部件、材料配置、资料等，并包括在投标总价内。</w:t>
      </w:r>
    </w:p>
    <w:p>
      <w:pPr>
        <w:spacing w:line="520" w:lineRule="exact"/>
        <w:ind w:firstLine="216" w:firstLineChars="98"/>
        <w:rPr>
          <w:rFonts w:asciiTheme="minorEastAsia" w:hAnsiTheme="minorEastAsia"/>
          <w:sz w:val="22"/>
        </w:rPr>
      </w:pPr>
      <w:r>
        <w:rPr>
          <w:rFonts w:asciiTheme="minorEastAsia" w:hAnsiTheme="minorEastAsia"/>
          <w:sz w:val="22"/>
        </w:rPr>
        <w:t>1.</w:t>
      </w:r>
      <w:r>
        <w:rPr>
          <w:rFonts w:hint="eastAsia" w:asciiTheme="minorEastAsia" w:hAnsiTheme="minorEastAsia"/>
          <w:sz w:val="22"/>
        </w:rPr>
        <w:t>5</w:t>
      </w:r>
      <w:r>
        <w:rPr>
          <w:rFonts w:asciiTheme="minorEastAsia" w:hAnsiTheme="minorEastAsia"/>
          <w:sz w:val="22"/>
        </w:rPr>
        <w:t>数量的调整</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招标人在签约时保留在</w:t>
      </w:r>
      <w:r>
        <w:rPr>
          <w:rFonts w:hint="eastAsia" w:asciiTheme="minorEastAsia" w:hAnsiTheme="minorEastAsia" w:eastAsiaTheme="minorEastAsia"/>
          <w:sz w:val="22"/>
        </w:rPr>
        <w:t>航站楼地毯价格</w:t>
      </w:r>
      <w:r>
        <w:rPr>
          <w:rFonts w:asciiTheme="minorEastAsia" w:hAnsiTheme="minorEastAsia" w:eastAsiaTheme="minorEastAsia"/>
          <w:sz w:val="22"/>
        </w:rPr>
        <w:t>不变的条件下，</w:t>
      </w:r>
      <w:r>
        <w:rPr>
          <w:rFonts w:hint="eastAsia" w:asciiTheme="minorEastAsia" w:hAnsiTheme="minorEastAsia" w:eastAsiaTheme="minorEastAsia"/>
          <w:sz w:val="22"/>
        </w:rPr>
        <w:t>对地毯</w:t>
      </w:r>
      <w:r>
        <w:rPr>
          <w:rFonts w:asciiTheme="minorEastAsia" w:hAnsiTheme="minorEastAsia" w:eastAsiaTheme="minorEastAsia"/>
          <w:sz w:val="22"/>
        </w:rPr>
        <w:t>数量调整的权利。</w:t>
      </w:r>
    </w:p>
    <w:p>
      <w:pPr>
        <w:pStyle w:val="139"/>
        <w:spacing w:line="520" w:lineRule="exact"/>
        <w:ind w:firstLine="220" w:firstLineChars="100"/>
        <w:rPr>
          <w:rFonts w:asciiTheme="minorEastAsia" w:hAnsiTheme="minorEastAsia" w:eastAsiaTheme="minorEastAsia"/>
          <w:sz w:val="22"/>
        </w:rPr>
      </w:pPr>
      <w:r>
        <w:rPr>
          <w:rFonts w:hint="eastAsia" w:asciiTheme="minorEastAsia" w:hAnsiTheme="minorEastAsia" w:eastAsiaTheme="minorEastAsia"/>
          <w:sz w:val="22"/>
        </w:rPr>
        <w:t>1.6技术参数</w:t>
      </w:r>
    </w:p>
    <w:tbl>
      <w:tblPr>
        <w:tblStyle w:val="49"/>
        <w:tblW w:w="9615" w:type="dxa"/>
        <w:tblInd w:w="4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3"/>
        <w:gridCol w:w="7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ascii="宋体" w:hAnsi="宋体" w:cs="Calibri"/>
                <w:kern w:val="0"/>
                <w:sz w:val="22"/>
              </w:rPr>
              <w:t>★</w:t>
            </w:r>
            <w:r>
              <w:rPr>
                <w:rFonts w:hint="eastAsia" w:cs="Calibri" w:asciiTheme="minorEastAsia" w:hAnsiTheme="minorEastAsia"/>
                <w:kern w:val="0"/>
                <w:sz w:val="22"/>
              </w:rPr>
              <w:t>密度</w:t>
            </w:r>
          </w:p>
        </w:tc>
        <w:tc>
          <w:tcPr>
            <w:tcW w:w="7672" w:type="dxa"/>
            <w:vAlign w:val="center"/>
          </w:tcPr>
          <w:p>
            <w:pPr>
              <w:spacing w:line="360" w:lineRule="auto"/>
              <w:jc w:val="center"/>
              <w:rPr>
                <w:rFonts w:asciiTheme="minorEastAsia" w:hAnsiTheme="minorEastAsia"/>
                <w:bCs/>
                <w:sz w:val="22"/>
              </w:rPr>
            </w:pPr>
            <w:r>
              <w:rPr>
                <w:rFonts w:hint="eastAsia" w:asciiTheme="minorEastAsia" w:hAnsiTheme="minorEastAsia"/>
                <w:sz w:val="22"/>
              </w:rPr>
              <w:t>7X12（厂家证明文件或承诺函备查）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ascii="宋体" w:hAnsi="宋体" w:cs="Calibri"/>
                <w:kern w:val="0"/>
                <w:sz w:val="22"/>
              </w:rPr>
              <w:t>★</w:t>
            </w:r>
            <w:r>
              <w:rPr>
                <w:rFonts w:hint="eastAsia" w:cs="Calibri" w:asciiTheme="minorEastAsia" w:hAnsiTheme="minorEastAsia"/>
                <w:kern w:val="0"/>
                <w:sz w:val="22"/>
              </w:rPr>
              <w:t>幅宽</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4M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hint="eastAsia" w:cs="Calibri" w:asciiTheme="minorEastAsia" w:hAnsiTheme="minorEastAsia"/>
                <w:kern w:val="0"/>
                <w:sz w:val="22"/>
              </w:rPr>
              <w:t>绒高</w:t>
            </w:r>
          </w:p>
        </w:tc>
        <w:tc>
          <w:tcPr>
            <w:tcW w:w="7672" w:type="dxa"/>
            <w:vAlign w:val="center"/>
          </w:tcPr>
          <w:p>
            <w:pPr>
              <w:spacing w:line="360" w:lineRule="auto"/>
              <w:jc w:val="center"/>
              <w:rPr>
                <w:rFonts w:asciiTheme="minorEastAsia" w:hAnsiTheme="minorEastAsia"/>
                <w:bCs/>
                <w:sz w:val="22"/>
              </w:rPr>
            </w:pPr>
            <w:r>
              <w:rPr>
                <w:rFonts w:hint="eastAsia" w:asciiTheme="minorEastAsia" w:hAnsiTheme="minorEastAsia"/>
                <w:bCs/>
                <w:sz w:val="22"/>
              </w:rPr>
              <w:t>7-7.5MM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ascii="宋体" w:hAnsi="宋体" w:cs="Calibri"/>
                <w:kern w:val="0"/>
                <w:sz w:val="22"/>
              </w:rPr>
              <w:t>★</w:t>
            </w:r>
            <w:r>
              <w:rPr>
                <w:rFonts w:hint="eastAsia" w:hAnsi="宋体" w:cs="Calibri"/>
                <w:bCs/>
                <w:sz w:val="22"/>
              </w:rPr>
              <w:t>绒头成分</w:t>
            </w:r>
          </w:p>
        </w:tc>
        <w:tc>
          <w:tcPr>
            <w:tcW w:w="7672" w:type="dxa"/>
            <w:vAlign w:val="center"/>
          </w:tcPr>
          <w:p>
            <w:pPr>
              <w:spacing w:line="360" w:lineRule="auto"/>
              <w:jc w:val="center"/>
              <w:rPr>
                <w:rFonts w:asciiTheme="minorEastAsia" w:hAnsiTheme="minorEastAsia"/>
                <w:sz w:val="22"/>
              </w:rPr>
            </w:pPr>
            <w:r>
              <w:rPr>
                <w:rFonts w:asciiTheme="minorEastAsia" w:hAnsiTheme="minorEastAsia"/>
                <w:sz w:val="22"/>
              </w:rPr>
              <w:t>80%</w:t>
            </w:r>
            <w:r>
              <w:rPr>
                <w:rFonts w:hint="eastAsia" w:asciiTheme="minorEastAsia" w:hAnsiTheme="minorEastAsia"/>
                <w:sz w:val="22"/>
              </w:rPr>
              <w:t>进口羊毛、20% 尼龙</w:t>
            </w:r>
            <w:r>
              <w:rPr>
                <w:rFonts w:asciiTheme="minorEastAsia" w:hAnsiTheme="minorEastAsia"/>
                <w:sz w:val="22"/>
              </w:rPr>
              <w:t>6.6</w:t>
            </w:r>
            <w:r>
              <w:rPr>
                <w:rFonts w:hint="eastAsia" w:asciiTheme="minorEastAsia" w:hAnsiTheme="minorEastAsia"/>
                <w:sz w:val="22"/>
              </w:rPr>
              <w:t>（检测报告复印件备查）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3" w:type="dxa"/>
            <w:vAlign w:val="center"/>
          </w:tcPr>
          <w:p>
            <w:pPr>
              <w:spacing w:line="360" w:lineRule="auto"/>
              <w:jc w:val="center"/>
              <w:rPr>
                <w:rFonts w:hAnsi="宋体" w:cs="Calibri"/>
                <w:bCs/>
                <w:sz w:val="22"/>
              </w:rPr>
            </w:pPr>
            <w:r>
              <w:rPr>
                <w:rFonts w:hint="eastAsia" w:hAnsi="宋体" w:cs="Calibri"/>
                <w:bCs/>
                <w:sz w:val="22"/>
              </w:rPr>
              <w:t>底背成分</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进口PP纬纱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hint="eastAsia" w:asciiTheme="minorEastAsia" w:hAnsiTheme="minorEastAsia"/>
                <w:sz w:val="22"/>
              </w:rPr>
              <w:t>静电抑制测试级</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含有导电纤维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hint="eastAsia" w:asciiTheme="minorEastAsia" w:hAnsiTheme="minorEastAsia"/>
                <w:sz w:val="22"/>
              </w:rPr>
              <w:t>阻燃测试等级</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GB8624-1997B1级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hint="eastAsia" w:asciiTheme="minorEastAsia" w:hAnsiTheme="minorEastAsia"/>
                <w:sz w:val="22"/>
              </w:rPr>
              <w:t>耐摩擦色牢度</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干、湿摩擦牢度4-5级</w:t>
            </w:r>
          </w:p>
        </w:tc>
      </w:tr>
    </w:tbl>
    <w:p>
      <w:pPr>
        <w:pStyle w:val="139"/>
        <w:spacing w:line="520" w:lineRule="exact"/>
        <w:ind w:firstLine="440"/>
        <w:rPr>
          <w:rFonts w:asciiTheme="minorEastAsia" w:hAnsiTheme="minorEastAsia" w:eastAsiaTheme="minorEastAsia"/>
          <w:sz w:val="22"/>
        </w:rPr>
      </w:pPr>
    </w:p>
    <w:p>
      <w:pPr>
        <w:pStyle w:val="2"/>
        <w:keepNext w:val="0"/>
        <w:keepLines w:val="0"/>
        <w:snapToGrid w:val="0"/>
        <w:spacing w:before="0" w:after="0" w:line="400" w:lineRule="exact"/>
        <w:ind w:firstLine="110" w:firstLineChars="50"/>
        <w:jc w:val="both"/>
        <w:rPr>
          <w:rFonts w:asciiTheme="minorEastAsia" w:hAnsiTheme="minorEastAsia" w:eastAsiaTheme="minorEastAsia"/>
          <w:b w:val="0"/>
          <w:bCs w:val="0"/>
          <w:kern w:val="2"/>
          <w:sz w:val="22"/>
          <w:szCs w:val="22"/>
        </w:rPr>
      </w:pPr>
      <w:r>
        <w:rPr>
          <w:rFonts w:hint="eastAsia" w:asciiTheme="minorEastAsia" w:hAnsiTheme="minorEastAsia" w:eastAsiaTheme="minorEastAsia"/>
          <w:b w:val="0"/>
          <w:bCs w:val="0"/>
          <w:kern w:val="2"/>
          <w:sz w:val="22"/>
          <w:szCs w:val="22"/>
        </w:rPr>
        <w:t>2、技术要求</w:t>
      </w:r>
    </w:p>
    <w:p>
      <w:pPr>
        <w:pStyle w:val="139"/>
        <w:spacing w:line="400" w:lineRule="exact"/>
        <w:ind w:firstLine="330" w:firstLineChars="150"/>
        <w:rPr>
          <w:rFonts w:asciiTheme="minorEastAsia" w:hAnsiTheme="minorEastAsia" w:eastAsiaTheme="minorEastAsia"/>
          <w:sz w:val="22"/>
        </w:rPr>
      </w:pPr>
      <w:r>
        <w:rPr>
          <w:rFonts w:hint="eastAsia" w:asciiTheme="minorEastAsia" w:hAnsiTheme="minorEastAsia" w:eastAsiaTheme="minorEastAsia"/>
          <w:sz w:val="22"/>
        </w:rPr>
        <w:t>2.1、投标人所提供的航站楼地毯应符合本章节对技术规范和标准的要求。</w:t>
      </w:r>
    </w:p>
    <w:p>
      <w:pPr>
        <w:spacing w:line="400" w:lineRule="exact"/>
        <w:ind w:firstLine="330" w:firstLineChars="150"/>
        <w:rPr>
          <w:rFonts w:asciiTheme="minorEastAsia" w:hAnsiTheme="minorEastAsia"/>
          <w:sz w:val="22"/>
        </w:rPr>
      </w:pPr>
      <w:r>
        <w:rPr>
          <w:rFonts w:hint="eastAsia" w:asciiTheme="minorEastAsia" w:hAnsiTheme="minorEastAsia"/>
          <w:sz w:val="22"/>
        </w:rPr>
        <w:t>2.2使用寿命</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地毯使用寿命：≥2年</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drawing>
          <wp:anchor distT="0" distB="0" distL="114300" distR="114300" simplePos="0" relativeHeight="251661312" behindDoc="0" locked="0" layoutInCell="1" allowOverlap="1">
            <wp:simplePos x="0" y="0"/>
            <wp:positionH relativeFrom="column">
              <wp:posOffset>303530</wp:posOffset>
            </wp:positionH>
            <wp:positionV relativeFrom="paragraph">
              <wp:posOffset>493395</wp:posOffset>
            </wp:positionV>
            <wp:extent cx="5010150" cy="3752850"/>
            <wp:effectExtent l="19050" t="0" r="0" b="0"/>
            <wp:wrapTopAndBottom/>
            <wp:docPr id="1" name="图片 0" descr="webwxgetmsg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webwxgetmsgimg.jpg"/>
                    <pic:cNvPicPr>
                      <a:picLocks noChangeAspect="1"/>
                    </pic:cNvPicPr>
                  </pic:nvPicPr>
                  <pic:blipFill>
                    <a:blip r:embed="rId8" cstate="print"/>
                    <a:stretch>
                      <a:fillRect/>
                    </a:stretch>
                  </pic:blipFill>
                  <pic:spPr>
                    <a:xfrm>
                      <a:off x="0" y="0"/>
                      <a:ext cx="5010150" cy="3752850"/>
                    </a:xfrm>
                    <a:prstGeom prst="rect">
                      <a:avLst/>
                    </a:prstGeom>
                  </pic:spPr>
                </pic:pic>
              </a:graphicData>
            </a:graphic>
          </wp:anchor>
        </w:drawing>
      </w:r>
      <w:r>
        <w:rPr>
          <w:rFonts w:hint="eastAsia" w:asciiTheme="minorEastAsia" w:hAnsiTheme="minorEastAsia" w:eastAsiaTheme="minorEastAsia"/>
          <w:sz w:val="22"/>
        </w:rPr>
        <w:t>2.3地毯配色花型图示</w:t>
      </w:r>
    </w:p>
    <w:p>
      <w:pPr>
        <w:pStyle w:val="139"/>
        <w:spacing w:line="520" w:lineRule="exact"/>
        <w:ind w:firstLine="440"/>
        <w:rPr>
          <w:rFonts w:asciiTheme="minorEastAsia" w:hAnsiTheme="minorEastAsia" w:eastAsiaTheme="minorEastAsia"/>
          <w:sz w:val="22"/>
        </w:rPr>
      </w:pPr>
      <w:r>
        <w:rPr>
          <w:rFonts w:hint="eastAsia" w:ascii="宋体" w:hAnsi="宋体"/>
          <w:sz w:val="22"/>
        </w:rPr>
        <w:sym w:font="Wingdings" w:char="F0AB"/>
      </w:r>
      <w:r>
        <w:rPr>
          <w:rFonts w:asciiTheme="minorEastAsia" w:hAnsiTheme="minorEastAsia" w:eastAsiaTheme="minorEastAsia"/>
          <w:sz w:val="22"/>
        </w:rPr>
        <w:drawing>
          <wp:anchor distT="0" distB="0" distL="114300" distR="114300" simplePos="0" relativeHeight="251662336" behindDoc="0" locked="0" layoutInCell="1" allowOverlap="1">
            <wp:simplePos x="0" y="0"/>
            <wp:positionH relativeFrom="column">
              <wp:posOffset>-20320</wp:posOffset>
            </wp:positionH>
            <wp:positionV relativeFrom="paragraph">
              <wp:posOffset>918210</wp:posOffset>
            </wp:positionV>
            <wp:extent cx="5972175" cy="4486275"/>
            <wp:effectExtent l="0" t="742950" r="0" b="733425"/>
            <wp:wrapTopAndBottom/>
            <wp:docPr id="2" name="图片 1" descr="webwxgetmsg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webwxgetmsgimg1.jpg"/>
                    <pic:cNvPicPr>
                      <a:picLocks noChangeAspect="1"/>
                    </pic:cNvPicPr>
                  </pic:nvPicPr>
                  <pic:blipFill>
                    <a:blip r:embed="rId9" cstate="print"/>
                    <a:stretch>
                      <a:fillRect/>
                    </a:stretch>
                  </pic:blipFill>
                  <pic:spPr>
                    <a:xfrm rot="5400000">
                      <a:off x="0" y="0"/>
                      <a:ext cx="5972175" cy="4486275"/>
                    </a:xfrm>
                    <a:prstGeom prst="rect">
                      <a:avLst/>
                    </a:prstGeom>
                  </pic:spPr>
                </pic:pic>
              </a:graphicData>
            </a:graphic>
          </wp:anchor>
        </w:drawing>
      </w:r>
      <w:r>
        <w:rPr>
          <w:rFonts w:hint="eastAsia" w:asciiTheme="minorEastAsia" w:hAnsiTheme="minorEastAsia" w:eastAsiaTheme="minorEastAsia"/>
          <w:sz w:val="22"/>
        </w:rPr>
        <w:t>2.4样品</w:t>
      </w:r>
    </w:p>
    <w:p>
      <w:pPr>
        <w:pStyle w:val="139"/>
        <w:spacing w:line="520" w:lineRule="exact"/>
        <w:ind w:firstLine="440"/>
        <w:rPr>
          <w:rFonts w:asciiTheme="minorEastAsia" w:hAnsiTheme="minorEastAsia" w:eastAsiaTheme="minorEastAsia"/>
          <w:sz w:val="22"/>
        </w:rPr>
      </w:pPr>
      <w:r>
        <w:rPr>
          <w:rFonts w:hint="eastAsia" w:ascii="宋体" w:hAnsi="宋体"/>
          <w:sz w:val="22"/>
        </w:rPr>
        <w:t>投标人须随投标文件一并提交地毯</w:t>
      </w:r>
      <w:r>
        <w:rPr>
          <w:rFonts w:hint="eastAsia" w:ascii="宋体" w:hAnsi="宋体" w:cs="Arial"/>
          <w:kern w:val="0"/>
          <w:sz w:val="22"/>
        </w:rPr>
        <w:t>样品一块，配色花型要求与图示基本一致，尺寸为500*500（MM）。</w:t>
      </w:r>
    </w:p>
    <w:p>
      <w:pPr>
        <w:pStyle w:val="139"/>
        <w:spacing w:line="520" w:lineRule="exact"/>
        <w:ind w:firstLine="110" w:firstLineChars="50"/>
        <w:rPr>
          <w:rFonts w:asciiTheme="minorEastAsia" w:hAnsiTheme="minorEastAsia" w:eastAsiaTheme="minorEastAsia"/>
          <w:sz w:val="22"/>
        </w:rPr>
      </w:pPr>
      <w:r>
        <w:rPr>
          <w:rFonts w:hint="eastAsia" w:asciiTheme="minorEastAsia" w:hAnsiTheme="minorEastAsia" w:eastAsiaTheme="minorEastAsia"/>
          <w:sz w:val="22"/>
        </w:rPr>
        <w:t>四、工程要求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w:t>
      </w:r>
      <w:r>
        <w:rPr>
          <w:rFonts w:hint="eastAsia" w:asciiTheme="minorEastAsia" w:hAnsiTheme="minorEastAsia" w:eastAsiaTheme="minorEastAsia"/>
          <w:sz w:val="22"/>
        </w:rPr>
        <w:t>、</w:t>
      </w:r>
      <w:r>
        <w:rPr>
          <w:rFonts w:asciiTheme="minorEastAsia" w:hAnsiTheme="minorEastAsia" w:eastAsiaTheme="minorEastAsia"/>
          <w:sz w:val="22"/>
        </w:rPr>
        <w:t>货物运输要求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1.1货物从起运地点运到招标人指定的到货地点这段时间内，投标人必须进行货物总价1</w:t>
      </w:r>
      <w:r>
        <w:rPr>
          <w:rFonts w:hint="eastAsia" w:asciiTheme="minorEastAsia" w:hAnsiTheme="minorEastAsia" w:eastAsiaTheme="minorEastAsia"/>
          <w:sz w:val="22"/>
        </w:rPr>
        <w:t>0</w:t>
      </w:r>
      <w:r>
        <w:rPr>
          <w:rFonts w:asciiTheme="minorEastAsia" w:hAnsiTheme="minorEastAsia" w:eastAsiaTheme="minorEastAsia"/>
          <w:sz w:val="22"/>
        </w:rPr>
        <w:t>0%保险。</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1.2对于有特殊运输要求的货物（如温度、易碎、易变形、易受潮等），投标人必须加强包装保护措施,在包装箱上印有醒目标记,并在投标文件里提供注意事项说明书。</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2货物包装要求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2.1</w:t>
      </w:r>
      <w:r>
        <w:rPr>
          <w:rFonts w:hint="eastAsia" w:asciiTheme="minorEastAsia" w:hAnsiTheme="minorEastAsia" w:eastAsiaTheme="minorEastAsia"/>
          <w:sz w:val="22"/>
        </w:rPr>
        <w:t>航站楼地毯</w:t>
      </w:r>
      <w:r>
        <w:rPr>
          <w:rFonts w:asciiTheme="minorEastAsia" w:hAnsiTheme="minorEastAsia" w:eastAsiaTheme="minorEastAsia"/>
          <w:sz w:val="22"/>
        </w:rPr>
        <w:t>、备品备件、专用工具必须按招标人要求单独分箱包装，并在外包装上标明与装箱单上一致的货物名称、编号，易于被区分。备品备件与专用工具的包装箱不得开启取用，必须直接交给最终用户。</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2.2货物中的易压和易变形的零部件等应分箱单独包装,并在木箱空隙内充填海绵之类发泡料,以免运输中颠簸受损。</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2.3包装必须符合国际上关于海运、空运、内陆运输的有关规定。投标时提供一份适合本系列</w:t>
      </w:r>
      <w:r>
        <w:rPr>
          <w:rFonts w:hint="eastAsia" w:asciiTheme="minorEastAsia" w:hAnsiTheme="minorEastAsia" w:eastAsiaTheme="minorEastAsia"/>
          <w:sz w:val="22"/>
        </w:rPr>
        <w:t>航站楼地毯</w:t>
      </w:r>
      <w:r>
        <w:rPr>
          <w:rFonts w:asciiTheme="minorEastAsia" w:hAnsiTheme="minorEastAsia" w:eastAsiaTheme="minorEastAsia"/>
          <w:sz w:val="22"/>
        </w:rPr>
        <w:t>的运输包装要求。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2.4包装应适合于储存。投标时提供一份航站楼地毯仓储要求。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a.</w:t>
      </w:r>
      <w:r>
        <w:rPr>
          <w:rFonts w:hint="eastAsia" w:asciiTheme="minorEastAsia" w:hAnsiTheme="minorEastAsia" w:eastAsiaTheme="minorEastAsia"/>
          <w:sz w:val="22"/>
        </w:rPr>
        <w:t>航站楼地毯</w:t>
      </w:r>
      <w:r>
        <w:rPr>
          <w:rFonts w:asciiTheme="minorEastAsia" w:hAnsiTheme="minorEastAsia" w:eastAsiaTheme="minorEastAsia"/>
          <w:sz w:val="22"/>
        </w:rPr>
        <w:t>包装箱内应有下列随箱资料一式二份：装箱单、产品合格证、产品检验记录、产品使用说明书、随箱清单、易损件图纸。</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b.提供的全部产品禁止裸装,投标人须按由最终用户批准的货物运输方案对货物进行恰当、有效的包装和运送,使货物得到有效的保护，使之不受潮湿、剥蚀、变形等形式的损坏。产品的包装应符合中华人民共和国标准</w:t>
      </w:r>
      <w:r>
        <w:rPr>
          <w:rFonts w:asciiTheme="minorEastAsia" w:hAnsiTheme="minorEastAsia" w:eastAsiaTheme="minorEastAsia"/>
          <w:sz w:val="22"/>
        </w:rPr>
        <w:sym w:font="Courier New" w:char="00AB"/>
      </w:r>
      <w:r>
        <w:rPr>
          <w:rFonts w:asciiTheme="minorEastAsia" w:hAnsiTheme="minorEastAsia" w:eastAsiaTheme="minorEastAsia"/>
          <w:sz w:val="22"/>
        </w:rPr>
        <w:t>机电产品包装通用技术条件</w:t>
      </w:r>
      <w:r>
        <w:rPr>
          <w:rFonts w:asciiTheme="minorEastAsia" w:hAnsiTheme="minorEastAsia" w:eastAsiaTheme="minorEastAsia"/>
          <w:sz w:val="22"/>
        </w:rPr>
        <w:sym w:font="Courier New" w:char="00BB"/>
      </w:r>
      <w:r>
        <w:rPr>
          <w:rFonts w:asciiTheme="minorEastAsia" w:hAnsiTheme="minorEastAsia" w:eastAsiaTheme="minorEastAsia"/>
          <w:sz w:val="22"/>
        </w:rPr>
        <w:t>或等同的规定,具有足够的强度,有安全起吊标志,能保证多次搬运和装卸,并安全可靠的抵达目的地。每个包装箱外表面必须标有与装箱单一致的合同号和货物清单编号。</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3</w:t>
      </w:r>
      <w:r>
        <w:rPr>
          <w:rFonts w:hint="eastAsia" w:asciiTheme="minorEastAsia" w:hAnsiTheme="minorEastAsia" w:eastAsiaTheme="minorEastAsia"/>
          <w:sz w:val="22"/>
        </w:rPr>
        <w:t>、</w:t>
      </w:r>
      <w:r>
        <w:rPr>
          <w:rFonts w:asciiTheme="minorEastAsia" w:hAnsiTheme="minorEastAsia" w:eastAsiaTheme="minorEastAsia"/>
          <w:sz w:val="22"/>
        </w:rPr>
        <w:t>货物开箱要求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3.1货物在开箱验收时，中标人必须派员参加，并负责解决开箱验收发现的问题和赔偿。</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3.2由于产品缺陷而引起的开箱费和重新包装费均由投标人负责。</w:t>
      </w:r>
    </w:p>
    <w:p>
      <w:pPr>
        <w:pStyle w:val="139"/>
        <w:spacing w:line="480" w:lineRule="auto"/>
        <w:ind w:firstLine="440"/>
        <w:rPr>
          <w:rFonts w:asciiTheme="minorEastAsia" w:hAnsiTheme="minorEastAsia" w:eastAsiaTheme="minorEastAsia"/>
          <w:sz w:val="22"/>
        </w:rPr>
      </w:pPr>
      <w:r>
        <w:rPr>
          <w:rFonts w:hint="eastAsia" w:asciiTheme="minorEastAsia" w:hAnsiTheme="minorEastAsia" w:eastAsiaTheme="minorEastAsia"/>
          <w:sz w:val="22"/>
        </w:rPr>
        <w:t>4、安装</w:t>
      </w:r>
    </w:p>
    <w:p>
      <w:pPr>
        <w:pStyle w:val="139"/>
        <w:spacing w:line="480" w:lineRule="auto"/>
        <w:ind w:firstLine="440"/>
        <w:rPr>
          <w:rFonts w:cs="宋体" w:asciiTheme="minorEastAsia" w:hAnsiTheme="minorEastAsia" w:eastAsiaTheme="minorEastAsia"/>
          <w:sz w:val="22"/>
        </w:rPr>
      </w:pPr>
      <w:r>
        <w:rPr>
          <w:rFonts w:hint="eastAsia" w:asciiTheme="minorEastAsia" w:hAnsiTheme="minorEastAsia" w:eastAsiaTheme="minorEastAsia"/>
          <w:sz w:val="22"/>
        </w:rPr>
        <w:t>4.</w:t>
      </w:r>
      <w:r>
        <w:rPr>
          <w:rFonts w:hint="eastAsia" w:cs="宋体" w:asciiTheme="minorEastAsia" w:hAnsiTheme="minorEastAsia" w:eastAsiaTheme="minorEastAsia"/>
          <w:sz w:val="22"/>
        </w:rPr>
        <w:t>1中标人应负责航站楼地毯安装区域的旧吊顶拆除、旧吊顶的清运及处理、安装施工安全和产品保护。</w:t>
      </w:r>
    </w:p>
    <w:p>
      <w:pPr>
        <w:spacing w:line="480" w:lineRule="auto"/>
        <w:ind w:firstLine="431" w:firstLineChars="196"/>
        <w:rPr>
          <w:rFonts w:asciiTheme="minorEastAsia" w:hAnsiTheme="minorEastAsia"/>
          <w:sz w:val="22"/>
        </w:rPr>
      </w:pPr>
      <w:r>
        <w:rPr>
          <w:rFonts w:hint="eastAsia" w:cs="宋体" w:asciiTheme="minorEastAsia" w:hAnsiTheme="minorEastAsia"/>
          <w:sz w:val="22"/>
        </w:rPr>
        <w:t>4.2 承包人应建立完善的安全管理体系，特别是不停航施工空防安全管理。落实安全防范措施，并在整个工程施工中确保安全生产。如达不到要求，招标人下达警告、处罚直至停工的指令。</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4.3</w:t>
      </w:r>
      <w:r>
        <w:rPr>
          <w:rFonts w:asciiTheme="minorEastAsia" w:hAnsiTheme="minorEastAsia" w:eastAsiaTheme="minorEastAsia"/>
          <w:sz w:val="22"/>
        </w:rPr>
        <w:t>由中标人负责运输、仓储、安装、检验、试运行、产品保护等工作。为完成本项目必需的证明、执照等所有文件，由中标人负责向有关管理部门办理有关手续，招标人给予协助配合，发生的相关费用由中标人承担。</w:t>
      </w:r>
    </w:p>
    <w:p>
      <w:pPr>
        <w:pStyle w:val="139"/>
        <w:spacing w:line="520" w:lineRule="exact"/>
        <w:ind w:firstLine="440"/>
        <w:rPr>
          <w:rFonts w:asciiTheme="minorEastAsia" w:hAnsiTheme="minorEastAsia" w:eastAsiaTheme="minorEastAsia"/>
          <w:sz w:val="22"/>
        </w:rPr>
      </w:pPr>
      <w:r>
        <w:rPr>
          <w:rFonts w:cs="Calibri" w:asciiTheme="minorEastAsia" w:hAnsiTheme="minorEastAsia" w:eastAsiaTheme="minorEastAsia"/>
          <w:kern w:val="0"/>
          <w:sz w:val="22"/>
        </w:rPr>
        <w:t>★</w:t>
      </w:r>
      <w:r>
        <w:rPr>
          <w:rFonts w:hint="eastAsia" w:asciiTheme="minorEastAsia" w:hAnsiTheme="minorEastAsia" w:eastAsiaTheme="minorEastAsia"/>
          <w:sz w:val="22"/>
        </w:rPr>
        <w:t>4.4</w:t>
      </w:r>
      <w:r>
        <w:rPr>
          <w:rFonts w:asciiTheme="minorEastAsia" w:hAnsiTheme="minorEastAsia" w:eastAsiaTheme="minorEastAsia"/>
          <w:sz w:val="22"/>
        </w:rPr>
        <w:t>中标人在</w:t>
      </w:r>
      <w:r>
        <w:rPr>
          <w:rFonts w:hint="eastAsia" w:asciiTheme="minorEastAsia" w:hAnsiTheme="minorEastAsia" w:eastAsiaTheme="minorEastAsia"/>
          <w:sz w:val="22"/>
        </w:rPr>
        <w:t>航站楼地毯</w:t>
      </w:r>
      <w:r>
        <w:rPr>
          <w:rFonts w:asciiTheme="minorEastAsia" w:hAnsiTheme="minorEastAsia" w:eastAsiaTheme="minorEastAsia"/>
          <w:sz w:val="22"/>
        </w:rPr>
        <w:t>安装期间，必须委派1名现场专业技术人员负责本项目货物安装、检验、试运行，并负责及时与招标人人员联系有关工作。该批技术人员必须为制造厂的专业</w:t>
      </w:r>
      <w:r>
        <w:rPr>
          <w:rFonts w:hint="eastAsia" w:asciiTheme="minorEastAsia" w:hAnsiTheme="minorEastAsia" w:eastAsiaTheme="minorEastAsia"/>
          <w:sz w:val="22"/>
        </w:rPr>
        <w:t>人员</w:t>
      </w:r>
      <w:r>
        <w:rPr>
          <w:rFonts w:asciiTheme="minorEastAsia" w:hAnsiTheme="minorEastAsia" w:eastAsiaTheme="minorEastAsia"/>
          <w:sz w:val="22"/>
        </w:rPr>
        <w:t>，有安装同类</w:t>
      </w:r>
      <w:r>
        <w:rPr>
          <w:rFonts w:hint="eastAsia" w:asciiTheme="minorEastAsia" w:hAnsiTheme="minorEastAsia" w:eastAsiaTheme="minorEastAsia"/>
          <w:sz w:val="22"/>
        </w:rPr>
        <w:t>地毯</w:t>
      </w:r>
      <w:r>
        <w:rPr>
          <w:rFonts w:asciiTheme="minorEastAsia" w:hAnsiTheme="minorEastAsia" w:eastAsiaTheme="minorEastAsia"/>
          <w:sz w:val="22"/>
        </w:rPr>
        <w:t>3年以上工作经验。招标人有权要求中标人更换不称职现场专业技术人员，中标人应按招标人的要求立即予以更换。</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4.5</w:t>
      </w:r>
      <w:r>
        <w:rPr>
          <w:rFonts w:asciiTheme="minorEastAsia" w:hAnsiTheme="minorEastAsia" w:eastAsiaTheme="minorEastAsia"/>
          <w:sz w:val="22"/>
        </w:rPr>
        <w:t>安装计划</w:t>
      </w:r>
      <w:r>
        <w:rPr>
          <w:rFonts w:hint="eastAsia" w:asciiTheme="minorEastAsia" w:hAnsiTheme="minorEastAsia" w:eastAsiaTheme="minorEastAsia"/>
          <w:sz w:val="22"/>
        </w:rPr>
        <w:t>:</w:t>
      </w:r>
      <w:r>
        <w:rPr>
          <w:rFonts w:asciiTheme="minorEastAsia" w:hAnsiTheme="minorEastAsia" w:eastAsiaTheme="minorEastAsia"/>
          <w:sz w:val="22"/>
        </w:rPr>
        <w:t>由中标人制定详细安装计划，该计划必须服从和配合本工程项目总的施工进度计划，须由招标人认可，招标人在实施过程中随总进度计划的变化作相应调整，中标人不能为此而提出任何附加费用。</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w:t>
      </w:r>
      <w:r>
        <w:rPr>
          <w:rFonts w:asciiTheme="minorEastAsia" w:hAnsiTheme="minorEastAsia" w:eastAsiaTheme="minorEastAsia"/>
          <w:sz w:val="22"/>
        </w:rPr>
        <w:t>安装</w:t>
      </w:r>
      <w:r>
        <w:rPr>
          <w:rFonts w:hint="eastAsia" w:asciiTheme="minorEastAsia" w:hAnsiTheme="minorEastAsia" w:eastAsiaTheme="minorEastAsia"/>
          <w:sz w:val="22"/>
        </w:rPr>
        <w:t>验收</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4.6.1</w:t>
      </w:r>
      <w:r>
        <w:rPr>
          <w:rFonts w:asciiTheme="minorEastAsia" w:hAnsiTheme="minorEastAsia" w:eastAsiaTheme="minorEastAsia"/>
          <w:sz w:val="22"/>
        </w:rPr>
        <w:t>安装工作必须符合中国的有关条例</w:t>
      </w:r>
      <w:r>
        <w:rPr>
          <w:rFonts w:hint="eastAsia" w:asciiTheme="minorEastAsia" w:hAnsiTheme="minorEastAsia" w:eastAsiaTheme="minorEastAsia"/>
          <w:sz w:val="22"/>
        </w:rPr>
        <w:t>。</w:t>
      </w:r>
      <w:r>
        <w:rPr>
          <w:rFonts w:asciiTheme="minorEastAsia" w:hAnsiTheme="minorEastAsia" w:eastAsiaTheme="minorEastAsia"/>
          <w:sz w:val="22"/>
        </w:rPr>
        <w:t>中标人必须在合同执行期间，无条件按招标人要求委派有3年以上工作经验的，并曾有管理类似工程的工程师常驻现场参加设计联络、协调，负责安装监管。</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4.6.2</w:t>
      </w:r>
      <w:r>
        <w:rPr>
          <w:rFonts w:asciiTheme="minorEastAsia" w:hAnsiTheme="minorEastAsia" w:eastAsiaTheme="minorEastAsia"/>
          <w:sz w:val="22"/>
        </w:rPr>
        <w:t>中标人应服从招标人的安排，实施材料堆放、现场运输、临时水电接通等事宜，安装垃圾堆放至招标人指定地点。</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4.6.3</w:t>
      </w:r>
      <w:r>
        <w:rPr>
          <w:rFonts w:asciiTheme="minorEastAsia" w:hAnsiTheme="minorEastAsia" w:eastAsiaTheme="minorEastAsia"/>
          <w:sz w:val="22"/>
        </w:rPr>
        <w:t>中标人必须负责提供采购、运输和安装过程中所有的辅助货物，所有辅助货物须符合安全要求。</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w:t>
      </w:r>
      <w:r>
        <w:rPr>
          <w:rFonts w:asciiTheme="minorEastAsia" w:hAnsiTheme="minorEastAsia" w:eastAsiaTheme="minorEastAsia"/>
          <w:sz w:val="22"/>
        </w:rPr>
        <w:t>.</w:t>
      </w:r>
      <w:r>
        <w:rPr>
          <w:rFonts w:hint="eastAsia" w:asciiTheme="minorEastAsia" w:hAnsiTheme="minorEastAsia" w:eastAsiaTheme="minorEastAsia"/>
          <w:sz w:val="22"/>
        </w:rPr>
        <w:t>4</w:t>
      </w:r>
      <w:r>
        <w:rPr>
          <w:rFonts w:asciiTheme="minorEastAsia" w:hAnsiTheme="minorEastAsia" w:eastAsiaTheme="minorEastAsia"/>
          <w:sz w:val="22"/>
        </w:rPr>
        <w:t>安装须包括但不局限于以下内容：</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a.配合最终用户(或其委托方)清点并接收卸放到现场的货物。</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b.货物的现场运输、仓储、保护及安装。</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c.检验和试运转。</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d.附有关部门验收证明。</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e.移交前的产品保护。</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f.修补任何缺陷。</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g.实施过程中与其他施工单位的协调和配合。</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h.协助招标人对项目进行最终验收。</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4.5</w:t>
      </w:r>
      <w:r>
        <w:rPr>
          <w:rFonts w:asciiTheme="minorEastAsia" w:hAnsiTheme="minorEastAsia" w:eastAsiaTheme="minorEastAsia"/>
          <w:sz w:val="22"/>
        </w:rPr>
        <w:t>验收合格条件</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a.试运行时性能满足合同及本招标书的技术要求；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b.性能测试和试运行验收时出现的问题已被解决至招标人满意；</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c.已提供了合同的全部货物和资料；</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d.经过</w:t>
      </w:r>
      <w:r>
        <w:rPr>
          <w:rFonts w:hint="eastAsia" w:asciiTheme="minorEastAsia" w:hAnsiTheme="minorEastAsia" w:eastAsiaTheme="minorEastAsia"/>
          <w:sz w:val="22"/>
        </w:rPr>
        <w:t>买方组织</w:t>
      </w:r>
      <w:r>
        <w:rPr>
          <w:rFonts w:asciiTheme="minorEastAsia" w:hAnsiTheme="minorEastAsia" w:eastAsiaTheme="minorEastAsia"/>
          <w:sz w:val="22"/>
        </w:rPr>
        <w:t>的检测、验收合格并已提交书面合格文件。</w:t>
      </w:r>
    </w:p>
    <w:p>
      <w:pPr>
        <w:pStyle w:val="139"/>
        <w:spacing w:line="520" w:lineRule="exact"/>
        <w:ind w:firstLine="440"/>
        <w:rPr>
          <w:rFonts w:asciiTheme="minorEastAsia" w:hAnsiTheme="minorEastAsia" w:eastAsiaTheme="minorEastAsia"/>
          <w:sz w:val="22"/>
        </w:rPr>
      </w:pP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五、售后服务</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1.售后服务保障要求</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1.1</w:t>
      </w:r>
      <w:r>
        <w:rPr>
          <w:rFonts w:asciiTheme="minorEastAsia" w:hAnsiTheme="minorEastAsia" w:eastAsiaTheme="minorEastAsia"/>
          <w:sz w:val="22"/>
        </w:rPr>
        <w:t>维修服务机构：在</w:t>
      </w:r>
      <w:r>
        <w:rPr>
          <w:rFonts w:hint="eastAsia" w:asciiTheme="minorEastAsia" w:hAnsiTheme="minorEastAsia" w:eastAsiaTheme="minorEastAsia"/>
          <w:sz w:val="22"/>
        </w:rPr>
        <w:t>杭州</w:t>
      </w:r>
      <w:r>
        <w:rPr>
          <w:rFonts w:asciiTheme="minorEastAsia" w:hAnsiTheme="minorEastAsia" w:eastAsiaTheme="minorEastAsia"/>
          <w:sz w:val="22"/>
        </w:rPr>
        <w:t>设有常驻维修机构，处理所有维修服务，并配有专职的、具有三年以上服务经验的技术</w:t>
      </w:r>
      <w:r>
        <w:rPr>
          <w:rFonts w:hint="eastAsia" w:asciiTheme="minorEastAsia" w:hAnsiTheme="minorEastAsia" w:eastAsiaTheme="minorEastAsia"/>
          <w:sz w:val="22"/>
        </w:rPr>
        <w:t>人员</w:t>
      </w:r>
      <w:r>
        <w:rPr>
          <w:rFonts w:asciiTheme="minorEastAsia" w:hAnsiTheme="minorEastAsia" w:eastAsiaTheme="minorEastAsia"/>
          <w:sz w:val="22"/>
        </w:rPr>
        <w:t>。该服务必须是每天24小时内提供的，在接到报修通知后24小时内赶到现场，并必须连续进行，直至故障修妥完全恢复正常服务为止。该维修机构须备有足够的零备件，以满足招标人的维修需要。</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.2保修期：投标人在投标时必须承诺提供为期</w:t>
      </w:r>
      <w:r>
        <w:rPr>
          <w:rFonts w:hint="eastAsia" w:asciiTheme="minorEastAsia" w:hAnsiTheme="minorEastAsia" w:eastAsiaTheme="minorEastAsia"/>
          <w:sz w:val="22"/>
        </w:rPr>
        <w:t>2年</w:t>
      </w:r>
      <w:r>
        <w:rPr>
          <w:rFonts w:asciiTheme="minorEastAsia" w:hAnsiTheme="minorEastAsia" w:eastAsiaTheme="minorEastAsia"/>
          <w:sz w:val="22"/>
        </w:rPr>
        <w:t>的保修，时间从最终验收合格之日起计算。</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.3保修期内的义务：</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w:t>
      </w:r>
      <w:r>
        <w:rPr>
          <w:rFonts w:hint="eastAsia" w:asciiTheme="minorEastAsia" w:hAnsiTheme="minorEastAsia" w:eastAsiaTheme="minorEastAsia"/>
          <w:sz w:val="22"/>
        </w:rPr>
        <w:t>3.1</w:t>
      </w:r>
      <w:r>
        <w:rPr>
          <w:rFonts w:asciiTheme="minorEastAsia" w:hAnsiTheme="minorEastAsia" w:eastAsiaTheme="minorEastAsia"/>
          <w:sz w:val="22"/>
        </w:rPr>
        <w:t>在保修期内由于</w:t>
      </w:r>
      <w:r>
        <w:rPr>
          <w:rFonts w:hint="eastAsia" w:asciiTheme="minorEastAsia" w:hAnsiTheme="minorEastAsia" w:eastAsiaTheme="minorEastAsia"/>
          <w:sz w:val="22"/>
        </w:rPr>
        <w:t>航站楼地毯</w:t>
      </w:r>
      <w:r>
        <w:rPr>
          <w:rFonts w:asciiTheme="minorEastAsia" w:hAnsiTheme="minorEastAsia" w:eastAsiaTheme="minorEastAsia"/>
          <w:sz w:val="22"/>
        </w:rPr>
        <w:t>本身质量原因造成的任何损伤或损坏，投标人须免费负责修理或更换。在保修期内，中标人必须对所提供的</w:t>
      </w:r>
      <w:r>
        <w:rPr>
          <w:rFonts w:hint="eastAsia" w:asciiTheme="minorEastAsia" w:hAnsiTheme="minorEastAsia" w:eastAsiaTheme="minorEastAsia"/>
          <w:sz w:val="22"/>
        </w:rPr>
        <w:t>航站楼地毯每六个月进行一次</w:t>
      </w:r>
      <w:r>
        <w:rPr>
          <w:rFonts w:asciiTheme="minorEastAsia" w:hAnsiTheme="minorEastAsia" w:eastAsiaTheme="minorEastAsia"/>
          <w:sz w:val="22"/>
        </w:rPr>
        <w:t>定期检查和保养。</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w:t>
      </w:r>
      <w:r>
        <w:rPr>
          <w:rFonts w:hint="eastAsia" w:asciiTheme="minorEastAsia" w:hAnsiTheme="minorEastAsia" w:eastAsiaTheme="minorEastAsia"/>
          <w:sz w:val="22"/>
        </w:rPr>
        <w:t>3.2</w:t>
      </w:r>
      <w:r>
        <w:rPr>
          <w:rFonts w:asciiTheme="minorEastAsia" w:hAnsiTheme="minorEastAsia" w:eastAsiaTheme="minorEastAsia"/>
          <w:sz w:val="22"/>
        </w:rPr>
        <w:t>在保修期结束</w:t>
      </w:r>
      <w:r>
        <w:rPr>
          <w:rFonts w:hint="eastAsia" w:asciiTheme="minorEastAsia" w:hAnsiTheme="minorEastAsia" w:eastAsiaTheme="minorEastAsia"/>
          <w:sz w:val="22"/>
        </w:rPr>
        <w:t>15日</w:t>
      </w:r>
      <w:r>
        <w:rPr>
          <w:rFonts w:asciiTheme="minorEastAsia" w:hAnsiTheme="minorEastAsia" w:eastAsiaTheme="minorEastAsia"/>
          <w:sz w:val="22"/>
        </w:rPr>
        <w:t>前，须由中标人</w:t>
      </w:r>
      <w:r>
        <w:rPr>
          <w:rFonts w:hint="eastAsia" w:asciiTheme="minorEastAsia" w:hAnsiTheme="minorEastAsia" w:eastAsiaTheme="minorEastAsia"/>
          <w:sz w:val="22"/>
        </w:rPr>
        <w:t>技术人员</w:t>
      </w:r>
      <w:r>
        <w:rPr>
          <w:rFonts w:asciiTheme="minorEastAsia" w:hAnsiTheme="minorEastAsia" w:eastAsiaTheme="minorEastAsia"/>
          <w:sz w:val="22"/>
        </w:rPr>
        <w:t>和招标人代表进行一次全面检查，任何</w:t>
      </w:r>
      <w:r>
        <w:rPr>
          <w:rFonts w:hint="eastAsia" w:asciiTheme="minorEastAsia" w:hAnsiTheme="minorEastAsia" w:eastAsiaTheme="minorEastAsia"/>
          <w:sz w:val="22"/>
        </w:rPr>
        <w:t>产品自身</w:t>
      </w:r>
      <w:r>
        <w:rPr>
          <w:rFonts w:asciiTheme="minorEastAsia" w:hAnsiTheme="minorEastAsia" w:eastAsiaTheme="minorEastAsia"/>
          <w:sz w:val="22"/>
        </w:rPr>
        <w:t>缺陷必须由中标人负责修理，在修理之后，中标人应将缺陷原因、修理内容、完成修理及恢复正常的时间和日期等报告给招标人。报告一式两份。</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w:t>
      </w:r>
      <w:r>
        <w:rPr>
          <w:rFonts w:hint="eastAsia" w:asciiTheme="minorEastAsia" w:hAnsiTheme="minorEastAsia" w:eastAsiaTheme="minorEastAsia"/>
          <w:sz w:val="22"/>
        </w:rPr>
        <w:t>3.3</w:t>
      </w:r>
      <w:r>
        <w:rPr>
          <w:rFonts w:asciiTheme="minorEastAsia" w:hAnsiTheme="minorEastAsia" w:eastAsiaTheme="minorEastAsia"/>
          <w:sz w:val="22"/>
        </w:rPr>
        <w:t>保修期内，由于</w:t>
      </w:r>
      <w:r>
        <w:rPr>
          <w:rFonts w:hint="eastAsia" w:asciiTheme="minorEastAsia" w:hAnsiTheme="minorEastAsia" w:eastAsiaTheme="minorEastAsia"/>
          <w:sz w:val="22"/>
        </w:rPr>
        <w:t>航站楼地毯</w:t>
      </w:r>
      <w:r>
        <w:rPr>
          <w:rFonts w:asciiTheme="minorEastAsia" w:hAnsiTheme="minorEastAsia" w:eastAsiaTheme="minorEastAsia"/>
          <w:sz w:val="22"/>
        </w:rPr>
        <w:t>质量因素而造成的损坏，均由中标人负责免费维修和更换备件。</w:t>
      </w:r>
    </w:p>
    <w:p>
      <w:pPr>
        <w:pStyle w:val="139"/>
        <w:spacing w:line="360" w:lineRule="auto"/>
        <w:ind w:firstLine="440"/>
        <w:rPr>
          <w:rFonts w:asciiTheme="minorEastAsia" w:hAnsiTheme="minorEastAsia" w:eastAsiaTheme="minorEastAsia"/>
          <w:sz w:val="22"/>
        </w:rPr>
      </w:pPr>
      <w:r>
        <w:rPr>
          <w:rFonts w:hint="eastAsia" w:asciiTheme="minorEastAsia" w:hAnsiTheme="minorEastAsia" w:eastAsiaTheme="minorEastAsia"/>
          <w:sz w:val="22"/>
        </w:rPr>
        <w:t>2. 交货时间及地点</w:t>
      </w:r>
    </w:p>
    <w:p>
      <w:pPr>
        <w:pStyle w:val="139"/>
        <w:spacing w:line="360" w:lineRule="auto"/>
        <w:ind w:firstLine="440"/>
        <w:rPr>
          <w:rFonts w:asciiTheme="minorEastAsia" w:hAnsiTheme="minorEastAsia" w:eastAsiaTheme="minorEastAsia"/>
          <w:sz w:val="22"/>
        </w:rPr>
      </w:pPr>
      <w:r>
        <w:rPr>
          <w:rFonts w:hint="eastAsia" w:asciiTheme="minorEastAsia" w:hAnsiTheme="minorEastAsia" w:eastAsiaTheme="minorEastAsia"/>
          <w:sz w:val="22"/>
        </w:rPr>
        <w:t>2.1交货时间：中标人在收到由招标人所出具的中标通知书，且签订采购合同后40日内，完成货物的生产、运输、现场安装等工作。</w:t>
      </w:r>
    </w:p>
    <w:p>
      <w:pPr>
        <w:widowControl/>
        <w:spacing w:line="360" w:lineRule="auto"/>
        <w:jc w:val="left"/>
        <w:rPr>
          <w:rFonts w:asciiTheme="minorEastAsia" w:hAnsiTheme="minorEastAsia"/>
          <w:sz w:val="22"/>
        </w:rPr>
      </w:pPr>
      <w:r>
        <w:rPr>
          <w:rFonts w:hint="eastAsia" w:asciiTheme="minorEastAsia" w:hAnsiTheme="minorEastAsia"/>
          <w:sz w:val="22"/>
        </w:rPr>
        <w:t xml:space="preserve">    2.2交货地点：中标人在货物生产完成前10日，书面通知招标人，最终交货及货物安装地点以招标人书面通知为准。</w:t>
      </w: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rPr>
          <w:rFonts w:ascii="宋体" w:hAnsi="宋体"/>
          <w:szCs w:val="21"/>
        </w:rPr>
      </w:pPr>
    </w:p>
    <w:p>
      <w:pPr>
        <w:pStyle w:val="42"/>
      </w:pPr>
      <w:bookmarkStart w:id="73" w:name="_Toc321925454"/>
      <w:r>
        <w:rPr>
          <w:rFonts w:hint="eastAsia"/>
        </w:rPr>
        <w:t xml:space="preserve">第四章  </w:t>
      </w:r>
      <w:r>
        <w:t>合同条款</w:t>
      </w:r>
      <w:bookmarkEnd w:id="73"/>
    </w:p>
    <w:p>
      <w:pPr>
        <w:adjustRightInd w:val="0"/>
        <w:snapToGrid w:val="0"/>
        <w:spacing w:line="360" w:lineRule="exact"/>
        <w:ind w:firstLine="452"/>
        <w:jc w:val="left"/>
        <w:rPr>
          <w:rFonts w:ascii="宋体" w:hAnsi="宋体"/>
          <w:b/>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甲方：杭州萧山国际机场有限公司</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住所地：杭州萧山国际机场内</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乙方: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住所地:</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甲、乙双方根据《中华人民共和国合同法》等相关法律法规，就相关产品采购事宜，在互利、平等的原则基础上，经协商一致，特签订本合同，以共同遵守。</w:t>
      </w:r>
    </w:p>
    <w:p>
      <w:pPr>
        <w:adjustRightInd w:val="0"/>
        <w:snapToGrid w:val="0"/>
        <w:spacing w:line="360" w:lineRule="exact"/>
        <w:ind w:firstLine="452"/>
        <w:jc w:val="left"/>
        <w:rPr>
          <w:rFonts w:ascii="宋体" w:hAnsi="宋体" w:eastAsia="等线" w:cs="Times New Roman"/>
          <w:bCs/>
          <w:sz w:val="22"/>
          <w:lang w:bidi="en-US"/>
        </w:rPr>
      </w:pPr>
      <w:r>
        <w:rPr>
          <w:rFonts w:hint="eastAsia" w:ascii="宋体" w:hAnsi="宋体" w:eastAsia="等线" w:cs="Times New Roman"/>
          <w:bCs/>
          <w:sz w:val="22"/>
          <w:lang w:bidi="en-US"/>
        </w:rPr>
        <w:t>一、产品规格型号及参数</w:t>
      </w:r>
    </w:p>
    <w:tbl>
      <w:tblPr>
        <w:tblStyle w:val="49"/>
        <w:tblW w:w="101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559"/>
        <w:gridCol w:w="1820"/>
        <w:gridCol w:w="2150"/>
        <w:gridCol w:w="1180"/>
        <w:gridCol w:w="1134"/>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871"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序号</w:t>
            </w:r>
          </w:p>
        </w:tc>
        <w:tc>
          <w:tcPr>
            <w:tcW w:w="1559"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产品名称</w:t>
            </w:r>
          </w:p>
        </w:tc>
        <w:tc>
          <w:tcPr>
            <w:tcW w:w="1820"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品牌型号</w:t>
            </w:r>
          </w:p>
        </w:tc>
        <w:tc>
          <w:tcPr>
            <w:tcW w:w="2150"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单位</w:t>
            </w:r>
          </w:p>
        </w:tc>
        <w:tc>
          <w:tcPr>
            <w:tcW w:w="1180"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数量</w:t>
            </w:r>
          </w:p>
        </w:tc>
        <w:tc>
          <w:tcPr>
            <w:tcW w:w="1134"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单价</w:t>
            </w:r>
          </w:p>
        </w:tc>
        <w:tc>
          <w:tcPr>
            <w:tcW w:w="1476"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871" w:type="dxa"/>
            <w:vAlign w:val="center"/>
          </w:tcPr>
          <w:p>
            <w:pPr>
              <w:adjustRightInd w:val="0"/>
              <w:snapToGrid w:val="0"/>
              <w:spacing w:line="360" w:lineRule="exact"/>
              <w:ind w:firstLine="452"/>
              <w:jc w:val="left"/>
              <w:rPr>
                <w:rFonts w:ascii="宋体" w:hAnsi="宋体" w:eastAsia="等线" w:cs="Times New Roman"/>
                <w:sz w:val="22"/>
              </w:rPr>
            </w:pPr>
          </w:p>
        </w:tc>
        <w:tc>
          <w:tcPr>
            <w:tcW w:w="1559" w:type="dxa"/>
            <w:vAlign w:val="center"/>
          </w:tcPr>
          <w:p>
            <w:pPr>
              <w:adjustRightInd w:val="0"/>
              <w:snapToGrid w:val="0"/>
              <w:spacing w:line="360" w:lineRule="exact"/>
              <w:ind w:firstLine="452"/>
              <w:jc w:val="left"/>
              <w:rPr>
                <w:rFonts w:ascii="宋体" w:hAnsi="宋体" w:eastAsia="等线" w:cs="Times New Roman"/>
                <w:sz w:val="22"/>
              </w:rPr>
            </w:pPr>
          </w:p>
        </w:tc>
        <w:tc>
          <w:tcPr>
            <w:tcW w:w="1820" w:type="dxa"/>
            <w:vAlign w:val="center"/>
          </w:tcPr>
          <w:p>
            <w:pPr>
              <w:adjustRightInd w:val="0"/>
              <w:snapToGrid w:val="0"/>
              <w:spacing w:line="360" w:lineRule="exact"/>
              <w:ind w:firstLine="452"/>
              <w:jc w:val="left"/>
              <w:rPr>
                <w:rFonts w:ascii="宋体" w:hAnsi="宋体" w:eastAsia="等线" w:cs="Times New Roman"/>
                <w:sz w:val="22"/>
              </w:rPr>
            </w:pPr>
          </w:p>
        </w:tc>
        <w:tc>
          <w:tcPr>
            <w:tcW w:w="2150" w:type="dxa"/>
            <w:vAlign w:val="center"/>
          </w:tcPr>
          <w:p>
            <w:pPr>
              <w:adjustRightInd w:val="0"/>
              <w:snapToGrid w:val="0"/>
              <w:spacing w:line="360" w:lineRule="exact"/>
              <w:ind w:firstLine="452"/>
              <w:jc w:val="left"/>
              <w:rPr>
                <w:rFonts w:ascii="宋体" w:hAnsi="宋体" w:eastAsia="等线" w:cs="Times New Roman"/>
                <w:sz w:val="22"/>
              </w:rPr>
            </w:pPr>
          </w:p>
        </w:tc>
        <w:tc>
          <w:tcPr>
            <w:tcW w:w="1180" w:type="dxa"/>
            <w:vAlign w:val="center"/>
          </w:tcPr>
          <w:p>
            <w:pPr>
              <w:adjustRightInd w:val="0"/>
              <w:snapToGrid w:val="0"/>
              <w:spacing w:line="360" w:lineRule="exact"/>
              <w:ind w:firstLine="452"/>
              <w:jc w:val="left"/>
              <w:rPr>
                <w:rFonts w:ascii="宋体" w:hAnsi="宋体" w:eastAsia="等线" w:cs="Times New Roman"/>
                <w:sz w:val="22"/>
              </w:rPr>
            </w:pPr>
          </w:p>
        </w:tc>
        <w:tc>
          <w:tcPr>
            <w:tcW w:w="1134" w:type="dxa"/>
            <w:vAlign w:val="center"/>
          </w:tcPr>
          <w:p>
            <w:pPr>
              <w:adjustRightInd w:val="0"/>
              <w:snapToGrid w:val="0"/>
              <w:spacing w:line="360" w:lineRule="exact"/>
              <w:ind w:firstLine="452"/>
              <w:jc w:val="left"/>
              <w:rPr>
                <w:rFonts w:ascii="宋体" w:hAnsi="宋体" w:eastAsia="等线" w:cs="Times New Roman"/>
                <w:sz w:val="22"/>
              </w:rPr>
            </w:pPr>
          </w:p>
        </w:tc>
        <w:tc>
          <w:tcPr>
            <w:tcW w:w="1476" w:type="dxa"/>
            <w:vAlign w:val="center"/>
          </w:tcPr>
          <w:p>
            <w:pPr>
              <w:adjustRightInd w:val="0"/>
              <w:snapToGrid w:val="0"/>
              <w:spacing w:line="360" w:lineRule="exact"/>
              <w:ind w:firstLine="452"/>
              <w:jc w:val="left"/>
              <w:rPr>
                <w:rFonts w:ascii="宋体" w:hAnsi="宋体" w:eastAsia="等线" w:cs="Times New Roman"/>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1"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合计</w:t>
            </w:r>
          </w:p>
        </w:tc>
        <w:tc>
          <w:tcPr>
            <w:tcW w:w="9319" w:type="dxa"/>
            <w:gridSpan w:val="6"/>
          </w:tcPr>
          <w:p>
            <w:pPr>
              <w:adjustRightInd w:val="0"/>
              <w:snapToGrid w:val="0"/>
              <w:spacing w:line="360" w:lineRule="exact"/>
              <w:ind w:firstLine="452"/>
              <w:jc w:val="left"/>
              <w:rPr>
                <w:rFonts w:ascii="宋体" w:hAnsi="宋体" w:eastAsia="等线" w:cs="Times New Roman"/>
                <w:sz w:val="22"/>
              </w:rPr>
            </w:pPr>
          </w:p>
        </w:tc>
      </w:tr>
    </w:tbl>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备注：1、</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2、</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二、合同金额</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本合同金额为固定总价合同，合同金额为（大写）：人民币    ，（小写）¥       。本合同价为杭州萧山国际机场内交货价，含产品价格、运输费、包装费、保险费、税费等所有费用。甲方不再承担其他任何费用。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在合同有效期限内，若因国家税收政策调整而引起的增值税税率变化的，应按照国家税收政策调整，合同总金额变更为原合同不含增值税货物或劳务价格与调整后税率计算税额的合计金额。</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三、技术资料</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1.乙方应在交付合同产品时同时向甲方提供使用产品的有关技术资料。</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四、知识产权</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乙方应保证所提供的产品或其任何一部分均不会侵犯任何第三方的知识产权等合法权益。如因乙方违反本条保证并导致甲方遭受损失的，甲方有权解除本合同，乙方须向甲方承担赔偿责任。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五、产权担保</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乙方保证所交付的产品的所有权完全属于乙方且无任何抵押、查封等产权障碍或瑕疵。如因乙方提供产品存在权属纠纷或担保物权等权利限制或瑕疵而导致甲方遭受任何损失的，甲方有权解除合同，乙方须就甲方遭受的该等损失承担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六、转包或分包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本合同项下甲方采购的产品及其安装、调试等服务，必须由乙方直接供应；除非得到甲方的书面同意，乙方不得将本合同项下的产品或服务的全部或部分分包给第三方供应，不得将本合同项下权利义务转让给第三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2.如有未经甲方书面同意的转让和分包行为，甲方有权解除合同，并有权要求乙方承担合同总金额【</w:t>
      </w:r>
      <w:r>
        <w:rPr>
          <w:rFonts w:hint="eastAsia" w:ascii="宋体" w:hAnsi="宋体"/>
          <w:sz w:val="22"/>
          <w:lang w:bidi="en-US"/>
        </w:rPr>
        <w:t>5%</w:t>
      </w:r>
      <w:r>
        <w:rPr>
          <w:rFonts w:hint="eastAsia" w:ascii="宋体" w:hAnsi="宋体" w:eastAsia="等线" w:cs="Times New Roman"/>
          <w:sz w:val="22"/>
          <w:lang w:bidi="en-US"/>
        </w:rPr>
        <w:t>】的违约金。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七、产品包装、发运及运输</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乙方应在产品发运前对其按满足运输距离、防潮、防震、防锈和防破损装卸等要求进行包装，以保证产品安全运达甲方指定地点。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使用说明书、质量检验证明书、技术资料、随配附件和工具以及清单一并附于产品内同时向甲方交付。如资料和工具、附件不全的，视为乙方未完全履行交付义务。</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乙方在产品发运手续办理完毕后【24】小时内必须书面通知甲方，以便甲方准备接货。</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 产品在本合同规定的交货地点交付甲方前发生的一切风险包括产品运输风险均由乙方负责。</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 产品在规定的交付期限内由乙方送达甲方指定的交货地点并经甲方签收后视为交付，乙方同时必须在产品到达的当天立即通知甲方产品已送达。</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八、交货期、交货方式及交货地点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交货期：</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交货方式：</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交货地点：杭州萧山国际机场内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九、安装与验收</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1.甲方对乙方交付的货物依据甲方要求和国家有关质量标准进行现场初步验收，产品外观、数量、品种、规格和说明书等资料符合甲方要求的，视为初步验收合格，给予签收，初步验收不合格的不予签收并在到货之日起【3】日内以书面或电话形式向乙方提出异议。乙方在甲方初步验收完毕后，负责在【40】日内完成现场安装、调试，确保设备正常运行。安装、调试完毕由乙方提交甲方进行终验收，双方代表应在通过终验收之日签署安装验收合格报告，但此报告不能免除乙方在本合同项下应当承担的质量保证责任以及售后服务责任。如终验不合格的，甲方不予签署安装验收合格报告，并在终验检验之日起【3】日内以书面方式向乙方提出相关异议。</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2.乙方交货前应对产品作出全面检查和对验收文件进行整理，并列出清单，作为甲方收货验收和使用的技术条件依据，乙方检验的结果应随货物交甲方。</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3.乙方应当在收到甲方前述第1款异议之日起【3】日内按甲方要求进行无偿换货、补发短缺部分或降低货价，以及继续进行调试以符合甲方及本合同约定，并承担由此产生的相关费用。在上述异议期及产品质量问题的处理期间，甲方有权中止本合同项下的付款义务。如甲方未按上述规定期限提出质量异议的，不免除乙方在本合同项下应当承担的质量保证责任以及售后服务责任。</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4.具体的安装要求：</w:t>
      </w:r>
    </w:p>
    <w:p>
      <w:pPr>
        <w:spacing w:line="400" w:lineRule="exact"/>
        <w:ind w:firstLine="440" w:firstLineChars="200"/>
        <w:rPr>
          <w:rFonts w:ascii="宋体" w:hAnsi="宋体" w:eastAsia="等线" w:cs="Times New Roman"/>
          <w:sz w:val="22"/>
        </w:rPr>
      </w:pPr>
      <w:r>
        <w:rPr>
          <w:rFonts w:hint="eastAsia" w:ascii="宋体" w:hAnsi="宋体" w:eastAsia="等线" w:cs="Times New Roman"/>
          <w:sz w:val="22"/>
        </w:rPr>
        <w:t>4.1地毯铺装平整，地毯与地面附着紧密、牢固；</w:t>
      </w:r>
    </w:p>
    <w:p>
      <w:pPr>
        <w:spacing w:line="400" w:lineRule="exact"/>
        <w:ind w:firstLine="440" w:firstLineChars="200"/>
        <w:rPr>
          <w:rFonts w:ascii="宋体" w:hAnsi="宋体" w:eastAsia="等线" w:cs="Times New Roman"/>
          <w:sz w:val="22"/>
        </w:rPr>
      </w:pPr>
      <w:r>
        <w:rPr>
          <w:rFonts w:hint="eastAsia" w:ascii="宋体" w:hAnsi="宋体" w:eastAsia="等线" w:cs="Times New Roman"/>
          <w:sz w:val="22"/>
        </w:rPr>
        <w:t>4.2地毯收口处平整、无缝隙。</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5.具体的验收要求：</w:t>
      </w:r>
    </w:p>
    <w:p>
      <w:pPr>
        <w:spacing w:line="400" w:lineRule="exact"/>
        <w:ind w:firstLine="420" w:firstLineChars="200"/>
        <w:rPr>
          <w:rFonts w:asciiTheme="minorEastAsia" w:hAnsiTheme="minorEastAsia"/>
          <w:color w:val="000000"/>
          <w:szCs w:val="21"/>
          <w:shd w:val="clear" w:color="auto" w:fill="FFFFFF"/>
        </w:rPr>
      </w:pPr>
      <w:r>
        <w:rPr>
          <w:rFonts w:hint="eastAsia" w:asciiTheme="minorEastAsia" w:hAnsiTheme="minorEastAsia"/>
          <w:color w:val="000000"/>
          <w:szCs w:val="21"/>
          <w:shd w:val="clear" w:color="auto" w:fill="FFFFFF"/>
        </w:rPr>
        <w:t>5</w:t>
      </w:r>
      <w:r>
        <w:rPr>
          <w:rFonts w:asciiTheme="minorEastAsia" w:hAnsiTheme="minorEastAsia"/>
          <w:color w:val="000000"/>
          <w:szCs w:val="21"/>
          <w:shd w:val="clear" w:color="auto" w:fill="FFFFFF"/>
        </w:rPr>
        <w:t>.1各项性能指标满足</w:t>
      </w:r>
      <w:r>
        <w:rPr>
          <w:rFonts w:hint="eastAsia" w:asciiTheme="minorEastAsia" w:hAnsiTheme="minorEastAsia"/>
          <w:color w:val="000000"/>
          <w:szCs w:val="21"/>
          <w:shd w:val="clear" w:color="auto" w:fill="FFFFFF"/>
        </w:rPr>
        <w:t>招标文件</w:t>
      </w:r>
      <w:r>
        <w:rPr>
          <w:rFonts w:asciiTheme="minorEastAsia" w:hAnsiTheme="minorEastAsia"/>
          <w:color w:val="000000"/>
          <w:szCs w:val="21"/>
          <w:shd w:val="clear" w:color="auto" w:fill="FFFFFF"/>
        </w:rPr>
        <w:t>中的技术要求</w:t>
      </w:r>
      <w:r>
        <w:rPr>
          <w:rFonts w:hint="eastAsia" w:asciiTheme="minorEastAsia" w:hAnsiTheme="minorEastAsia"/>
          <w:color w:val="000000"/>
          <w:szCs w:val="21"/>
          <w:shd w:val="clear" w:color="auto" w:fill="FFFFFF"/>
        </w:rPr>
        <w:t>；</w:t>
      </w:r>
    </w:p>
    <w:p>
      <w:pPr>
        <w:spacing w:line="400" w:lineRule="exact"/>
        <w:ind w:firstLine="420" w:firstLineChars="200"/>
        <w:rPr>
          <w:rFonts w:asciiTheme="minorEastAsia" w:hAnsiTheme="minorEastAsia"/>
          <w:color w:val="000000"/>
          <w:szCs w:val="21"/>
          <w:shd w:val="clear" w:color="auto" w:fill="FFFFFF"/>
        </w:rPr>
      </w:pPr>
      <w:r>
        <w:rPr>
          <w:rFonts w:hint="eastAsia" w:asciiTheme="minorEastAsia" w:hAnsiTheme="minorEastAsia"/>
          <w:color w:val="000000"/>
          <w:szCs w:val="21"/>
          <w:shd w:val="clear" w:color="auto" w:fill="FFFFFF"/>
        </w:rPr>
        <w:t>5</w:t>
      </w:r>
      <w:r>
        <w:rPr>
          <w:rFonts w:asciiTheme="minorEastAsia" w:hAnsiTheme="minorEastAsia"/>
          <w:color w:val="000000"/>
          <w:szCs w:val="21"/>
          <w:shd w:val="clear" w:color="auto" w:fill="FFFFFF"/>
        </w:rPr>
        <w:t xml:space="preserve">.2 </w:t>
      </w:r>
      <w:r>
        <w:rPr>
          <w:rFonts w:hint="eastAsia" w:asciiTheme="minorEastAsia" w:hAnsiTheme="minorEastAsia"/>
          <w:color w:val="000000"/>
          <w:szCs w:val="21"/>
          <w:shd w:val="clear" w:color="auto" w:fill="FFFFFF"/>
        </w:rPr>
        <w:t>安装</w:t>
      </w:r>
      <w:r>
        <w:rPr>
          <w:rFonts w:asciiTheme="minorEastAsia" w:hAnsiTheme="minorEastAsia"/>
          <w:color w:val="000000"/>
          <w:szCs w:val="21"/>
          <w:shd w:val="clear" w:color="auto" w:fill="FFFFFF"/>
        </w:rPr>
        <w:t>时出现的问题已被解决至甲方认可</w:t>
      </w:r>
      <w:r>
        <w:rPr>
          <w:rFonts w:hint="eastAsia" w:asciiTheme="minorEastAsia" w:hAnsiTheme="minorEastAsia"/>
          <w:color w:val="000000"/>
          <w:szCs w:val="21"/>
          <w:shd w:val="clear" w:color="auto" w:fill="FFFFFF"/>
        </w:rPr>
        <w:t>，并提供书面报告；</w:t>
      </w:r>
    </w:p>
    <w:p>
      <w:pPr>
        <w:adjustRightInd w:val="0"/>
        <w:snapToGrid w:val="0"/>
        <w:spacing w:line="360" w:lineRule="exact"/>
        <w:ind w:firstLine="420" w:firstLineChars="200"/>
        <w:jc w:val="left"/>
        <w:rPr>
          <w:rFonts w:ascii="宋体" w:hAnsi="宋体"/>
          <w:color w:val="000000"/>
          <w:sz w:val="22"/>
        </w:rPr>
      </w:pPr>
      <w:r>
        <w:rPr>
          <w:rFonts w:hint="eastAsia" w:asciiTheme="minorEastAsia" w:hAnsiTheme="minorEastAsia"/>
          <w:color w:val="000000"/>
          <w:szCs w:val="21"/>
          <w:shd w:val="clear" w:color="auto" w:fill="FFFFFF"/>
        </w:rPr>
        <w:t>5</w:t>
      </w:r>
      <w:r>
        <w:rPr>
          <w:rFonts w:asciiTheme="minorEastAsia" w:hAnsiTheme="minorEastAsia"/>
          <w:color w:val="000000"/>
          <w:szCs w:val="21"/>
          <w:shd w:val="clear" w:color="auto" w:fill="FFFFFF"/>
        </w:rPr>
        <w:t>.</w:t>
      </w:r>
      <w:r>
        <w:rPr>
          <w:rFonts w:hint="eastAsia" w:asciiTheme="minorEastAsia" w:hAnsiTheme="minorEastAsia"/>
          <w:color w:val="000000"/>
          <w:szCs w:val="21"/>
          <w:shd w:val="clear" w:color="auto" w:fill="FFFFFF"/>
        </w:rPr>
        <w:t>3</w:t>
      </w:r>
      <w:r>
        <w:rPr>
          <w:rFonts w:asciiTheme="minorEastAsia" w:hAnsiTheme="minorEastAsia"/>
          <w:color w:val="000000"/>
          <w:szCs w:val="21"/>
          <w:shd w:val="clear" w:color="auto" w:fill="FFFFFF"/>
        </w:rPr>
        <w:t xml:space="preserve"> 已提供了合同范围内的全部货物和资料</w:t>
      </w:r>
      <w:r>
        <w:rPr>
          <w:rFonts w:ascii="宋体" w:hAnsi="宋体"/>
          <w:color w:val="000000"/>
          <w:sz w:val="22"/>
        </w:rPr>
        <w:t>。</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十、货款支付</w:t>
      </w:r>
    </w:p>
    <w:p>
      <w:pPr>
        <w:pStyle w:val="40"/>
        <w:snapToGrid w:val="0"/>
        <w:spacing w:before="0" w:beforeAutospacing="0" w:after="0" w:afterAutospacing="0" w:line="360" w:lineRule="exact"/>
        <w:ind w:firstLine="442" w:firstLineChars="200"/>
        <w:jc w:val="both"/>
        <w:rPr>
          <w:rFonts w:ascii="宋体" w:hAnsi="宋体" w:eastAsia="宋体"/>
          <w:color w:val="auto"/>
          <w:sz w:val="22"/>
          <w:szCs w:val="22"/>
        </w:rPr>
      </w:pPr>
      <w:r>
        <w:rPr>
          <w:rFonts w:hint="eastAsia" w:ascii="宋体" w:hAnsi="宋体" w:eastAsia="宋体"/>
          <w:b/>
          <w:color w:val="auto"/>
          <w:sz w:val="22"/>
          <w:szCs w:val="22"/>
        </w:rPr>
        <w:t>1</w:t>
      </w:r>
      <w:r>
        <w:rPr>
          <w:rFonts w:hint="eastAsia" w:ascii="宋体" w:hAnsi="宋体" w:eastAsia="宋体"/>
          <w:color w:val="auto"/>
          <w:sz w:val="22"/>
          <w:szCs w:val="22"/>
        </w:rPr>
        <w:t>. 产品安装完成后，并经甲方验收合格后【15】个工作日内，支付合同总金额的95%。</w:t>
      </w:r>
    </w:p>
    <w:p>
      <w:pPr>
        <w:pStyle w:val="40"/>
        <w:snapToGrid w:val="0"/>
        <w:spacing w:before="0" w:beforeAutospacing="0" w:after="0" w:afterAutospacing="0" w:line="360" w:lineRule="exact"/>
        <w:ind w:left="420" w:leftChars="200"/>
        <w:jc w:val="both"/>
        <w:rPr>
          <w:rFonts w:ascii="宋体" w:hAnsi="宋体" w:eastAsia="宋体"/>
          <w:color w:val="auto"/>
          <w:sz w:val="22"/>
          <w:szCs w:val="22"/>
        </w:rPr>
      </w:pPr>
      <w:r>
        <w:rPr>
          <w:rFonts w:hint="eastAsia" w:ascii="宋体" w:hAnsi="宋体" w:eastAsia="宋体"/>
          <w:b/>
          <w:color w:val="auto"/>
          <w:sz w:val="22"/>
          <w:szCs w:val="22"/>
        </w:rPr>
        <w:t>2.</w:t>
      </w:r>
      <w:r>
        <w:rPr>
          <w:rFonts w:hint="eastAsia" w:ascii="仿宋" w:hAnsi="仿宋" w:eastAsia="仿宋"/>
          <w:color w:val="auto"/>
        </w:rPr>
        <w:t xml:space="preserve"> </w:t>
      </w:r>
      <w:r>
        <w:rPr>
          <w:rFonts w:hint="eastAsia" w:ascii="宋体" w:hAnsi="宋体" w:eastAsia="宋体"/>
          <w:color w:val="auto"/>
          <w:sz w:val="22"/>
          <w:szCs w:val="22"/>
        </w:rPr>
        <w:t>质量保证金为合同总价5</w:t>
      </w:r>
      <w:r>
        <w:rPr>
          <w:rFonts w:ascii="宋体" w:hAnsi="宋体" w:eastAsia="宋体"/>
          <w:color w:val="auto"/>
          <w:sz w:val="22"/>
          <w:szCs w:val="22"/>
        </w:rPr>
        <w:t>%，</w:t>
      </w:r>
      <w:r>
        <w:rPr>
          <w:rFonts w:hint="eastAsia" w:ascii="宋体" w:hAnsi="宋体" w:eastAsia="宋体"/>
          <w:color w:val="auto"/>
          <w:sz w:val="22"/>
          <w:szCs w:val="22"/>
        </w:rPr>
        <w:t>质量保证金于质量保证期满后【十五】</w:t>
      </w:r>
      <w:r>
        <w:rPr>
          <w:rFonts w:ascii="宋体" w:hAnsi="宋体" w:eastAsia="宋体"/>
          <w:color w:val="auto"/>
          <w:sz w:val="22"/>
          <w:szCs w:val="22"/>
        </w:rPr>
        <w:t>工作日内</w:t>
      </w:r>
      <w:r>
        <w:rPr>
          <w:rFonts w:hint="eastAsia" w:ascii="宋体" w:hAnsi="宋体" w:eastAsia="宋体"/>
          <w:color w:val="auto"/>
          <w:sz w:val="22"/>
          <w:szCs w:val="22"/>
        </w:rPr>
        <w:t>一并无息</w:t>
      </w:r>
      <w:r>
        <w:rPr>
          <w:rFonts w:ascii="宋体" w:hAnsi="宋体" w:eastAsia="宋体"/>
          <w:color w:val="auto"/>
          <w:sz w:val="22"/>
          <w:szCs w:val="22"/>
        </w:rPr>
        <w:t>支付。</w:t>
      </w:r>
      <w:r>
        <w:rPr>
          <w:rFonts w:hint="eastAsia" w:ascii="宋体" w:hAnsi="宋体" w:eastAsia="宋体"/>
          <w:b/>
          <w:color w:val="auto"/>
          <w:sz w:val="22"/>
          <w:szCs w:val="22"/>
        </w:rPr>
        <w:t>3.</w:t>
      </w:r>
      <w:r>
        <w:rPr>
          <w:rFonts w:hint="eastAsia" w:ascii="宋体" w:hAnsi="宋体" w:eastAsia="宋体"/>
          <w:color w:val="auto"/>
          <w:sz w:val="22"/>
          <w:szCs w:val="22"/>
        </w:rPr>
        <w:t>乙方在甲方每次付款前开具增值税专用发票。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十一、免费质保期及服务内容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1、乙方保证其所供应的产品符合相关产品质量标准，不存在任何质量瑕疵或因质量瑕疵而导致的安全隐患，且为未经使用的全新产品。</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2、乙方应为产品提供【24】个月的免费质保期(含工时费和零部件费)，时间自甲方最终签署安装验收合格报告之日起计算。</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免费质保期内由于非甲方原因发生的故障或损坏，乙方免费提供维修和备件直至产品性能、状态等达到正常标准，可以正常安全使用为止。如无法修复，乙方应负责免费更换或由甲方退还乙方所供产品，乙方退还甲方支付的合同款，同时应承担该产品的直接费用（运输、保险、检验、人民银行公布的同期货款基准利率及银行手续费、担保、抵押、法院执行措施所产生的费用等）以及由此给甲方造成的损失。</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 乙方提供【24】小时售后服务，在接到报修通知后，维修人员应在【24】小时内赶到杭州萧山国际机场，并连续进行维修，直到产品恢复正常。修复部分的质保期自修复之日起重新开始计算。</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 免费质保期结束的【30】天前，乙方负责对产品进行一次全面的检修和维护，并由甲方验收认可。甲方验收认可并不免除乙方对于验收认可后发生的但尚在质保期限内的产品故障或损坏的维修、退换货义务。</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6、若乙方提供的产品属于伪劣产品或者假冒产品或者欺诈甲方，使得甲方遭受损失，乙方应向甲方承担违约责任，同时，甲方可依法寻求其他法律救济。</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十二、违约责任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甲方无故逾期支付货款的,甲方应按逾期付款总额每日【0.05】%向乙方支付违约金。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2. 乙方逾期交付产品和本合同规定的文件资料的，或者未按甲方时间要求完成安装调试并通过甲方终验收的，乙方应按合同总额每日【0.05】%向甲方支付违约金，由甲方从货款中扣除。逾期超过约定日期【10 】个工作日的，甲方可解除本合同。乙方因逾期交货或因其他违约行为导致甲方解除合同的，乙方应向甲方支付合同总额【5】%的违约金，且全额没收乙方的履约保证金，如造成甲方损失超过违约金的，超出部分由乙方继续承担赔偿责任。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乙方所交的产品品种、型号、规格、技术参数、质量不符合合同规定及招标文件规定标准的，甲方有权拒收该产品，或要求乙方更换产品；乙方因更换产品而逾期交货的，按乙方逾期交货处理。乙方拒绝更换产品的，甲方可单方面解除合同，不予支付相应货款，并没收全部履约保证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因乙方提供产品质量问题或者安装调试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 乙方不在约定期限内派人维修或维修质量验收不合格的，甲方可以委托他人修理，费用由乙方承担，甲方与第三方确认后可直接从质保金中扣除；履约保证金不足以抵扣的，继续向乙方追偿。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7．对于本合同项下乙方应支付的赔偿款或违约金，甲方有权从应付乙方的货款及履约保证金中直接扣除，不足的部分，继续向乙方追偿。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十三、不可抗力事件处理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在合同有效期内，任何一方因不可抗力事件导致不能履行合同，则合同履行期可延长，其延长期与不可抗力影响期相同。</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不可抗力事件发生后，遭遇不可抗力的一方应立即通知对方，并寄送有关官方权威机构出具的证明。</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不可抗力事件延续【140】天以上，双方应通过友好协商，确定是否继续履行合同；协商无法达成一致的，本合同自动终止，双方互不承担赔偿或违约责任。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十四、争议解决</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双方在执行合同中所发生的一切争议，应通过协商解决。如协商不成，由甲方所在地的人民法院管辖审理。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十五、合同组成文件包含下列内容，且解释顺序如下：</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1.本合同协议书</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2.中标通知书</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3.投标书及其附件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4.招标文件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5.标准、规范及有关技术文件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十六、合同生效及其它</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合同经双方法定代表人或授权代表签字（包含签章）并加盖单位公章或者合同章之日起生效。</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2.本合同未尽事宜，双方可签订补充协议予以执行；未达成补充协议的，遵照《合同法》及有关法律法规执行。</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3.本合同一式陆份，甲执四份，乙方持二份，具有同等法律效力。</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（以下为签署页）</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ab/>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甲方：杭州萧山国际机场有限公司  乙方：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地址：杭州萧山国际机场内        地址：</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法定代表人：                     法定代表人：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或                               或</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授权代表：                       授权代表：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签字日期：                       签字日期：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年  月  日                      年  月  日</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jc w:val="left"/>
        <w:rPr>
          <w:rFonts w:ascii="宋体" w:hAnsi="宋体" w:eastAsia="等线" w:cs="Times New Roman"/>
          <w:sz w:val="22"/>
          <w:lang w:bidi="en-US"/>
        </w:rPr>
      </w:pPr>
      <w:r>
        <w:rPr>
          <w:rFonts w:hint="eastAsia" w:ascii="宋体" w:hAnsi="宋体" w:eastAsia="等线" w:cs="Times New Roman"/>
          <w:sz w:val="22"/>
          <w:lang w:bidi="en-US"/>
        </w:rPr>
        <w:t>附件1：</w:t>
      </w:r>
    </w:p>
    <w:p>
      <w:pPr>
        <w:adjustRightInd w:val="0"/>
        <w:snapToGrid w:val="0"/>
        <w:spacing w:line="360" w:lineRule="exact"/>
        <w:ind w:firstLine="452"/>
        <w:jc w:val="center"/>
        <w:rPr>
          <w:rFonts w:ascii="黑体" w:hAnsi="黑体" w:eastAsia="黑体" w:cs="Times New Roman"/>
          <w:sz w:val="30"/>
          <w:szCs w:val="30"/>
          <w:lang w:bidi="en-US"/>
        </w:rPr>
      </w:pPr>
      <w:r>
        <w:rPr>
          <w:rFonts w:hint="eastAsia" w:ascii="黑体" w:hAnsi="黑体" w:eastAsia="黑体" w:cs="Times New Roman"/>
          <w:sz w:val="30"/>
          <w:szCs w:val="30"/>
          <w:lang w:bidi="en-US"/>
        </w:rPr>
        <w:t>杭州萧山国际机场有限公司廉洁自律承诺书</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杭州萧山国际机场有限公司：</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我单位响应贵公司项目招标要求，参加项目投标。在投标过程中及中标后，我们将严格遵守国家法律法规和贵司招标文件要求，并郑重作出如下承诺和保证：</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二、不以任何名义为贵公司有关人员或项目第三方人员报销应由贵公司或个人支付的费用；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三、不向贵公司有关人员或项目第三方人员提供宴请、旅游、和健身娱乐等活动；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四、不为贵公司有关人员或项目第三方人员出国（境）、旅游等提供方便；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五、不为贵公司有关人员或项目第三方人员个人装修住房、婚丧嫁娶、配偶子女工作安排等提供好处或便利条件；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六、严格遵守国家招标投标法、合同法等法律规定，诚实守信，合法经营，坚决杜绝各种违法违纪行为。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七、若发现贵公司有关人员或项目第三方人员有故意设置障碍或推诿刁难我方人员参与正常投标项目建设活动以索要好处等行为，我单位将及时向贵公司纪检监察部门举报，举报电话：0571－86661113。</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八、如违反上述廉洁自律承诺，贵公司有权：</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（1）立即取消我单位投标、中标或在建项目的实施资格；</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（2）扣除我方向贵公司缴纳的履约保证金的10%作为违反廉洁自律承诺的违约金。如该违约金不足以弥补贵公司损失的，我单位仍将承担实际损失赔偿责任。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（3）拒绝我单位在一定时期内进入贵公司进行项目建设或其它经营活动；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（4）由此引起的相应损失均由我单位承担。</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承诺人单位名称（盖章）：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法定代表人 ：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或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委托代理人：                   </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年     月     日</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附件2： </w:t>
      </w:r>
    </w:p>
    <w:p>
      <w:pPr>
        <w:adjustRightInd w:val="0"/>
        <w:snapToGrid w:val="0"/>
        <w:spacing w:line="360" w:lineRule="exact"/>
        <w:ind w:firstLine="452"/>
        <w:jc w:val="left"/>
        <w:rPr>
          <w:rFonts w:ascii="宋体" w:hAnsi="宋体" w:eastAsia="等线" w:cs="Times New Roman"/>
          <w:bCs/>
          <w:sz w:val="22"/>
          <w:lang w:bidi="en-US"/>
        </w:rPr>
      </w:pPr>
      <w:r>
        <w:rPr>
          <w:rFonts w:hint="eastAsia" w:ascii="宋体" w:hAnsi="宋体" w:eastAsia="等线" w:cs="Times New Roman"/>
          <w:bCs/>
          <w:sz w:val="22"/>
          <w:lang w:bidi="en-US"/>
        </w:rPr>
        <w:t>保密承诺书</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1.1商业秘密是指机场公司（包括机场公司关联公司）一切专有、不对外公开的资料和信息。包括但不限于以下方面：</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（1）经营信息（发展规划、运营状况、客户资源、货源情报、投融资计划、开发计划、标书等）；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（2）管理信息（管理方法、管理制度、员工管理、合同管理、纠纷管理等）；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（3）产品及技术信息（设计及图纸、样品及服务、技术方案、质量标准、技术标准、计算机程序等）；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（4）财务信息（财务收支、固定资产、流动资金、成本核算等）；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（5）我方单独或机场公司（包括机场公司关联公司）和我方共同为机场公司开发、设计、生产的产品、资料及相关信息；</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（6）其他机场公司未对外公开的有关营运、计划、航班数据、标准、开发、生产、经营、质量管理控制和租赁的资料和数据等信息以及对供应商的管理文件。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1.3、对于上述提及的商业秘密，不能仅因为公开发表的文章或资讯中包含其内容，就认为是可对外公开的特殊情况。</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1.4、以下资料不属于本承诺所指的商业秘密：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（1）我方从机场公司拟获悉之前已持有的我方无需承担保密义务的机场公司有关资料(但通过其它违约或侵权行为而获得的资料除外)；</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（2）已经公开或已成为常识性的资料，且该等公开并非因违反本承诺所致。</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（1）披露、使用或者允许他人以不正当手段获取的商业秘密；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（2）为机场公司以外的第三人窃取、刺探、收买、非法提供商业秘密。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（3）在电子公告系统、聊天系统、电子邮箱、论坛等计算机网络系统上传递、转发、抄送、发布、谈论和传播商业秘密；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（4）在私人交往和通信中，向亲属、朋友以及与工作无关人员泄露商业秘密，或在公共场所谈论商业秘密；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（5）擅自将属于商业秘密的文件、资料和其他物品携带、传递、寄运出机场公司办公场所或国（境）外。</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（6）未经机场公司同意就以任何方式私自保存、截留含有机场公司商业秘密的任何形式资料、文件和物品的复印件、复制品、副本。</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（7）将含有机场公司商业秘密的产品、技术或其他资料、信息向第三人销售、使用或以任何方式提供。</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8、违约责任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8.1因我方违反保密义务的行为造成机场公司的一切损失，我方应当全部予以赔偿。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8.2如我方违反本承诺书下保密义务，应当承担违约责任，除赔偿损失外，还应依据合同向机场公司支付相应的违约金；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9、本承诺书适用中华人民共和国法律，如因履行本承诺书发生争议，则双方均有权向机场公司所在地法院提起诉讼。</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供应商(盖章):</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法定代表人或授权代表：</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电话/传真：</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地址：</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kern w:val="0"/>
        </w:rPr>
      </w:pPr>
      <w:r>
        <w:rPr>
          <w:rFonts w:hint="eastAsia" w:ascii="宋体" w:hAnsi="宋体" w:eastAsia="等线" w:cs="Times New Roman"/>
          <w:sz w:val="22"/>
          <w:lang w:bidi="en-US"/>
        </w:rPr>
        <w:t xml:space="preserve">日期：     年   月   </w:t>
      </w:r>
      <w:bookmarkStart w:id="74" w:name="_Toc448002987"/>
      <w:bookmarkStart w:id="75" w:name="_Toc321925456"/>
      <w:bookmarkStart w:id="76" w:name="_Toc275274581"/>
    </w:p>
    <w:p/>
    <w:p/>
    <w:p/>
    <w:p/>
    <w:p/>
    <w:p/>
    <w:p/>
    <w:p/>
    <w:p/>
    <w:p/>
    <w:p/>
    <w:p/>
    <w:p/>
    <w:p/>
    <w:p/>
    <w:p/>
    <w:p/>
    <w:p/>
    <w:p/>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pStyle w:val="2"/>
        <w:spacing w:before="0" w:after="0"/>
        <w:jc w:val="both"/>
        <w:rPr>
          <w:rFonts w:ascii="Calibri" w:hAnsi="Calibri" w:eastAsia="黑体" w:cs="Calibri"/>
          <w:kern w:val="0"/>
          <w:sz w:val="32"/>
        </w:rPr>
      </w:pPr>
    </w:p>
    <w:p>
      <w:pPr>
        <w:pStyle w:val="2"/>
        <w:spacing w:before="0" w:after="0"/>
        <w:rPr>
          <w:rFonts w:ascii="Calibri" w:hAnsi="Calibri" w:eastAsia="黑体" w:cs="Calibri"/>
          <w:kern w:val="0"/>
          <w:sz w:val="32"/>
        </w:rPr>
      </w:pPr>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评标方法及标准</w:t>
      </w:r>
      <w:bookmarkEnd w:id="74"/>
      <w:bookmarkEnd w:id="75"/>
    </w:p>
    <w:p>
      <w:pPr>
        <w:pStyle w:val="28"/>
        <w:spacing w:line="360" w:lineRule="exact"/>
        <w:ind w:firstLine="420"/>
        <w:rPr>
          <w:rFonts w:hAnsi="宋体" w:cs="Calibri"/>
          <w:bCs/>
          <w:sz w:val="22"/>
          <w:szCs w:val="22"/>
        </w:rPr>
      </w:pPr>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28"/>
        <w:spacing w:line="360" w:lineRule="exact"/>
        <w:rPr>
          <w:rFonts w:hAnsi="宋体" w:cs="Calibri"/>
          <w:b/>
          <w:bCs/>
          <w:sz w:val="22"/>
          <w:szCs w:val="22"/>
        </w:rPr>
      </w:pPr>
      <w:r>
        <w:rPr>
          <w:rFonts w:hAnsi="宋体" w:cs="Calibri"/>
          <w:b/>
          <w:bCs/>
          <w:sz w:val="22"/>
          <w:szCs w:val="22"/>
        </w:rPr>
        <w:t>一、评标原则</w:t>
      </w:r>
    </w:p>
    <w:p>
      <w:pPr>
        <w:pStyle w:val="28"/>
        <w:spacing w:line="360" w:lineRule="exact"/>
        <w:ind w:firstLine="420"/>
        <w:rPr>
          <w:rFonts w:hAnsi="宋体" w:cs="Calibri"/>
          <w:sz w:val="22"/>
          <w:szCs w:val="22"/>
        </w:rPr>
      </w:pPr>
      <w:r>
        <w:rPr>
          <w:rFonts w:hAnsi="宋体" w:cs="Calibri"/>
          <w:bCs/>
          <w:sz w:val="22"/>
          <w:szCs w:val="22"/>
        </w:rPr>
        <w:t>评标应遵循公平、公正、科学、择优的原则。</w:t>
      </w:r>
    </w:p>
    <w:p>
      <w:pPr>
        <w:pStyle w:val="28"/>
        <w:spacing w:line="360" w:lineRule="exact"/>
        <w:rPr>
          <w:rFonts w:hAnsi="宋体" w:cs="Calibri"/>
          <w:b/>
          <w:bCs/>
          <w:sz w:val="22"/>
          <w:szCs w:val="22"/>
        </w:rPr>
      </w:pPr>
      <w:r>
        <w:rPr>
          <w:rFonts w:hAnsi="宋体" w:cs="Calibri"/>
          <w:b/>
          <w:bCs/>
          <w:sz w:val="22"/>
          <w:szCs w:val="22"/>
        </w:rPr>
        <w:t>二、评标组织</w:t>
      </w:r>
    </w:p>
    <w:p>
      <w:pPr>
        <w:pStyle w:val="28"/>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3</w:t>
      </w:r>
      <w:r>
        <w:rPr>
          <w:rFonts w:hAnsi="宋体" w:cs="Calibri"/>
          <w:sz w:val="22"/>
          <w:szCs w:val="22"/>
        </w:rPr>
        <w:t>人及以上单数，</w:t>
      </w:r>
      <w:r>
        <w:rPr>
          <w:rFonts w:hint="eastAsia" w:hAnsi="宋体"/>
          <w:sz w:val="22"/>
          <w:szCs w:val="22"/>
        </w:rPr>
        <w:t>评标委员会由招标人自行组建。</w:t>
      </w:r>
    </w:p>
    <w:p>
      <w:pPr>
        <w:pStyle w:val="28"/>
        <w:spacing w:line="360" w:lineRule="exact"/>
        <w:rPr>
          <w:rFonts w:hAnsi="宋体" w:cs="Calibri"/>
          <w:b/>
          <w:bCs/>
          <w:sz w:val="22"/>
          <w:szCs w:val="22"/>
        </w:rPr>
      </w:pPr>
      <w:r>
        <w:rPr>
          <w:rFonts w:hAnsi="宋体" w:cs="Calibri"/>
          <w:b/>
          <w:bCs/>
          <w:sz w:val="22"/>
          <w:szCs w:val="22"/>
        </w:rPr>
        <w:t>三、投标文件的评审</w:t>
      </w:r>
    </w:p>
    <w:p>
      <w:pPr>
        <w:pStyle w:val="28"/>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rPr>
      </w:pPr>
      <w:r>
        <w:rPr>
          <w:rFonts w:ascii="宋体" w:hAnsi="宋体" w:cs="Calibri"/>
          <w:bCs/>
          <w:kern w:val="0"/>
          <w:sz w:val="22"/>
        </w:rPr>
        <w:t>3.1.1评标委员会应依照招标文件的要求和规定首先对投标人的投标资格和投标文件进行符合性审查，</w:t>
      </w:r>
      <w:r>
        <w:rPr>
          <w:rFonts w:ascii="宋体" w:hAnsi="宋体" w:cs="Calibri"/>
          <w:b/>
          <w:kern w:val="0"/>
          <w:sz w:val="22"/>
        </w:rPr>
        <w:t>审查过程中评标委员会可以要求投标人提交下列审查项所需的有关证明和证件的原件，以便核验。</w:t>
      </w:r>
      <w:r>
        <w:rPr>
          <w:rFonts w:ascii="宋体" w:hAnsi="宋体" w:cs="Calibri"/>
          <w:bCs/>
          <w:kern w:val="0"/>
          <w:sz w:val="22"/>
        </w:rPr>
        <w:t>投标文件如存在以下情况之一的，经评标委员会三分之二以上的成员认定，符合性审查不予通过，</w:t>
      </w:r>
      <w:r>
        <w:rPr>
          <w:rFonts w:ascii="宋体" w:hAnsi="宋体" w:cs="Calibri"/>
          <w:b/>
          <w:bCs/>
          <w:kern w:val="0"/>
          <w:sz w:val="22"/>
        </w:rPr>
        <w:t>作</w:t>
      </w:r>
      <w:r>
        <w:rPr>
          <w:rFonts w:hint="eastAsia" w:ascii="宋体" w:hAnsi="宋体" w:cs="Calibri"/>
          <w:b/>
          <w:bCs/>
          <w:kern w:val="0"/>
          <w:sz w:val="22"/>
        </w:rPr>
        <w:t>否决投标</w:t>
      </w:r>
      <w:r>
        <w:rPr>
          <w:rFonts w:ascii="宋体" w:hAnsi="宋体" w:cs="Calibri"/>
          <w:b/>
          <w:bCs/>
          <w:kern w:val="0"/>
          <w:sz w:val="22"/>
        </w:rPr>
        <w:t>处理，</w:t>
      </w:r>
      <w:r>
        <w:rPr>
          <w:rFonts w:ascii="宋体" w:hAnsi="宋体" w:cs="Calibri"/>
          <w:bCs/>
          <w:kern w:val="0"/>
          <w:sz w:val="22"/>
        </w:rPr>
        <w:t>不再进行详细评审：</w:t>
      </w:r>
    </w:p>
    <w:p>
      <w:pPr>
        <w:spacing w:line="360" w:lineRule="exact"/>
        <w:ind w:firstLine="471" w:firstLineChars="214"/>
        <w:rPr>
          <w:rFonts w:ascii="宋体" w:hAnsi="宋体" w:cs="Calibri"/>
          <w:sz w:val="22"/>
        </w:rPr>
      </w:pPr>
      <w:r>
        <w:rPr>
          <w:rFonts w:ascii="宋体" w:hAnsi="宋体" w:cs="Calibri"/>
          <w:sz w:val="22"/>
        </w:rPr>
        <w:t>1、</w:t>
      </w:r>
      <w:r>
        <w:rPr>
          <w:rFonts w:ascii="宋体" w:hAnsi="宋体" w:cs="Calibri"/>
          <w:bCs/>
          <w:kern w:val="0"/>
          <w:sz w:val="22"/>
        </w:rPr>
        <w:t>投标人的投标资格不满足国家有关规定或招标文件载明的投标资格条件的；</w:t>
      </w:r>
    </w:p>
    <w:p>
      <w:pPr>
        <w:spacing w:line="360" w:lineRule="exact"/>
        <w:ind w:firstLine="471" w:firstLineChars="214"/>
        <w:rPr>
          <w:rFonts w:ascii="宋体" w:hAnsi="宋体" w:cs="Calibri"/>
          <w:sz w:val="22"/>
        </w:rPr>
      </w:pPr>
      <w:r>
        <w:rPr>
          <w:rFonts w:ascii="宋体" w:hAnsi="宋体" w:cs="Calibri"/>
          <w:sz w:val="22"/>
        </w:rPr>
        <w:t>2、投标文件未按招标文件的要求签署和盖章的（仅限于单位印章和法定代表人或其委托代理人签字或盖章）；</w:t>
      </w:r>
    </w:p>
    <w:p>
      <w:pPr>
        <w:spacing w:line="360" w:lineRule="exact"/>
        <w:ind w:firstLine="471" w:firstLineChars="214"/>
        <w:rPr>
          <w:rFonts w:ascii="宋体" w:hAnsi="宋体" w:cs="Calibri"/>
          <w:sz w:val="22"/>
        </w:rPr>
      </w:pPr>
      <w:r>
        <w:rPr>
          <w:rFonts w:ascii="宋体" w:hAnsi="宋体" w:cs="Calibri"/>
          <w:sz w:val="22"/>
        </w:rPr>
        <w:t>3、投标文件未按规定的格式填写，内容不全或关键字迹模糊、无法辨认的；</w:t>
      </w:r>
    </w:p>
    <w:p>
      <w:pPr>
        <w:spacing w:line="360" w:lineRule="exact"/>
        <w:ind w:firstLine="471" w:firstLineChars="214"/>
        <w:rPr>
          <w:rFonts w:ascii="宋体" w:hAnsi="宋体" w:cs="Calibri"/>
          <w:sz w:val="22"/>
        </w:rPr>
      </w:pPr>
      <w:r>
        <w:rPr>
          <w:rFonts w:ascii="宋体" w:hAnsi="宋体" w:cs="Calibri"/>
          <w:sz w:val="22"/>
        </w:rPr>
        <w:t>4、投标人递交两份或多份内容不同的投标文件，或在一份投标文件中对同一招标项目报有两个或多个报价，且未声明哪一个有效；</w:t>
      </w:r>
    </w:p>
    <w:p>
      <w:pPr>
        <w:spacing w:line="360" w:lineRule="exact"/>
        <w:ind w:firstLine="471" w:firstLineChars="214"/>
        <w:rPr>
          <w:rFonts w:ascii="宋体" w:hAnsi="宋体" w:cs="Calibri"/>
          <w:sz w:val="22"/>
        </w:rPr>
      </w:pPr>
      <w:r>
        <w:rPr>
          <w:rFonts w:ascii="宋体" w:hAnsi="宋体" w:cs="Calibri"/>
          <w:sz w:val="22"/>
        </w:rPr>
        <w:t>5、</w:t>
      </w:r>
      <w:r>
        <w:rPr>
          <w:rFonts w:hint="eastAsia" w:ascii="宋体" w:hAnsi="宋体" w:cs="Calibri"/>
          <w:sz w:val="22"/>
        </w:rPr>
        <w:t>供货</w:t>
      </w:r>
      <w:r>
        <w:rPr>
          <w:rFonts w:ascii="宋体" w:hAnsi="宋体" w:cs="Calibri"/>
          <w:sz w:val="22"/>
        </w:rPr>
        <w:t>期不满足招标文件要求的；</w:t>
      </w:r>
    </w:p>
    <w:p>
      <w:pPr>
        <w:spacing w:line="360" w:lineRule="exact"/>
        <w:ind w:firstLine="471" w:firstLineChars="214"/>
        <w:rPr>
          <w:rFonts w:ascii="宋体" w:hAnsi="宋体" w:cs="Calibri"/>
          <w:sz w:val="22"/>
        </w:rPr>
      </w:pPr>
      <w:r>
        <w:rPr>
          <w:rFonts w:ascii="宋体" w:hAnsi="宋体" w:cs="Calibri"/>
          <w:sz w:val="22"/>
        </w:rPr>
        <w:t>6、不</w:t>
      </w:r>
      <w:r>
        <w:rPr>
          <w:rFonts w:ascii="宋体" w:hAnsi="宋体" w:cs="Calibri"/>
          <w:kern w:val="0"/>
          <w:sz w:val="22"/>
        </w:rPr>
        <w:t>响应招标文件规定的实质性要求（包括具体条文前用“★”标示的）</w:t>
      </w:r>
    </w:p>
    <w:p>
      <w:pPr>
        <w:spacing w:line="360" w:lineRule="exact"/>
        <w:ind w:firstLine="471" w:firstLineChars="214"/>
        <w:rPr>
          <w:rFonts w:ascii="宋体" w:hAnsi="宋体" w:cs="Calibri"/>
          <w:sz w:val="22"/>
        </w:rPr>
      </w:pPr>
      <w:r>
        <w:rPr>
          <w:rFonts w:ascii="宋体" w:hAnsi="宋体" w:cs="Calibri"/>
          <w:sz w:val="22"/>
        </w:rPr>
        <w:t>7、投标人不以自己的名义或未按招标文件的要求提供投标保证金或提供的保证金有缺陷而不能接受的；</w:t>
      </w:r>
    </w:p>
    <w:p>
      <w:pPr>
        <w:spacing w:line="360" w:lineRule="exact"/>
        <w:ind w:firstLine="471" w:firstLineChars="214"/>
        <w:rPr>
          <w:rFonts w:ascii="宋体" w:hAnsi="宋体" w:cs="Calibri"/>
          <w:sz w:val="22"/>
        </w:rPr>
      </w:pPr>
      <w:r>
        <w:rPr>
          <w:rFonts w:ascii="宋体" w:hAnsi="宋体" w:cs="Calibri"/>
          <w:sz w:val="22"/>
        </w:rPr>
        <w:t>8、投标人以他人名义投标、或与他人串通投标、或以行贿手段谋取中标，或弄虚作假的；</w:t>
      </w:r>
    </w:p>
    <w:p>
      <w:pPr>
        <w:spacing w:line="360" w:lineRule="exact"/>
        <w:ind w:firstLine="471" w:firstLineChars="214"/>
        <w:rPr>
          <w:rFonts w:ascii="宋体" w:hAnsi="宋体" w:cs="Calibri"/>
          <w:sz w:val="22"/>
        </w:rPr>
      </w:pPr>
      <w:r>
        <w:rPr>
          <w:rFonts w:hint="eastAsia" w:ascii="宋体" w:hAnsi="宋体" w:cs="Calibri"/>
          <w:sz w:val="22"/>
        </w:rPr>
        <w:t>9</w:t>
      </w:r>
      <w:r>
        <w:rPr>
          <w:rFonts w:ascii="宋体" w:hAnsi="宋体" w:cs="Calibri"/>
          <w:sz w:val="22"/>
        </w:rPr>
        <w:t>、存在法律、法规、规章规定的其它无效投标情况的</w:t>
      </w:r>
      <w:r>
        <w:rPr>
          <w:rFonts w:hint="eastAsia" w:ascii="宋体" w:hAnsi="宋体" w:cs="Calibri"/>
          <w:sz w:val="22"/>
        </w:rPr>
        <w:t>。</w:t>
      </w:r>
    </w:p>
    <w:p>
      <w:pPr>
        <w:widowControl/>
        <w:tabs>
          <w:tab w:val="left" w:pos="709"/>
        </w:tabs>
        <w:snapToGrid w:val="0"/>
        <w:spacing w:line="360" w:lineRule="exact"/>
        <w:ind w:firstLine="446" w:firstLineChars="202"/>
        <w:rPr>
          <w:rFonts w:ascii="宋体" w:hAnsi="宋体" w:cs="Calibri"/>
          <w:b/>
          <w:sz w:val="22"/>
        </w:rPr>
      </w:pPr>
      <w:r>
        <w:rPr>
          <w:rFonts w:ascii="宋体" w:hAnsi="宋体" w:cs="Calibri"/>
          <w:b/>
          <w:sz w:val="22"/>
        </w:rPr>
        <w:t>3.1.2 报价算术性修正</w:t>
      </w:r>
    </w:p>
    <w:p>
      <w:pPr>
        <w:pStyle w:val="28"/>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pStyle w:val="28"/>
        <w:numPr>
          <w:ilvl w:val="0"/>
          <w:numId w:val="5"/>
        </w:numPr>
        <w:adjustRightInd w:val="0"/>
        <w:spacing w:line="360" w:lineRule="exact"/>
        <w:ind w:left="0" w:firstLine="440" w:firstLineChars="200"/>
        <w:rPr>
          <w:rFonts w:hAnsi="宋体" w:cs="Calibri"/>
          <w:sz w:val="22"/>
          <w:szCs w:val="22"/>
        </w:rPr>
      </w:pPr>
      <w:r>
        <w:rPr>
          <w:rFonts w:hAnsi="宋体" w:cs="Calibri"/>
          <w:sz w:val="22"/>
          <w:szCs w:val="22"/>
        </w:rPr>
        <w:t>投标文件中的大写金额与小写金额不一致的，以大写金额为准；</w:t>
      </w:r>
    </w:p>
    <w:p>
      <w:pPr>
        <w:pStyle w:val="28"/>
        <w:numPr>
          <w:ilvl w:val="0"/>
          <w:numId w:val="5"/>
        </w:numPr>
        <w:adjustRightInd w:val="0"/>
        <w:spacing w:line="360" w:lineRule="exact"/>
        <w:ind w:left="0" w:firstLine="440" w:firstLineChars="200"/>
        <w:rPr>
          <w:rFonts w:hAnsi="宋体" w:cs="Calibri"/>
          <w:sz w:val="22"/>
          <w:szCs w:val="22"/>
        </w:rPr>
      </w:pPr>
      <w:r>
        <w:rPr>
          <w:rFonts w:hAnsi="宋体" w:cs="Calibri"/>
          <w:sz w:val="22"/>
          <w:szCs w:val="22"/>
        </w:rPr>
        <w:t>总价金额与依据单价（或各分项合计）计算出的结果不一致的，以单价金额（或各分项合计）为准修正总价，但单价金额小数点有明显错误的除外。</w:t>
      </w:r>
    </w:p>
    <w:p>
      <w:pPr>
        <w:pStyle w:val="28"/>
        <w:spacing w:line="360" w:lineRule="exact"/>
        <w:ind w:firstLine="440" w:firstLineChars="200"/>
        <w:rPr>
          <w:rFonts w:hAnsi="宋体" w:cs="Calibri"/>
          <w:b/>
          <w:sz w:val="22"/>
          <w:szCs w:val="22"/>
        </w:rPr>
      </w:pPr>
      <w:r>
        <w:rPr>
          <w:rFonts w:hAnsi="宋体" w:cs="Calibri"/>
          <w:sz w:val="22"/>
          <w:szCs w:val="22"/>
        </w:rPr>
        <w:t>★修正的价格经投标人书面确认后具有约束力。投标人不接受修正价格的，其投标作</w:t>
      </w:r>
      <w:r>
        <w:rPr>
          <w:rFonts w:hint="eastAsia" w:hAnsi="宋体" w:cs="Calibri"/>
          <w:b/>
          <w:bCs/>
          <w:sz w:val="22"/>
        </w:rPr>
        <w:t>否决投标</w:t>
      </w:r>
      <w:r>
        <w:rPr>
          <w:rFonts w:hAnsi="宋体" w:cs="Calibri"/>
          <w:b/>
          <w:sz w:val="22"/>
          <w:szCs w:val="22"/>
        </w:rPr>
        <w:t>处理</w:t>
      </w:r>
      <w:r>
        <w:rPr>
          <w:rFonts w:hAnsi="宋体" w:cs="Calibri"/>
          <w:sz w:val="22"/>
          <w:szCs w:val="22"/>
        </w:rPr>
        <w:t>。</w:t>
      </w:r>
    </w:p>
    <w:p>
      <w:pPr>
        <w:pStyle w:val="28"/>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28"/>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28"/>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28"/>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28"/>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b/>
          <w:color w:val="000000"/>
          <w:sz w:val="22"/>
        </w:rPr>
      </w:pPr>
      <w:r>
        <w:rPr>
          <w:rFonts w:ascii="宋体" w:hAnsi="宋体" w:cs="Calibri"/>
          <w:b/>
          <w:sz w:val="22"/>
        </w:rPr>
        <w:t>3.3</w:t>
      </w:r>
      <w:r>
        <w:rPr>
          <w:rFonts w:hint="eastAsia" w:ascii="宋体" w:hAnsi="宋体"/>
          <w:b/>
          <w:color w:val="000000"/>
          <w:sz w:val="22"/>
        </w:rPr>
        <w:t>评标细则</w:t>
      </w:r>
    </w:p>
    <w:p>
      <w:pPr>
        <w:pStyle w:val="28"/>
        <w:adjustRightInd w:val="0"/>
        <w:snapToGrid w:val="0"/>
        <w:spacing w:line="360" w:lineRule="exact"/>
        <w:ind w:firstLine="440" w:firstLineChars="200"/>
        <w:rPr>
          <w:rFonts w:hAnsi="宋体" w:cs="Calibri"/>
          <w:sz w:val="22"/>
          <w:szCs w:val="22"/>
        </w:rPr>
      </w:pPr>
      <w:r>
        <w:rPr>
          <w:rFonts w:hint="eastAsia" w:hAnsi="宋体" w:cs="Calibri"/>
          <w:sz w:val="22"/>
          <w:szCs w:val="22"/>
        </w:rPr>
        <w:t>本次评标采用综合评估法，评标委员会根据评审情况，对资信、技术、商务等方面进行评审。评标委员会根据评审情况，对各投标人的商务报价进行统一打分，对各投标人的资信及技术由评标委员会成员进行独立打分。所有分值均保留小数点后2位小数。若评标委员会的评分表中计分不在分值范围内的，则该评分表无效。</w:t>
      </w:r>
    </w:p>
    <w:p>
      <w:pPr>
        <w:pStyle w:val="28"/>
        <w:adjustRightInd w:val="0"/>
        <w:snapToGrid w:val="0"/>
        <w:spacing w:line="360" w:lineRule="exact"/>
        <w:ind w:firstLine="442" w:firstLineChars="200"/>
        <w:rPr>
          <w:rFonts w:hAnsi="宋体" w:cs="Calibri"/>
          <w:sz w:val="22"/>
          <w:szCs w:val="22"/>
        </w:rPr>
      </w:pPr>
      <w:r>
        <w:rPr>
          <w:rFonts w:hint="eastAsia" w:hAnsi="宋体"/>
          <w:b/>
          <w:color w:val="000000"/>
          <w:sz w:val="22"/>
          <w:szCs w:val="22"/>
        </w:rPr>
        <w:t>每个投标人最终得分=商务报价分+资信及技术分</w:t>
      </w:r>
    </w:p>
    <w:p>
      <w:pPr>
        <w:pStyle w:val="28"/>
        <w:adjustRightInd w:val="0"/>
        <w:snapToGrid w:val="0"/>
        <w:spacing w:line="360" w:lineRule="exact"/>
        <w:ind w:firstLine="440" w:firstLineChars="200"/>
        <w:rPr>
          <w:rFonts w:hAnsi="宋体" w:cs="Arial"/>
          <w:b/>
          <w:sz w:val="22"/>
          <w:szCs w:val="22"/>
        </w:rPr>
      </w:pPr>
      <w:r>
        <w:rPr>
          <w:rFonts w:hint="eastAsia" w:hAnsi="宋体" w:cs="Calibri"/>
          <w:sz w:val="22"/>
          <w:szCs w:val="22"/>
        </w:rPr>
        <w:t>3.3.1商务报价分70分</w:t>
      </w:r>
    </w:p>
    <w:p>
      <w:pPr>
        <w:pStyle w:val="28"/>
        <w:adjustRightInd w:val="0"/>
        <w:snapToGrid w:val="0"/>
        <w:spacing w:line="360" w:lineRule="exact"/>
        <w:ind w:firstLine="440" w:firstLineChars="200"/>
        <w:rPr>
          <w:rFonts w:hAnsi="宋体" w:cs="Calibri"/>
          <w:sz w:val="22"/>
          <w:szCs w:val="22"/>
        </w:rPr>
      </w:pPr>
      <w:r>
        <w:rPr>
          <w:rFonts w:hint="eastAsia" w:hAnsi="宋体"/>
          <w:sz w:val="22"/>
          <w:szCs w:val="22"/>
        </w:rPr>
        <w:t>报价评分应在投标报价响应招标文件要求的基础上，取所有有效投标报价的算数平均值与次低价的算数平均值作为评标基准价，如有效投标报价的数量小于4个，则评标基准价为所有有效投标报价的算数平均值与最低价的算数平均值。</w:t>
      </w:r>
    </w:p>
    <w:p>
      <w:pPr>
        <w:pStyle w:val="28"/>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投标人的投标价等于评标基准价的得7</w:t>
      </w:r>
      <w:r>
        <w:rPr>
          <w:rFonts w:hAnsi="宋体" w:cs="Calibri"/>
          <w:sz w:val="22"/>
          <w:szCs w:val="22"/>
        </w:rPr>
        <w:t>0</w:t>
      </w:r>
      <w:r>
        <w:rPr>
          <w:rFonts w:hint="eastAsia" w:hAnsi="宋体" w:cs="Calibri"/>
          <w:sz w:val="22"/>
          <w:szCs w:val="22"/>
        </w:rPr>
        <w:t>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28"/>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28"/>
        <w:adjustRightInd w:val="0"/>
        <w:snapToGrid w:val="0"/>
        <w:spacing w:line="360" w:lineRule="exact"/>
        <w:ind w:firstLine="440" w:firstLineChars="200"/>
        <w:rPr>
          <w:rFonts w:hAnsi="宋体" w:cs="Calibri"/>
          <w:sz w:val="22"/>
          <w:szCs w:val="22"/>
        </w:rPr>
      </w:pPr>
      <w:r>
        <w:rPr>
          <w:rFonts w:hint="eastAsia" w:hAnsi="宋体" w:cs="Calibri"/>
          <w:sz w:val="22"/>
          <w:szCs w:val="22"/>
        </w:rPr>
        <w:t>2、资信及技术评分   0-30分</w:t>
      </w:r>
    </w:p>
    <w:p>
      <w:pPr>
        <w:pStyle w:val="28"/>
        <w:adjustRightInd w:val="0"/>
        <w:snapToGrid w:val="0"/>
        <w:spacing w:line="360" w:lineRule="exact"/>
        <w:ind w:firstLine="440" w:firstLineChars="200"/>
        <w:rPr>
          <w:rFonts w:hAnsi="宋体" w:cs="Calibri"/>
          <w:sz w:val="22"/>
          <w:szCs w:val="22"/>
        </w:rPr>
      </w:pPr>
      <w:r>
        <w:rPr>
          <w:rFonts w:hint="eastAsia" w:hAnsi="宋体" w:cs="Calibri"/>
          <w:sz w:val="22"/>
          <w:szCs w:val="22"/>
        </w:rPr>
        <w:t>该评分分值由评标委员会成员独立打分（具体分值设定详见下表），小数点后保留</w:t>
      </w:r>
      <w:r>
        <w:rPr>
          <w:rFonts w:hAnsi="宋体" w:cs="Calibri"/>
          <w:sz w:val="22"/>
          <w:szCs w:val="22"/>
        </w:rPr>
        <w:t>1</w:t>
      </w:r>
      <w:r>
        <w:rPr>
          <w:rFonts w:hint="eastAsia" w:hAnsi="宋体" w:cs="Calibri"/>
          <w:sz w:val="22"/>
          <w:szCs w:val="22"/>
        </w:rPr>
        <w:t>位小数。每个投标人的最终资信及技术得分为评标委员会打分的算术平均值（小数点后保留</w:t>
      </w:r>
      <w:r>
        <w:rPr>
          <w:rFonts w:hAnsi="宋体" w:cs="Calibri"/>
          <w:sz w:val="22"/>
          <w:szCs w:val="22"/>
        </w:rPr>
        <w:t>2</w:t>
      </w:r>
      <w:r>
        <w:rPr>
          <w:rFonts w:hint="eastAsia" w:hAnsi="宋体" w:cs="Calibri"/>
          <w:sz w:val="22"/>
          <w:szCs w:val="22"/>
        </w:rPr>
        <w:t>位，第三位四舍五入）。</w:t>
      </w:r>
    </w:p>
    <w:p>
      <w:pPr>
        <w:pStyle w:val="28"/>
        <w:adjustRightInd w:val="0"/>
        <w:snapToGrid w:val="0"/>
        <w:spacing w:line="360" w:lineRule="exact"/>
        <w:ind w:firstLine="440" w:firstLineChars="200"/>
        <w:rPr>
          <w:rFonts w:hAnsi="宋体" w:cs="Calibri"/>
          <w:sz w:val="22"/>
          <w:szCs w:val="22"/>
        </w:rPr>
      </w:pPr>
      <w:r>
        <w:rPr>
          <w:rFonts w:hint="eastAsia" w:hAnsi="宋体" w:cs="Calibri"/>
          <w:sz w:val="22"/>
          <w:szCs w:val="22"/>
        </w:rPr>
        <w:t>资信及技术评分分值设定标准</w:t>
      </w:r>
    </w:p>
    <w:tbl>
      <w:tblPr>
        <w:tblStyle w:val="49"/>
        <w:tblW w:w="94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98"/>
        <w:gridCol w:w="1105"/>
        <w:gridCol w:w="6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序号</w:t>
            </w:r>
          </w:p>
        </w:tc>
        <w:tc>
          <w:tcPr>
            <w:tcW w:w="1598"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firstLine="240"/>
              <w:jc w:val="center"/>
              <w:rPr>
                <w:rFonts w:ascii="宋体" w:hAnsi="宋体" w:eastAsia="宋体" w:cs="宋体"/>
                <w:sz w:val="21"/>
                <w:szCs w:val="21"/>
              </w:rPr>
            </w:pPr>
            <w:r>
              <w:rPr>
                <w:rFonts w:hint="eastAsia" w:ascii="宋体" w:hAnsi="宋体" w:eastAsia="宋体" w:cs="宋体"/>
                <w:sz w:val="21"/>
                <w:szCs w:val="21"/>
              </w:rPr>
              <w:t>项目</w:t>
            </w: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分值范围</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评分依据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704" w:type="dxa"/>
            <w:vMerge w:val="restart"/>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1</w:t>
            </w:r>
          </w:p>
        </w:tc>
        <w:tc>
          <w:tcPr>
            <w:tcW w:w="1598" w:type="dxa"/>
            <w:vMerge w:val="restart"/>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资信情况</w:t>
            </w:r>
          </w:p>
          <w:p>
            <w:pPr>
              <w:pStyle w:val="157"/>
              <w:snapToGrid w:val="0"/>
              <w:ind w:left="63" w:right="63"/>
              <w:jc w:val="center"/>
              <w:rPr>
                <w:rFonts w:ascii="宋体" w:hAnsi="宋体" w:eastAsia="宋体" w:cs="宋体"/>
                <w:sz w:val="21"/>
                <w:szCs w:val="21"/>
              </w:rPr>
            </w:pPr>
            <w:r>
              <w:rPr>
                <w:rFonts w:hint="eastAsia" w:ascii="宋体" w:hAnsi="宋体" w:eastAsia="宋体" w:cs="宋体"/>
                <w:sz w:val="21"/>
                <w:szCs w:val="21"/>
              </w:rPr>
              <w:t>（滿分7分）</w:t>
            </w: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w:t>
            </w:r>
            <w:r>
              <w:rPr>
                <w:rFonts w:ascii="宋体" w:hAnsi="宋体" w:eastAsia="宋体" w:cs="宋体"/>
                <w:sz w:val="21"/>
                <w:szCs w:val="21"/>
              </w:rPr>
              <w:t>1</w:t>
            </w:r>
            <w:r>
              <w:rPr>
                <w:rFonts w:hint="eastAsia" w:ascii="宋体" w:hAnsi="宋体" w:eastAsia="宋体" w:cs="宋体"/>
                <w:sz w:val="21"/>
                <w:szCs w:val="21"/>
              </w:rPr>
              <w:t>分</w:t>
            </w:r>
          </w:p>
        </w:tc>
        <w:tc>
          <w:tcPr>
            <w:tcW w:w="6014"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cs="宋体"/>
                <w:szCs w:val="21"/>
              </w:rPr>
            </w:pPr>
            <w:r>
              <w:rPr>
                <w:rFonts w:hint="eastAsia" w:ascii="宋体" w:hAnsi="宋体" w:eastAsia="宋体" w:cs="宋体"/>
                <w:szCs w:val="21"/>
              </w:rPr>
              <w:t>厂家具有ISO-14001环保体系认证证书的得1分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w:t>
            </w:r>
            <w:r>
              <w:rPr>
                <w:rFonts w:ascii="宋体" w:hAnsi="宋体" w:eastAsia="宋体" w:cs="宋体"/>
                <w:sz w:val="21"/>
                <w:szCs w:val="21"/>
              </w:rPr>
              <w:t>1</w:t>
            </w:r>
            <w:r>
              <w:rPr>
                <w:rFonts w:hint="eastAsia" w:ascii="宋体" w:hAnsi="宋体" w:eastAsia="宋体" w:cs="宋体"/>
                <w:sz w:val="21"/>
                <w:szCs w:val="21"/>
              </w:rPr>
              <w:t>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产品获得国家环保认证证书得1分（厂家提供复印件）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1" w:hRule="atLeast"/>
          <w:jc w:val="center"/>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～5分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以往类似项目经验0-5分；</w:t>
            </w:r>
          </w:p>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提供两年内合同金额20万（含）以上的阿克斯明斯特满铺地毯业绩，每一个项目得1分，得分合计不超过5分，需提供合同或中标通知书复印件并加盖投标人公章作为证明材料，否则不得分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704"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2</w:t>
            </w:r>
          </w:p>
        </w:tc>
        <w:tc>
          <w:tcPr>
            <w:tcW w:w="1598"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技术方案</w:t>
            </w:r>
          </w:p>
          <w:p>
            <w:pPr>
              <w:pStyle w:val="157"/>
              <w:snapToGrid w:val="0"/>
              <w:ind w:left="63" w:right="63"/>
              <w:jc w:val="center"/>
              <w:rPr>
                <w:rFonts w:ascii="宋体" w:hAnsi="宋体" w:eastAsia="宋体" w:cs="宋体"/>
                <w:sz w:val="21"/>
                <w:szCs w:val="21"/>
              </w:rPr>
            </w:pPr>
            <w:r>
              <w:rPr>
                <w:rFonts w:hint="eastAsia" w:ascii="宋体" w:hAnsi="宋体" w:eastAsia="宋体" w:cs="宋体"/>
                <w:sz w:val="21"/>
                <w:szCs w:val="21"/>
              </w:rPr>
              <w:t>（滿分12分）</w:t>
            </w:r>
          </w:p>
          <w:p>
            <w:pPr>
              <w:pStyle w:val="157"/>
              <w:adjustRightInd w:val="0"/>
              <w:snapToGrid w:val="0"/>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snapToGrid w:val="0"/>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～2分</w:t>
            </w:r>
          </w:p>
        </w:tc>
        <w:tc>
          <w:tcPr>
            <w:tcW w:w="60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rPr>
                <w:rFonts w:ascii="宋体" w:hAnsi="宋体" w:eastAsia="宋体" w:cs="宋体"/>
                <w:szCs w:val="21"/>
              </w:rPr>
            </w:pPr>
            <w:r>
              <w:rPr>
                <w:rFonts w:hint="eastAsia" w:ascii="宋体" w:hAnsi="宋体" w:eastAsia="宋体" w:cs="宋体"/>
                <w:szCs w:val="21"/>
              </w:rPr>
              <w:t>毯面绒高＞7MM的，每增加1MM得1分，合计不超过2分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704" w:type="dxa"/>
            <w:vMerge w:val="continue"/>
            <w:tcBorders>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left w:val="single" w:color="auto" w:sz="4" w:space="0"/>
              <w:right w:val="single" w:color="auto" w:sz="4" w:space="0"/>
            </w:tcBorders>
            <w:vAlign w:val="center"/>
          </w:tcPr>
          <w:p>
            <w:pPr>
              <w:pStyle w:val="157"/>
              <w:adjustRightInd w:val="0"/>
              <w:snapToGrid w:val="0"/>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～3分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地毯防水性能，横向比较打分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704" w:type="dxa"/>
            <w:vMerge w:val="continue"/>
            <w:tcBorders>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w:t>
            </w:r>
            <w:r>
              <w:rPr>
                <w:rFonts w:ascii="宋体" w:hAnsi="宋体" w:eastAsia="宋体" w:cs="宋体"/>
                <w:sz w:val="21"/>
                <w:szCs w:val="21"/>
              </w:rPr>
              <w:t>5</w:t>
            </w:r>
            <w:r>
              <w:rPr>
                <w:rFonts w:hint="eastAsia" w:ascii="宋体" w:hAnsi="宋体" w:eastAsia="宋体" w:cs="宋体"/>
                <w:sz w:val="21"/>
                <w:szCs w:val="21"/>
              </w:rPr>
              <w:t>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投标货物性能的符合性，即制造商提供的检测报告原件中所含内容（1材质、2抗静电、3阻燃性能、4有害物质释放量达到A级为环保型产品、5吸音性能）以上每具备一项得1分，满分5分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0" w:hRule="atLeast"/>
          <w:jc w:val="center"/>
        </w:trPr>
        <w:tc>
          <w:tcPr>
            <w:tcW w:w="704" w:type="dxa"/>
            <w:vMerge w:val="continue"/>
            <w:tcBorders>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～2分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使用的产品是否通过环境保护的产品认证CRI绿标加认证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9" w:hRule="atLeast"/>
          <w:jc w:val="center"/>
        </w:trPr>
        <w:tc>
          <w:tcPr>
            <w:tcW w:w="704"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3</w:t>
            </w:r>
          </w:p>
        </w:tc>
        <w:tc>
          <w:tcPr>
            <w:tcW w:w="1598"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样品质量</w:t>
            </w: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～5分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样品质量，横向比较打分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9" w:hRule="atLeast"/>
          <w:jc w:val="center"/>
        </w:trPr>
        <w:tc>
          <w:tcPr>
            <w:tcW w:w="704" w:type="dxa"/>
            <w:vMerge w:val="continue"/>
            <w:tcBorders>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0～3分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地毯样品配色花型与招标方样要求配色花型的一致性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4</w:t>
            </w:r>
          </w:p>
        </w:tc>
        <w:tc>
          <w:tcPr>
            <w:tcW w:w="1598"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服务承诺</w:t>
            </w: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～2分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依据投标文件所体现的“三包”、免费保修及售后服务措施和方案情况，横比较后进行评分,其中，质保年限0-1分、服务措施0-1分（包括售后回访、本地化服务等）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5</w:t>
            </w:r>
          </w:p>
        </w:tc>
        <w:tc>
          <w:tcPr>
            <w:tcW w:w="15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jc w:val="center"/>
              <w:rPr>
                <w:rFonts w:ascii="宋体" w:hAnsi="宋体" w:eastAsia="宋体" w:cs="宋体"/>
                <w:szCs w:val="21"/>
              </w:rPr>
            </w:pPr>
            <w:r>
              <w:rPr>
                <w:rFonts w:hint="eastAsia" w:ascii="宋体" w:hAnsi="宋体" w:eastAsia="宋体" w:cs="宋体"/>
                <w:szCs w:val="21"/>
              </w:rPr>
              <w:t>标书制作</w:t>
            </w:r>
          </w:p>
        </w:tc>
        <w:tc>
          <w:tcPr>
            <w:tcW w:w="1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rPr>
                <w:rFonts w:ascii="宋体" w:hAnsi="宋体" w:eastAsia="宋体" w:cs="宋体"/>
                <w:szCs w:val="21"/>
              </w:rPr>
            </w:pPr>
            <w:r>
              <w:rPr>
                <w:rFonts w:ascii="宋体" w:hAnsi="宋体" w:eastAsia="宋体" w:cs="宋体"/>
                <w:szCs w:val="21"/>
              </w:rPr>
              <w:t>0</w:t>
            </w:r>
            <w:r>
              <w:rPr>
                <w:rFonts w:hint="eastAsia" w:ascii="宋体" w:hAnsi="宋体" w:eastAsia="宋体" w:cs="宋体"/>
                <w:szCs w:val="21"/>
              </w:rPr>
              <w:t>～</w:t>
            </w:r>
            <w:r>
              <w:rPr>
                <w:rFonts w:ascii="宋体" w:hAnsi="宋体" w:eastAsia="宋体" w:cs="宋体"/>
                <w:szCs w:val="21"/>
              </w:rPr>
              <w:t>1</w:t>
            </w:r>
            <w:r>
              <w:rPr>
                <w:rFonts w:hint="eastAsia" w:ascii="宋体" w:hAnsi="宋体" w:eastAsia="宋体" w:cs="宋体"/>
                <w:szCs w:val="21"/>
              </w:rPr>
              <w:t>分</w:t>
            </w:r>
          </w:p>
        </w:tc>
        <w:tc>
          <w:tcPr>
            <w:tcW w:w="60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rPr>
                <w:rFonts w:ascii="宋体" w:hAnsi="宋体" w:eastAsia="宋体" w:cs="宋体"/>
                <w:szCs w:val="21"/>
              </w:rPr>
            </w:pPr>
            <w:r>
              <w:rPr>
                <w:rFonts w:hint="eastAsia" w:ascii="宋体" w:hAnsi="宋体" w:eastAsia="宋体" w:cs="宋体"/>
                <w:szCs w:val="21"/>
              </w:rPr>
              <w:t>各投标文件横向比较后酌情评分</w:t>
            </w:r>
          </w:p>
        </w:tc>
      </w:tr>
    </w:tbl>
    <w:p>
      <w:pPr>
        <w:pStyle w:val="28"/>
        <w:adjustRightInd w:val="0"/>
        <w:snapToGrid w:val="0"/>
        <w:spacing w:line="360" w:lineRule="exact"/>
        <w:ind w:firstLine="440" w:firstLineChars="200"/>
        <w:rPr>
          <w:rFonts w:hAnsi="宋体" w:cs="Calibri"/>
          <w:sz w:val="22"/>
          <w:szCs w:val="22"/>
        </w:rPr>
      </w:pPr>
    </w:p>
    <w:p>
      <w:pPr>
        <w:pStyle w:val="28"/>
        <w:spacing w:line="360" w:lineRule="exact"/>
        <w:rPr>
          <w:rFonts w:hAnsi="宋体" w:cs="Calibri"/>
          <w:b/>
          <w:sz w:val="22"/>
          <w:szCs w:val="22"/>
        </w:rPr>
      </w:pPr>
      <w:r>
        <w:rPr>
          <w:rFonts w:hAnsi="宋体" w:cs="Calibri"/>
          <w:b/>
          <w:sz w:val="22"/>
          <w:szCs w:val="22"/>
        </w:rPr>
        <w:t>3.4推荐中标候选人</w:t>
      </w:r>
    </w:p>
    <w:p>
      <w:pPr>
        <w:pStyle w:val="28"/>
        <w:adjustRightInd w:val="0"/>
        <w:snapToGrid w:val="0"/>
        <w:spacing w:line="360" w:lineRule="exact"/>
        <w:ind w:firstLine="440" w:firstLineChars="200"/>
        <w:rPr>
          <w:rFonts w:hAnsi="宋体" w:cs="Calibri"/>
          <w:sz w:val="22"/>
          <w:szCs w:val="22"/>
        </w:rPr>
      </w:pPr>
      <w:r>
        <w:rPr>
          <w:rFonts w:hAnsi="宋体" w:cs="Calibri"/>
          <w:sz w:val="22"/>
          <w:szCs w:val="22"/>
        </w:rPr>
        <w:t>3.4.1当有效投标文件大于等于二名时，评标委员会</w:t>
      </w:r>
      <w:r>
        <w:rPr>
          <w:rFonts w:hint="eastAsia" w:hAnsi="宋体" w:cs="Calibri"/>
          <w:sz w:val="22"/>
          <w:szCs w:val="22"/>
        </w:rPr>
        <w:t>得分最高、次高的投标人为中标候选人（如果得分相同则按投标人报价从低到高顺序推荐为中标候选人，如果投标报价也相同，则抽签决定）。</w:t>
      </w:r>
    </w:p>
    <w:p>
      <w:pPr>
        <w:pStyle w:val="28"/>
        <w:adjustRightInd w:val="0"/>
        <w:snapToGrid w:val="0"/>
        <w:spacing w:line="360" w:lineRule="exact"/>
        <w:ind w:firstLine="440" w:firstLineChars="200"/>
        <w:rPr>
          <w:rFonts w:hAnsi="宋体" w:cs="Calibri"/>
          <w:sz w:val="22"/>
          <w:szCs w:val="22"/>
        </w:rPr>
      </w:pPr>
      <w:r>
        <w:rPr>
          <w:rFonts w:hAnsi="宋体" w:cs="Calibri"/>
          <w:sz w:val="22"/>
          <w:szCs w:val="22"/>
        </w:rPr>
        <w:t>3.4.3当有效投标文件只有一名时，则由评标委员会确定是否推荐为中标候选人。</w:t>
      </w:r>
    </w:p>
    <w:p>
      <w:pPr>
        <w:pStyle w:val="28"/>
        <w:spacing w:line="360" w:lineRule="exact"/>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28"/>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28"/>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28"/>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w:t>
      </w:r>
      <w:r>
        <w:rPr>
          <w:rFonts w:hint="eastAsia" w:hAnsi="宋体" w:cs="Calibri"/>
          <w:sz w:val="22"/>
          <w:szCs w:val="22"/>
        </w:rPr>
        <w:t>第一</w:t>
      </w:r>
      <w:r>
        <w:rPr>
          <w:rFonts w:hAnsi="宋体" w:cs="Calibri"/>
          <w:sz w:val="22"/>
          <w:szCs w:val="22"/>
        </w:rPr>
        <w:t>中标候选人为中标人。</w:t>
      </w:r>
      <w:r>
        <w:rPr>
          <w:rFonts w:hint="eastAsia" w:hAnsi="宋体" w:cs="Calibri"/>
          <w:sz w:val="22"/>
          <w:szCs w:val="22"/>
        </w:rPr>
        <w:t>第一</w:t>
      </w:r>
      <w:r>
        <w:rPr>
          <w:rFonts w:hAnsi="宋体" w:cs="Calibri"/>
          <w:sz w:val="22"/>
          <w:szCs w:val="22"/>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8"/>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Ansi="宋体" w:cs="Calibri"/>
          <w:sz w:val="22"/>
          <w:szCs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pStyle w:val="28"/>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3</w:t>
      </w:r>
      <w:r>
        <w:rPr>
          <w:rFonts w:hAnsi="宋体" w:cs="Calibri"/>
          <w:sz w:val="22"/>
          <w:szCs w:val="22"/>
        </w:rPr>
        <w:t xml:space="preserve"> 如发生投诉争议等情况时，经查实中标候选人存在违法、违规行为，不符合中标条件，且该行为在评标时是无法发现和确认的，招标人可以在其他中标候选人中按照推荐的排序确定中标人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8"/>
        <w:adjustRightInd w:val="0"/>
        <w:snapToGrid w:val="0"/>
        <w:spacing w:line="360" w:lineRule="exact"/>
        <w:ind w:firstLine="442" w:firstLineChars="200"/>
        <w:rPr>
          <w:rFonts w:hAnsi="宋体" w:cs="Calibri"/>
          <w:b/>
          <w:sz w:val="22"/>
          <w:szCs w:val="22"/>
        </w:rPr>
      </w:pPr>
      <w:r>
        <w:rPr>
          <w:rFonts w:hint="eastAsia" w:hAnsi="宋体" w:cs="Calibri"/>
          <w:b/>
          <w:sz w:val="22"/>
          <w:szCs w:val="22"/>
        </w:rPr>
        <w:t>4.4招标人对评标、定标结果不负责解释。</w:t>
      </w:r>
    </w:p>
    <w:p>
      <w:pPr>
        <w:widowControl/>
        <w:jc w:val="left"/>
        <w:rPr>
          <w:rFonts w:ascii="Cambria" w:hAnsi="Cambria" w:eastAsia="黑体"/>
          <w:b/>
          <w:bCs/>
          <w:kern w:val="0"/>
          <w:sz w:val="32"/>
          <w:szCs w:val="32"/>
        </w:rPr>
      </w:pPr>
      <w:r>
        <w:br w:type="page"/>
      </w:r>
    </w:p>
    <w:p>
      <w:pPr>
        <w:pStyle w:val="42"/>
      </w:pPr>
      <w:bookmarkStart w:id="77" w:name="_Toc321925457"/>
      <w:r>
        <w:t>第</w:t>
      </w:r>
      <w:r>
        <w:rPr>
          <w:rFonts w:hint="eastAsia"/>
        </w:rPr>
        <w:t>六</w:t>
      </w:r>
      <w:r>
        <w:t>章  投标文件格式</w:t>
      </w:r>
      <w:bookmarkEnd w:id="76"/>
      <w:bookmarkEnd w:id="77"/>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一、</w:t>
      </w:r>
      <w:r>
        <w:rPr>
          <w:rFonts w:ascii="宋体" w:hAnsi="宋体" w:cs="Calibri"/>
          <w:sz w:val="22"/>
        </w:rPr>
        <w:t>投标函；</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二、</w:t>
      </w:r>
      <w:r>
        <w:rPr>
          <w:rFonts w:ascii="宋体" w:hAnsi="宋体" w:cs="Calibri"/>
          <w:color w:val="000000"/>
          <w:sz w:val="22"/>
        </w:rPr>
        <w:t>法定代表人资格证明书；</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三、</w:t>
      </w:r>
      <w:r>
        <w:rPr>
          <w:rFonts w:ascii="宋体" w:hAnsi="宋体" w:cs="Calibri"/>
          <w:color w:val="000000"/>
          <w:sz w:val="22"/>
        </w:rPr>
        <w:t>授权委托书；</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四、</w:t>
      </w:r>
      <w:r>
        <w:rPr>
          <w:rFonts w:ascii="宋体" w:hAnsi="宋体" w:cs="Calibri"/>
          <w:color w:val="000000"/>
          <w:sz w:val="22"/>
        </w:rPr>
        <w:t>投标报价表；</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五、</w:t>
      </w:r>
      <w:r>
        <w:rPr>
          <w:rFonts w:ascii="宋体" w:hAnsi="宋体" w:cs="Calibri"/>
          <w:sz w:val="22"/>
        </w:rPr>
        <w:t>投标人资格证明文件：</w:t>
      </w:r>
    </w:p>
    <w:p>
      <w:pPr>
        <w:adjustRightInd w:val="0"/>
        <w:snapToGrid w:val="0"/>
        <w:spacing w:line="400" w:lineRule="exact"/>
        <w:ind w:firstLine="440" w:firstLineChars="200"/>
        <w:rPr>
          <w:rFonts w:ascii="宋体" w:hAnsi="宋体" w:cs="Calibri"/>
          <w:sz w:val="22"/>
        </w:rPr>
      </w:pPr>
      <w:r>
        <w:rPr>
          <w:rFonts w:ascii="宋体" w:hAnsi="宋体" w:cs="Calibri"/>
          <w:sz w:val="22"/>
        </w:rPr>
        <w:t>（1）</w:t>
      </w:r>
      <w:r>
        <w:rPr>
          <w:rFonts w:ascii="宋体" w:hAnsi="宋体" w:cs="Calibri"/>
          <w:color w:val="000000"/>
          <w:sz w:val="22"/>
        </w:rPr>
        <w:t>投标人一般情况</w:t>
      </w:r>
      <w:r>
        <w:rPr>
          <w:rFonts w:hint="eastAsia" w:ascii="宋体" w:hAnsi="宋体" w:cs="Calibri"/>
          <w:color w:val="000000"/>
          <w:sz w:val="22"/>
        </w:rPr>
        <w:t>及</w:t>
      </w:r>
      <w:r>
        <w:rPr>
          <w:rFonts w:ascii="宋体" w:hAnsi="宋体" w:cs="Calibri"/>
          <w:color w:val="000000"/>
          <w:sz w:val="22"/>
        </w:rPr>
        <w:t>有关证明投标人法律地位的文件</w:t>
      </w: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djustRightInd w:val="0"/>
        <w:snapToGrid w:val="0"/>
        <w:spacing w:line="400" w:lineRule="exact"/>
        <w:ind w:firstLine="440" w:firstLineChars="200"/>
        <w:rPr>
          <w:rFonts w:ascii="宋体" w:hAnsi="宋体" w:cs="Arial"/>
          <w:kern w:val="0"/>
          <w:sz w:val="22"/>
        </w:rPr>
      </w:pPr>
      <w:r>
        <w:rPr>
          <w:rFonts w:hint="eastAsia" w:ascii="宋体" w:hAnsi="宋体" w:cs="Calibri"/>
          <w:sz w:val="22"/>
        </w:rPr>
        <w:t>（2）</w:t>
      </w:r>
      <w:r>
        <w:rPr>
          <w:rFonts w:hint="eastAsia" w:ascii="宋体" w:hAnsi="宋体" w:cs="宋体"/>
          <w:sz w:val="22"/>
        </w:rPr>
        <w:t>制造商资格声明</w:t>
      </w:r>
      <w:r>
        <w:rPr>
          <w:rFonts w:hint="eastAsia" w:ascii="宋体" w:hAnsi="宋体" w:cs="Arial"/>
          <w:kern w:val="0"/>
          <w:sz w:val="22"/>
        </w:rPr>
        <w:t>。</w:t>
      </w:r>
    </w:p>
    <w:p>
      <w:pPr>
        <w:adjustRightInd w:val="0"/>
        <w:snapToGrid w:val="0"/>
        <w:spacing w:line="400" w:lineRule="exact"/>
        <w:ind w:firstLine="440" w:firstLineChars="200"/>
        <w:rPr>
          <w:rFonts w:ascii="宋体" w:hAnsi="宋体" w:cs="Arial"/>
          <w:kern w:val="0"/>
          <w:sz w:val="22"/>
        </w:rPr>
      </w:pPr>
      <w:r>
        <w:rPr>
          <w:rFonts w:hint="eastAsia" w:ascii="宋体" w:hAnsi="宋体" w:cs="Arial"/>
          <w:kern w:val="0"/>
          <w:sz w:val="22"/>
        </w:rPr>
        <w:t>（3）</w:t>
      </w:r>
      <w:r>
        <w:rPr>
          <w:rFonts w:ascii="宋体" w:hAnsi="宋体" w:cs="Calibri"/>
          <w:color w:val="000000"/>
          <w:sz w:val="22"/>
        </w:rPr>
        <w:t>设备制造商的授权书</w:t>
      </w:r>
      <w:r>
        <w:rPr>
          <w:rFonts w:hint="eastAsia" w:ascii="宋体" w:hAnsi="宋体" w:cs="Calibri"/>
          <w:color w:val="000000"/>
          <w:sz w:val="22"/>
        </w:rPr>
        <w:t>（代理商投标时提供）</w:t>
      </w:r>
    </w:p>
    <w:p>
      <w:pPr>
        <w:adjustRightInd w:val="0"/>
        <w:snapToGrid w:val="0"/>
        <w:spacing w:line="400" w:lineRule="exact"/>
        <w:ind w:firstLine="440" w:firstLineChars="200"/>
        <w:rPr>
          <w:rFonts w:ascii="宋体" w:hAnsi="宋体" w:cs="Calibri"/>
          <w:sz w:val="22"/>
        </w:rPr>
      </w:pPr>
      <w:r>
        <w:rPr>
          <w:rFonts w:hint="eastAsia" w:ascii="宋体" w:hAnsi="宋体" w:cs="Arial"/>
          <w:kern w:val="0"/>
          <w:sz w:val="22"/>
        </w:rPr>
        <w:t>（4）</w:t>
      </w:r>
      <w:r>
        <w:rPr>
          <w:rFonts w:hint="eastAsia" w:ascii="宋体" w:hAnsi="宋体" w:cs="Calibri"/>
          <w:sz w:val="22"/>
        </w:rPr>
        <w:t>投标产品近三年的销售业绩一览表（附业绩的合同）。</w:t>
      </w:r>
    </w:p>
    <w:p>
      <w:pPr>
        <w:adjustRightInd w:val="0"/>
        <w:snapToGrid w:val="0"/>
        <w:spacing w:line="400" w:lineRule="exact"/>
        <w:ind w:firstLine="440" w:firstLineChars="200"/>
        <w:rPr>
          <w:rFonts w:ascii="宋体" w:hAnsi="宋体" w:cs="宋体"/>
          <w:sz w:val="22"/>
        </w:rPr>
      </w:pPr>
      <w:r>
        <w:rPr>
          <w:rFonts w:hint="eastAsia" w:ascii="宋体" w:hAnsi="宋体" w:cs="Calibri"/>
          <w:sz w:val="22"/>
        </w:rPr>
        <w:t>六、</w:t>
      </w:r>
      <w:r>
        <w:rPr>
          <w:rFonts w:hint="eastAsia" w:ascii="宋体" w:hAnsi="宋体" w:cs="宋体"/>
          <w:sz w:val="22"/>
        </w:rPr>
        <w:t>技术规格偏离表；</w:t>
      </w:r>
    </w:p>
    <w:p>
      <w:pPr>
        <w:adjustRightInd w:val="0"/>
        <w:snapToGrid w:val="0"/>
        <w:spacing w:line="400" w:lineRule="exact"/>
        <w:ind w:firstLine="440" w:firstLineChars="200"/>
        <w:rPr>
          <w:rFonts w:ascii="宋体" w:hAnsi="宋体" w:cs="Calibri"/>
          <w:sz w:val="22"/>
        </w:rPr>
      </w:pPr>
      <w:r>
        <w:rPr>
          <w:rFonts w:hint="eastAsia" w:ascii="宋体" w:hAnsi="宋体" w:cs="宋体"/>
          <w:sz w:val="22"/>
        </w:rPr>
        <w:t>七、商务条款响应偏离表；</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八、系统设备供货范围（包括设备数量、型号规格、产地、品牌），进口零部件详细清单（需说明产地、品牌）；</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九、技术参数、结构及性能特点等产品技术规格书；</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十、主要原材料及部件性能和生产厂家；</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十一、产品制造、安装、验收标准和验收方法；</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十二、现场指导、调试；</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十三、</w:t>
      </w:r>
      <w:r>
        <w:rPr>
          <w:rFonts w:ascii="宋体" w:hAnsi="宋体" w:cs="宋体"/>
          <w:sz w:val="22"/>
        </w:rPr>
        <w:t>产品的技术服务和售后服务的内容、措施、承诺</w:t>
      </w:r>
      <w:r>
        <w:rPr>
          <w:rFonts w:hint="eastAsia" w:ascii="宋体" w:hAnsi="宋体" w:cs="宋体"/>
          <w:sz w:val="22"/>
        </w:rPr>
        <w:t>；</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十四、提供详细的培训计划，包括培训内容、培训时间、培训人数等；</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十五、关于质量保证期的说明；</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十六、优惠条件：投标人承诺给予用户的其他优惠条款，包括付款条件、培训服务、质量保证期等方面的优惠；</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十七、</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djustRightInd w:val="0"/>
        <w:snapToGrid w:val="0"/>
        <w:spacing w:line="400" w:lineRule="exact"/>
        <w:ind w:firstLine="440" w:firstLineChars="200"/>
        <w:rPr>
          <w:rFonts w:ascii="宋体" w:hAnsi="宋体" w:cs="Calibri"/>
          <w:color w:val="000000"/>
          <w:sz w:val="22"/>
        </w:rPr>
      </w:pPr>
    </w:p>
    <w:p>
      <w:pPr>
        <w:rPr>
          <w:rFonts w:ascii="宋体" w:hAnsi="宋体" w:cs="Calibri"/>
          <w:sz w:val="22"/>
        </w:rPr>
      </w:pPr>
    </w:p>
    <w:p>
      <w:pPr>
        <w:spacing w:line="440" w:lineRule="exact"/>
        <w:rPr>
          <w:rFonts w:ascii="宋体" w:hAnsi="宋体" w:cs="Calibri"/>
          <w:color w:val="000000"/>
          <w:sz w:val="22"/>
        </w:rPr>
      </w:pPr>
    </w:p>
    <w:p>
      <w:pPr>
        <w:widowControl/>
        <w:jc w:val="left"/>
        <w:rPr>
          <w:rFonts w:ascii="宋体" w:hAnsi="宋体" w:cs="Calibri"/>
          <w:color w:val="000000"/>
          <w:sz w:val="22"/>
        </w:rPr>
      </w:pPr>
      <w:r>
        <w:rPr>
          <w:rFonts w:hint="eastAsia" w:ascii="宋体" w:hAnsi="宋体" w:cs="Calibri"/>
          <w:color w:val="000000"/>
          <w:sz w:val="22"/>
        </w:rPr>
        <w:t>注：未提供格式的由投标人自行拟定格式。</w:t>
      </w:r>
    </w:p>
    <w:p>
      <w:pPr>
        <w:widowControl/>
        <w:jc w:val="left"/>
        <w:rPr>
          <w:rFonts w:ascii="宋体" w:hAnsi="宋体" w:cs="Calibri"/>
          <w:color w:val="000000"/>
        </w:rPr>
      </w:pPr>
      <w:r>
        <w:rPr>
          <w:rFonts w:ascii="宋体" w:hAnsi="宋体" w:cs="Calibri"/>
          <w:color w:val="000000"/>
        </w:rPr>
        <w:br w:type="page"/>
      </w:r>
    </w:p>
    <w:p>
      <w:pPr>
        <w:spacing w:line="440" w:lineRule="exact"/>
        <w:ind w:right="420"/>
        <w:jc w:val="right"/>
        <w:rPr>
          <w:rFonts w:cs="Calibri"/>
          <w:color w:val="000000"/>
        </w:rPr>
      </w:pPr>
      <w:r>
        <w:rPr>
          <w:rFonts w:cs="Calibri"/>
          <w:color w:val="000000"/>
        </w:rPr>
        <w:t>正本（或副本）</w:t>
      </w:r>
    </w:p>
    <w:p>
      <w:pPr>
        <w:spacing w:line="440" w:lineRule="exact"/>
        <w:rPr>
          <w:rFonts w:cs="Calibri"/>
          <w:color w:val="000000"/>
          <w:u w:val="single"/>
        </w:rPr>
      </w:pPr>
      <w:bookmarkStart w:id="78" w:name="_Toc171421958"/>
      <w:r>
        <w:rPr>
          <w:rFonts w:cs="Calibri"/>
          <w:color w:val="000000"/>
        </w:rPr>
        <w:t>封面</w:t>
      </w:r>
      <w:bookmarkEnd w:id="78"/>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杭州萧山国际机场</w:t>
      </w:r>
      <w:r>
        <w:rPr>
          <w:rFonts w:hint="eastAsia" w:eastAsia="黑体" w:cs="Calibri"/>
          <w:b/>
          <w:sz w:val="44"/>
          <w:szCs w:val="44"/>
          <w:u w:val="single"/>
        </w:rPr>
        <w:t xml:space="preserve">         </w:t>
      </w:r>
      <w:r>
        <w:rPr>
          <w:rFonts w:hint="eastAsia" w:eastAsia="黑体" w:cs="Calibri"/>
          <w:b/>
          <w:sz w:val="44"/>
          <w:szCs w:val="44"/>
        </w:rPr>
        <w:t>采购</w:t>
      </w:r>
      <w:r>
        <w:rPr>
          <w:rFonts w:eastAsia="黑体" w:cs="Calibri"/>
          <w:b/>
          <w:sz w:val="44"/>
          <w:szCs w:val="44"/>
        </w:rPr>
        <w:t>项目</w:t>
      </w:r>
    </w:p>
    <w:p>
      <w:pPr>
        <w:spacing w:line="440" w:lineRule="exact"/>
        <w:rPr>
          <w:rFonts w:cs="Calibri"/>
          <w:color w:val="000000"/>
          <w:sz w:val="36"/>
          <w:szCs w:val="36"/>
        </w:rPr>
      </w:pPr>
    </w:p>
    <w:p>
      <w:pPr>
        <w:spacing w:line="440" w:lineRule="exact"/>
        <w:ind w:firstLine="420" w:firstLineChars="200"/>
        <w:jc w:val="center"/>
        <w:rPr>
          <w:rFonts w:cs="Calibri"/>
          <w:color w:val="000000"/>
        </w:rPr>
      </w:pPr>
    </w:p>
    <w:p>
      <w:pPr>
        <w:spacing w:line="440" w:lineRule="exact"/>
        <w:rPr>
          <w:rFonts w:cs="Calibri"/>
          <w:color w:val="000000"/>
          <w:sz w:val="44"/>
          <w:szCs w:val="44"/>
        </w:rPr>
      </w:pPr>
    </w:p>
    <w:p>
      <w:pPr>
        <w:spacing w:before="480" w:beforeLines="200" w:after="48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20" w:firstLineChars="200"/>
        <w:jc w:val="center"/>
        <w:rPr>
          <w:rFonts w:cs="Calibri"/>
          <w:color w:val="000000"/>
        </w:rPr>
      </w:pPr>
    </w:p>
    <w:p>
      <w:pPr>
        <w:spacing w:line="440" w:lineRule="exact"/>
        <w:ind w:firstLine="420" w:firstLineChars="200"/>
        <w:rPr>
          <w:rFonts w:cs="Calibri"/>
          <w:color w:val="000000"/>
        </w:rPr>
      </w:pPr>
      <w:r>
        <w:rPr>
          <w:rFonts w:cs="Calibri"/>
          <w:color w:val="000000"/>
        </w:rPr>
        <w:t xml:space="preserve">                  </w:t>
      </w: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widowControl/>
        <w:jc w:val="left"/>
        <w:rPr>
          <w:rFonts w:ascii="宋体" w:hAnsi="宋体" w:cs="宋体"/>
          <w:b/>
          <w:szCs w:val="21"/>
        </w:rPr>
      </w:pPr>
    </w:p>
    <w:p>
      <w:pPr>
        <w:widowControl/>
        <w:jc w:val="left"/>
        <w:rPr>
          <w:rFonts w:ascii="宋体" w:hAnsi="宋体" w:cs="宋体"/>
          <w:b/>
          <w:szCs w:val="21"/>
        </w:rPr>
      </w:pPr>
      <w:r>
        <w:rPr>
          <w:rFonts w:ascii="宋体" w:hAnsi="宋体" w:cs="宋体"/>
          <w:b/>
          <w:szCs w:val="21"/>
        </w:rPr>
        <w:br w:type="page"/>
      </w:r>
    </w:p>
    <w:p>
      <w:pPr>
        <w:spacing w:line="360" w:lineRule="auto"/>
        <w:jc w:val="left"/>
        <w:rPr>
          <w:rFonts w:ascii="宋体" w:hAnsi="宋体" w:cs="宋体"/>
          <w:b/>
          <w:szCs w:val="21"/>
        </w:rPr>
      </w:pPr>
    </w:p>
    <w:p>
      <w:pPr>
        <w:spacing w:line="360" w:lineRule="auto"/>
        <w:jc w:val="center"/>
        <w:rPr>
          <w:rFonts w:ascii="宋体" w:hAnsi="宋体" w:cs="宋体"/>
          <w:b/>
          <w:sz w:val="32"/>
          <w:szCs w:val="32"/>
        </w:rPr>
      </w:pPr>
      <w:r>
        <w:rPr>
          <w:rFonts w:hint="eastAsia" w:ascii="宋体" w:hAnsi="宋体" w:cs="宋体"/>
          <w:b/>
          <w:sz w:val="32"/>
          <w:szCs w:val="32"/>
        </w:rPr>
        <w:t>一、投标函</w:t>
      </w:r>
    </w:p>
    <w:p>
      <w:pPr>
        <w:spacing w:line="440" w:lineRule="exact"/>
        <w:rPr>
          <w:rFonts w:ascii="宋体" w:hAnsi="宋体"/>
          <w:sz w:val="22"/>
        </w:rPr>
      </w:pPr>
      <w:r>
        <w:rPr>
          <w:rFonts w:ascii="宋体" w:hAnsi="宋体"/>
          <w:sz w:val="22"/>
        </w:rPr>
        <w:t>致：</w:t>
      </w:r>
      <w:r>
        <w:rPr>
          <w:rFonts w:hint="eastAsia" w:ascii="宋体" w:hAnsi="宋体"/>
          <w:sz w:val="22"/>
        </w:rPr>
        <w:t>杭州萧山国际机场</w:t>
      </w:r>
      <w:r>
        <w:rPr>
          <w:rFonts w:ascii="宋体" w:hAnsi="宋体"/>
          <w:sz w:val="22"/>
        </w:rPr>
        <w:t>有限公司</w:t>
      </w:r>
    </w:p>
    <w:p>
      <w:pPr>
        <w:overflowPunct w:val="0"/>
        <w:autoSpaceDE w:val="0"/>
        <w:autoSpaceDN w:val="0"/>
        <w:spacing w:line="440" w:lineRule="exact"/>
        <w:ind w:firstLine="440" w:firstLineChars="200"/>
        <w:rPr>
          <w:rFonts w:ascii="宋体" w:hAnsi="宋体"/>
          <w:sz w:val="22"/>
        </w:rPr>
      </w:pPr>
      <w:r>
        <w:rPr>
          <w:rFonts w:ascii="宋体" w:hAnsi="宋体"/>
          <w:sz w:val="22"/>
        </w:rPr>
        <w:t>根据贵方杭州萧山国际机场</w:t>
      </w:r>
      <w:r>
        <w:rPr>
          <w:rFonts w:hint="eastAsia" w:ascii="宋体" w:hAnsi="宋体"/>
          <w:sz w:val="22"/>
          <w:u w:val="single"/>
        </w:rPr>
        <w:t xml:space="preserve">             </w:t>
      </w:r>
      <w:r>
        <w:rPr>
          <w:rFonts w:ascii="宋体" w:hAnsi="宋体"/>
          <w:sz w:val="22"/>
        </w:rPr>
        <w:t>采购项</w:t>
      </w:r>
      <w:r>
        <w:rPr>
          <w:rFonts w:hint="eastAsia" w:ascii="宋体" w:hAnsi="宋体"/>
          <w:sz w:val="22"/>
        </w:rPr>
        <w:t>目</w:t>
      </w:r>
      <w:r>
        <w:rPr>
          <w:rFonts w:ascii="宋体" w:hAnsi="宋体"/>
          <w:sz w:val="22"/>
        </w:rPr>
        <w:t>的</w:t>
      </w:r>
      <w:r>
        <w:rPr>
          <w:rFonts w:hint="eastAsia" w:ascii="宋体" w:hAnsi="宋体"/>
          <w:sz w:val="22"/>
        </w:rPr>
        <w:t>招标文件</w:t>
      </w:r>
      <w:r>
        <w:rPr>
          <w:rFonts w:ascii="宋体" w:hAnsi="宋体"/>
          <w:sz w:val="22"/>
        </w:rPr>
        <w:t>，授权代表</w:t>
      </w:r>
      <w:r>
        <w:rPr>
          <w:rFonts w:ascii="宋体" w:hAnsi="宋体" w:cs="Arial"/>
          <w:sz w:val="22"/>
          <w:u w:val="single"/>
        </w:rPr>
        <w:t xml:space="preserve">        </w:t>
      </w:r>
      <w:r>
        <w:rPr>
          <w:rFonts w:ascii="宋体" w:hAnsi="宋体"/>
          <w:sz w:val="22"/>
        </w:rPr>
        <w:t>(全名、职务)经正式授权</w:t>
      </w:r>
      <w:r>
        <w:rPr>
          <w:rFonts w:hint="eastAsia" w:ascii="宋体" w:hAnsi="宋体"/>
          <w:sz w:val="22"/>
        </w:rPr>
        <w:t>，</w:t>
      </w:r>
      <w:r>
        <w:rPr>
          <w:rFonts w:ascii="宋体" w:hAnsi="宋体"/>
          <w:sz w:val="22"/>
        </w:rPr>
        <w:t>代表投标人</w:t>
      </w:r>
      <w:r>
        <w:rPr>
          <w:rFonts w:ascii="宋体" w:hAnsi="宋体" w:cs="Arial"/>
          <w:sz w:val="22"/>
          <w:u w:val="single"/>
        </w:rPr>
        <w:t xml:space="preserve">                    </w:t>
      </w:r>
      <w:r>
        <w:rPr>
          <w:rFonts w:ascii="宋体" w:hAnsi="宋体"/>
          <w:sz w:val="22"/>
        </w:rPr>
        <w:t>(投标人名称、地址)递交下述文件正本一份</w:t>
      </w:r>
      <w:r>
        <w:rPr>
          <w:rFonts w:hint="eastAsia" w:ascii="宋体" w:hAnsi="宋体"/>
          <w:sz w:val="22"/>
        </w:rPr>
        <w:t>、</w:t>
      </w:r>
      <w:r>
        <w:rPr>
          <w:rFonts w:ascii="宋体" w:hAnsi="宋体"/>
          <w:sz w:val="22"/>
        </w:rPr>
        <w:t>副本</w:t>
      </w:r>
      <w:r>
        <w:rPr>
          <w:rFonts w:hint="eastAsia" w:ascii="宋体" w:hAnsi="宋体"/>
          <w:sz w:val="22"/>
        </w:rPr>
        <w:t>二</w:t>
      </w:r>
      <w:r>
        <w:rPr>
          <w:rFonts w:ascii="宋体" w:hAnsi="宋体"/>
          <w:sz w:val="22"/>
        </w:rPr>
        <w:t>份。</w:t>
      </w:r>
    </w:p>
    <w:p>
      <w:pPr>
        <w:overflowPunct w:val="0"/>
        <w:autoSpaceDE w:val="0"/>
        <w:autoSpaceDN w:val="0"/>
        <w:spacing w:line="440" w:lineRule="exact"/>
        <w:ind w:firstLine="440" w:firstLineChars="200"/>
        <w:rPr>
          <w:rFonts w:ascii="宋体" w:hAnsi="宋体" w:cs="Arial"/>
          <w:sz w:val="22"/>
        </w:rPr>
      </w:pPr>
      <w:r>
        <w:rPr>
          <w:rFonts w:ascii="宋体" w:hAnsi="宋体" w:cs="Arial"/>
          <w:sz w:val="22"/>
        </w:rPr>
        <w:t>据此函，本授权代表宣布同意如下：</w:t>
      </w:r>
    </w:p>
    <w:p>
      <w:pPr>
        <w:numPr>
          <w:ilvl w:val="0"/>
          <w:numId w:val="6"/>
        </w:numPr>
        <w:tabs>
          <w:tab w:val="left" w:pos="840"/>
        </w:tabs>
        <w:overflowPunct w:val="0"/>
        <w:autoSpaceDE w:val="0"/>
        <w:autoSpaceDN w:val="0"/>
        <w:spacing w:line="440" w:lineRule="exact"/>
        <w:rPr>
          <w:rFonts w:ascii="宋体" w:hAnsi="宋体"/>
          <w:sz w:val="22"/>
        </w:rPr>
      </w:pPr>
      <w:r>
        <w:rPr>
          <w:rFonts w:ascii="宋体" w:hAnsi="宋体"/>
          <w:sz w:val="22"/>
        </w:rPr>
        <w:t>所投标报价汇总表中规定的应提供的货物和服务，投标总价为人民币：</w:t>
      </w:r>
    </w:p>
    <w:p>
      <w:pPr>
        <w:overflowPunct w:val="0"/>
        <w:autoSpaceDE w:val="0"/>
        <w:autoSpaceDN w:val="0"/>
        <w:spacing w:line="440" w:lineRule="exact"/>
        <w:ind w:left="416" w:leftChars="198" w:firstLine="440" w:firstLineChars="200"/>
        <w:rPr>
          <w:rFonts w:ascii="宋体" w:hAnsi="宋体"/>
          <w:sz w:val="22"/>
        </w:rPr>
      </w:pPr>
      <w:r>
        <w:rPr>
          <w:rFonts w:ascii="宋体" w:hAnsi="宋体"/>
          <w:sz w:val="22"/>
        </w:rPr>
        <w:t>(大写)</w:t>
      </w:r>
      <w:r>
        <w:rPr>
          <w:rFonts w:hint="eastAsia" w:ascii="宋体" w:hAnsi="宋体"/>
          <w:sz w:val="22"/>
          <w:u w:val="single"/>
        </w:rPr>
        <w:t xml:space="preserve">                   </w:t>
      </w:r>
      <w:r>
        <w:rPr>
          <w:rFonts w:ascii="宋体" w:hAnsi="宋体"/>
          <w:sz w:val="22"/>
        </w:rPr>
        <w:t>(小写)</w:t>
      </w:r>
      <w:r>
        <w:rPr>
          <w:rFonts w:ascii="宋体" w:hAnsi="宋体"/>
          <w:sz w:val="22"/>
          <w:u w:val="single"/>
        </w:rPr>
        <w:t xml:space="preserve">             </w:t>
      </w:r>
      <w:r>
        <w:rPr>
          <w:rFonts w:ascii="宋体" w:hAnsi="宋体"/>
          <w:sz w:val="22"/>
        </w:rPr>
        <w:t>。</w:t>
      </w:r>
    </w:p>
    <w:p>
      <w:pPr>
        <w:overflowPunct w:val="0"/>
        <w:autoSpaceDE w:val="0"/>
        <w:autoSpaceDN w:val="0"/>
        <w:spacing w:line="440" w:lineRule="exact"/>
        <w:ind w:left="416" w:leftChars="198" w:firstLine="440" w:firstLineChars="200"/>
        <w:rPr>
          <w:rFonts w:ascii="宋体" w:hAnsi="宋体"/>
          <w:sz w:val="22"/>
        </w:rPr>
      </w:pPr>
      <w:r>
        <w:rPr>
          <w:rFonts w:hint="eastAsia" w:ascii="宋体" w:hAnsi="宋体"/>
          <w:sz w:val="22"/>
        </w:rPr>
        <w:t>供货期：合同签订后</w:t>
      </w:r>
      <w:r>
        <w:rPr>
          <w:rFonts w:hint="eastAsia" w:ascii="宋体" w:hAnsi="宋体"/>
          <w:sz w:val="22"/>
          <w:u w:val="single"/>
        </w:rPr>
        <w:t xml:space="preserve">      </w:t>
      </w:r>
      <w:r>
        <w:rPr>
          <w:rFonts w:hint="eastAsia" w:ascii="宋体" w:hAnsi="宋体"/>
          <w:sz w:val="22"/>
        </w:rPr>
        <w:t>日历天、投标品牌：</w:t>
      </w:r>
      <w:r>
        <w:rPr>
          <w:rFonts w:hint="eastAsia" w:ascii="宋体" w:hAnsi="宋体"/>
          <w:sz w:val="22"/>
          <w:u w:val="single"/>
        </w:rPr>
        <w:t xml:space="preserve">        </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投标人将按投标文件的规定履行合同责任和义务。</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投标人已详细审查全部招标文件包括澄清函和修改文件(如果有)、所有已提供的资料以及有关附件，</w:t>
      </w:r>
      <w:r>
        <w:rPr>
          <w:rFonts w:hint="eastAsia"/>
          <w:sz w:val="22"/>
        </w:rPr>
        <w:t>投标人已完全理解上述文件的全部内容，并放弃提出任何误解或不明作为抗辩的权利</w:t>
      </w:r>
      <w:r>
        <w:rPr>
          <w:rFonts w:ascii="宋体" w:hAnsi="宋体"/>
          <w:sz w:val="22"/>
        </w:rPr>
        <w:t>。</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本投标的投标有效期为自</w:t>
      </w:r>
      <w:r>
        <w:rPr>
          <w:rFonts w:hint="eastAsia" w:ascii="宋体" w:hAnsi="宋体"/>
          <w:sz w:val="22"/>
        </w:rPr>
        <w:t>投标截止</w:t>
      </w:r>
      <w:r>
        <w:rPr>
          <w:rFonts w:ascii="宋体" w:hAnsi="宋体"/>
          <w:sz w:val="22"/>
        </w:rPr>
        <w:t>之日起</w:t>
      </w:r>
      <w:r>
        <w:rPr>
          <w:rFonts w:hint="eastAsia" w:ascii="宋体" w:hAnsi="宋体"/>
          <w:sz w:val="22"/>
        </w:rPr>
        <w:t>120</w:t>
      </w:r>
      <w:r>
        <w:rPr>
          <w:rFonts w:ascii="宋体" w:hAnsi="宋体"/>
          <w:sz w:val="22"/>
        </w:rPr>
        <w:t>日</w:t>
      </w:r>
      <w:r>
        <w:rPr>
          <w:rFonts w:hint="eastAsia" w:ascii="宋体" w:hAnsi="宋体"/>
          <w:sz w:val="22"/>
        </w:rPr>
        <w:t>内</w:t>
      </w:r>
      <w:r>
        <w:rPr>
          <w:rFonts w:ascii="宋体" w:hAnsi="宋体"/>
          <w:sz w:val="22"/>
        </w:rPr>
        <w:t>。</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投标人完全清楚并理解在投标有效期期满之前撤回投标，招标人有权</w:t>
      </w:r>
      <w:r>
        <w:rPr>
          <w:rFonts w:hint="eastAsia" w:ascii="宋体" w:hAnsi="宋体" w:cs="宋体"/>
          <w:sz w:val="22"/>
        </w:rPr>
        <w:t>不予退还</w:t>
      </w:r>
      <w:r>
        <w:rPr>
          <w:rFonts w:ascii="宋体" w:hAnsi="宋体"/>
          <w:sz w:val="22"/>
        </w:rPr>
        <w:t>投标人的</w:t>
      </w:r>
      <w:r>
        <w:rPr>
          <w:rFonts w:hint="eastAsia" w:ascii="宋体" w:hAnsi="宋体"/>
          <w:sz w:val="22"/>
        </w:rPr>
        <w:t>投标保证金及银行同期存款利息</w:t>
      </w:r>
      <w:r>
        <w:rPr>
          <w:rFonts w:ascii="宋体" w:hAnsi="宋体"/>
          <w:sz w:val="22"/>
        </w:rPr>
        <w:t>。</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投标人同意按照贵方可能提出的要求提供与其投标有关的任何其它数字或资料，并对贵方可能不接受最低价投标及任何投标表示理解。</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如果我方中标，我方将提供金额相当于合同价的10%的履约保证金，作为履行合同的担保。</w:t>
      </w: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投标人：（盖单位章）</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法定代表人或其委托代理人：（签字或盖章）</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地    址：</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邮政编码：</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电    话：</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传    真：</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开户银行：</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账    号：</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日    期：    年     月     日</w:t>
      </w:r>
    </w:p>
    <w:p>
      <w:pPr>
        <w:adjustRightInd w:val="0"/>
        <w:snapToGrid w:val="0"/>
        <w:jc w:val="center"/>
        <w:rPr>
          <w:rFonts w:eastAsia="黑体" w:cs="Calibri"/>
          <w:color w:val="000000"/>
          <w:sz w:val="32"/>
          <w:szCs w:val="32"/>
        </w:rPr>
      </w:pPr>
      <w:r>
        <w:rPr>
          <w:rFonts w:ascii="宋体" w:hAnsi="宋体" w:cs="Arial"/>
          <w:sz w:val="22"/>
        </w:rPr>
        <w:br w:type="page"/>
      </w:r>
      <w:r>
        <w:rPr>
          <w:rFonts w:hint="eastAsia" w:eastAsia="黑体" w:cs="Calibri"/>
          <w:color w:val="000000"/>
          <w:sz w:val="32"/>
          <w:szCs w:val="32"/>
        </w:rPr>
        <w:t>二</w:t>
      </w:r>
      <w:r>
        <w:rPr>
          <w:rFonts w:eastAsia="黑体" w:cs="Calibri"/>
          <w:color w:val="000000"/>
          <w:sz w:val="32"/>
          <w:szCs w:val="32"/>
        </w:rPr>
        <w:t>、法定代表人身份证明</w:t>
      </w:r>
    </w:p>
    <w:p>
      <w:pPr>
        <w:spacing w:after="120" w:afterLines="50" w:line="440" w:lineRule="exact"/>
        <w:rPr>
          <w:rFonts w:cs="Calibri"/>
          <w:color w:val="000000"/>
        </w:rPr>
      </w:pPr>
    </w:p>
    <w:p>
      <w:pPr>
        <w:spacing w:after="120" w:afterLines="50" w:line="440" w:lineRule="exact"/>
        <w:rPr>
          <w:rFonts w:cs="Calibri"/>
          <w:color w:val="000000"/>
          <w:sz w:val="22"/>
          <w:u w:val="single"/>
        </w:rPr>
      </w:pPr>
      <w:r>
        <w:rPr>
          <w:rFonts w:cs="Calibri"/>
          <w:color w:val="000000"/>
          <w:sz w:val="22"/>
        </w:rPr>
        <w:t>投标人名称：</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单位性质：</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地址：</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成立时间：</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pacing w:after="120" w:afterLines="50" w:line="440" w:lineRule="exact"/>
        <w:rPr>
          <w:rFonts w:cs="Calibri"/>
          <w:color w:val="000000"/>
          <w:sz w:val="22"/>
          <w:u w:val="single"/>
        </w:rPr>
      </w:pPr>
      <w:r>
        <w:rPr>
          <w:rFonts w:cs="Calibri"/>
          <w:color w:val="000000"/>
          <w:sz w:val="22"/>
        </w:rPr>
        <w:t>经营期限：</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姓名：</w:t>
      </w:r>
      <w:r>
        <w:rPr>
          <w:rFonts w:cs="Calibri"/>
          <w:color w:val="000000"/>
          <w:sz w:val="22"/>
          <w:u w:val="single"/>
        </w:rPr>
        <w:t xml:space="preserve">         </w:t>
      </w:r>
      <w:r>
        <w:rPr>
          <w:rFonts w:cs="Calibri"/>
          <w:color w:val="000000"/>
          <w:sz w:val="22"/>
        </w:rPr>
        <w:t xml:space="preserve">  性别：</w:t>
      </w:r>
      <w:r>
        <w:rPr>
          <w:rFonts w:cs="Calibri"/>
          <w:color w:val="000000"/>
          <w:sz w:val="22"/>
          <w:u w:val="single"/>
        </w:rPr>
        <w:t xml:space="preserve">         </w:t>
      </w:r>
      <w:r>
        <w:rPr>
          <w:rFonts w:cs="Calibri"/>
          <w:color w:val="000000"/>
          <w:sz w:val="22"/>
        </w:rPr>
        <w:t xml:space="preserve">  年龄：</w:t>
      </w:r>
      <w:r>
        <w:rPr>
          <w:rFonts w:cs="Calibri"/>
          <w:color w:val="000000"/>
          <w:sz w:val="22"/>
          <w:u w:val="single"/>
        </w:rPr>
        <w:t xml:space="preserve">         </w:t>
      </w:r>
      <w:r>
        <w:rPr>
          <w:rFonts w:cs="Calibri"/>
          <w:color w:val="000000"/>
          <w:sz w:val="22"/>
        </w:rPr>
        <w:t xml:space="preserve">  职务：</w:t>
      </w:r>
      <w:r>
        <w:rPr>
          <w:rFonts w:cs="Calibri"/>
          <w:color w:val="000000"/>
          <w:sz w:val="22"/>
          <w:u w:val="single"/>
        </w:rPr>
        <w:t xml:space="preserve">         </w:t>
      </w:r>
      <w:r>
        <w:rPr>
          <w:rFonts w:cs="Calibri"/>
          <w:color w:val="000000"/>
          <w:sz w:val="22"/>
        </w:rPr>
        <w:t xml:space="preserve">  </w:t>
      </w:r>
    </w:p>
    <w:p>
      <w:pPr>
        <w:spacing w:after="120" w:afterLines="50" w:line="440" w:lineRule="exact"/>
        <w:rPr>
          <w:rFonts w:cs="Calibri"/>
          <w:color w:val="000000"/>
          <w:sz w:val="22"/>
          <w:u w:val="single"/>
        </w:rPr>
      </w:pPr>
      <w:r>
        <w:rPr>
          <w:rFonts w:cs="Calibri"/>
          <w:color w:val="000000"/>
          <w:sz w:val="22"/>
        </w:rPr>
        <w:t>身份证号码：</w:t>
      </w:r>
      <w:r>
        <w:rPr>
          <w:rFonts w:cs="Calibri"/>
          <w:color w:val="000000"/>
          <w:sz w:val="22"/>
          <w:u w:val="single"/>
        </w:rPr>
        <w:t xml:space="preserve">                           </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 xml:space="preserve">    系</w:t>
      </w:r>
      <w:r>
        <w:rPr>
          <w:rFonts w:cs="Calibri"/>
          <w:color w:val="000000"/>
          <w:sz w:val="22"/>
          <w:u w:val="single"/>
        </w:rPr>
        <w:t xml:space="preserve">                          </w:t>
      </w:r>
      <w:r>
        <w:rPr>
          <w:rFonts w:cs="Calibri"/>
          <w:color w:val="000000"/>
          <w:sz w:val="22"/>
        </w:rPr>
        <w:t>（投标人名称）的法定代表人。</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特此证明。</w:t>
      </w:r>
    </w:p>
    <w:p>
      <w:pPr>
        <w:spacing w:line="440" w:lineRule="exact"/>
        <w:rPr>
          <w:rFonts w:cs="Calibri"/>
          <w:color w:val="000000"/>
          <w:sz w:val="22"/>
        </w:rPr>
      </w:pPr>
      <w:r>
        <w:rPr>
          <w:rFonts w:cs="Calibri"/>
          <w:color w:val="000000"/>
          <w:sz w:val="22"/>
        </w:rPr>
        <w:t>附：法定代表人身份证复印件</w:t>
      </w:r>
    </w:p>
    <w:p>
      <w:pPr>
        <w:spacing w:line="440" w:lineRule="exact"/>
        <w:rPr>
          <w:rFonts w:cs="Calibri"/>
          <w:color w:val="000000"/>
          <w:sz w:val="22"/>
        </w:rPr>
      </w:pPr>
      <w:r>
        <w:rPr>
          <w:rFonts w:cs="Calibri"/>
          <w:color w:val="000000"/>
          <w:sz w:val="22"/>
        </w:rPr>
        <w:t xml:space="preserve">投标人：（盖单位章） </w:t>
      </w:r>
    </w:p>
    <w:p>
      <w:pPr>
        <w:spacing w:line="440" w:lineRule="exact"/>
        <w:ind w:firstLine="4936" w:firstLineChars="2235"/>
        <w:rPr>
          <w:rFonts w:cs="Calibri"/>
          <w:b/>
          <w:color w:val="000000"/>
          <w:sz w:val="22"/>
        </w:rPr>
      </w:pPr>
      <w:r>
        <w:rPr>
          <w:rFonts w:cs="Calibri"/>
          <w:b/>
          <w:color w:val="000000"/>
          <w:sz w:val="22"/>
        </w:rPr>
        <w:pict>
          <v:shape id="Text Box 6" o:spid="_x0000_s1027" o:spt="202" type="#_x0000_t202" style="position:absolute;left:0pt;margin-left:0pt;margin-top:63.25pt;height:171.6pt;width:423pt;mso-wrap-distance-bottom:0pt;mso-wrap-distance-left:9pt;mso-wrap-distance-right:9pt;mso-wrap-distance-top:0pt;z-index:251659264;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w:r>
      <w:r>
        <w:rPr>
          <w:rFonts w:cs="Calibri"/>
          <w:color w:val="000000"/>
          <w:sz w:val="22"/>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40" w:firstLineChars="200"/>
        <w:rPr>
          <w:rFonts w:cs="Calibri"/>
          <w:color w:val="000000"/>
          <w:sz w:val="22"/>
        </w:rPr>
      </w:pPr>
      <w:r>
        <w:rPr>
          <w:rFonts w:cs="Calibri"/>
          <w:color w:val="000000"/>
          <w:sz w:val="22"/>
        </w:rPr>
        <w:t>本人</w:t>
      </w:r>
      <w:r>
        <w:rPr>
          <w:rFonts w:cs="Calibri"/>
          <w:color w:val="000000"/>
          <w:sz w:val="22"/>
          <w:u w:val="single"/>
        </w:rPr>
        <w:t xml:space="preserve">        </w:t>
      </w:r>
      <w:r>
        <w:rPr>
          <w:rFonts w:cs="Calibri"/>
          <w:color w:val="000000"/>
          <w:sz w:val="22"/>
        </w:rPr>
        <w:t>（姓名）系</w:t>
      </w:r>
      <w:r>
        <w:rPr>
          <w:rFonts w:cs="Calibri"/>
          <w:color w:val="000000"/>
          <w:sz w:val="22"/>
          <w:u w:val="single"/>
        </w:rPr>
        <w:t xml:space="preserve">                </w:t>
      </w:r>
      <w:r>
        <w:rPr>
          <w:rFonts w:cs="Calibri"/>
          <w:color w:val="000000"/>
          <w:sz w:val="22"/>
        </w:rPr>
        <w:t>（投标人名称）的法定代表人，现委托</w:t>
      </w:r>
      <w:r>
        <w:rPr>
          <w:rFonts w:cs="Calibri"/>
          <w:color w:val="000000"/>
          <w:sz w:val="22"/>
          <w:u w:val="single"/>
        </w:rPr>
        <w:t xml:space="preserve">      </w:t>
      </w:r>
      <w:r>
        <w:rPr>
          <w:rFonts w:cs="Calibri"/>
          <w:color w:val="000000"/>
          <w:sz w:val="22"/>
        </w:rPr>
        <w:t>（姓名）为我方代理人。代理人根据授权，以我方名义签署、澄清、说明、补正、递交、撤回、修改</w:t>
      </w:r>
      <w:r>
        <w:rPr>
          <w:rFonts w:cs="Calibri"/>
          <w:color w:val="000000"/>
          <w:sz w:val="22"/>
          <w:u w:val="single"/>
        </w:rPr>
        <w:t xml:space="preserve">              </w:t>
      </w:r>
      <w:r>
        <w:rPr>
          <w:rFonts w:cs="Calibri"/>
          <w:color w:val="000000"/>
          <w:sz w:val="22"/>
        </w:rPr>
        <w:t>（项目名称）投标文件、签订合同和处理有关事宜，其法律后果由我方承担。</w:t>
      </w:r>
    </w:p>
    <w:p>
      <w:pPr>
        <w:spacing w:line="440" w:lineRule="exact"/>
        <w:ind w:firstLine="440" w:firstLineChars="200"/>
        <w:rPr>
          <w:rFonts w:cs="Calibri"/>
          <w:color w:val="000000"/>
          <w:sz w:val="22"/>
        </w:rPr>
      </w:pPr>
      <w:r>
        <w:rPr>
          <w:rFonts w:cs="Calibri"/>
          <w:color w:val="000000"/>
          <w:sz w:val="22"/>
        </w:rPr>
        <w:t>代理人无转委托权。</w:t>
      </w:r>
    </w:p>
    <w:p>
      <w:pPr>
        <w:spacing w:line="440" w:lineRule="exact"/>
        <w:ind w:firstLine="440" w:firstLineChars="200"/>
        <w:rPr>
          <w:rFonts w:cs="Calibri"/>
          <w:color w:val="000000"/>
          <w:sz w:val="22"/>
        </w:rPr>
      </w:pPr>
      <w:r>
        <w:rPr>
          <w:rFonts w:cs="Calibri"/>
          <w:color w:val="000000"/>
          <w:sz w:val="22"/>
        </w:rPr>
        <w:t>附：委托代理人身份证复印件</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投标人：（盖单位章）</w:t>
      </w:r>
    </w:p>
    <w:p>
      <w:pPr>
        <w:spacing w:line="440" w:lineRule="exact"/>
        <w:rPr>
          <w:rFonts w:cs="Calibri"/>
          <w:color w:val="000000"/>
          <w:sz w:val="22"/>
        </w:rPr>
      </w:pPr>
      <w:r>
        <w:rPr>
          <w:rFonts w:cs="Calibri"/>
          <w:color w:val="000000"/>
          <w:sz w:val="22"/>
        </w:rPr>
        <w:t>法定代表人：（签字或盖章）</w:t>
      </w:r>
    </w:p>
    <w:p>
      <w:pPr>
        <w:spacing w:line="440" w:lineRule="exact"/>
        <w:rPr>
          <w:rFonts w:cs="Calibri"/>
          <w:color w:val="000000"/>
          <w:sz w:val="22"/>
        </w:rPr>
      </w:pPr>
      <w:r>
        <w:rPr>
          <w:rFonts w:cs="Calibri"/>
          <w:color w:val="000000"/>
          <w:sz w:val="22"/>
        </w:rPr>
        <w:t>身份证号码：</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委托的代理人：（签字或盖章）</w:t>
      </w:r>
    </w:p>
    <w:p>
      <w:pPr>
        <w:spacing w:line="440" w:lineRule="exact"/>
        <w:rPr>
          <w:rFonts w:cs="Calibri"/>
          <w:color w:val="000000"/>
          <w:sz w:val="22"/>
        </w:rPr>
      </w:pPr>
      <w:r>
        <w:rPr>
          <w:rFonts w:cs="Calibri"/>
          <w:color w:val="000000"/>
          <w:sz w:val="22"/>
        </w:rPr>
        <w:t>身份证号码：</w:t>
      </w:r>
    </w:p>
    <w:p>
      <w:pPr>
        <w:spacing w:line="440" w:lineRule="exact"/>
        <w:ind w:firstLine="4730" w:firstLineChars="2150"/>
        <w:rPr>
          <w:rFonts w:cs="Calibri"/>
          <w:color w:val="000000"/>
          <w:sz w:val="22"/>
        </w:rPr>
      </w:pPr>
      <w:r>
        <w:rPr>
          <w:rFonts w:cs="Calibri"/>
          <w:color w:val="000000"/>
          <w:sz w:val="22"/>
        </w:rPr>
        <w:t>日期：</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napToGrid w:val="0"/>
        <w:spacing w:line="440" w:lineRule="exact"/>
        <w:rPr>
          <w:rFonts w:cs="Calibri"/>
          <w:color w:val="000000"/>
          <w:szCs w:val="21"/>
        </w:rPr>
      </w:pPr>
      <w:r>
        <w:rPr>
          <w:rFonts w:cs="Calibri"/>
          <w:b/>
          <w:color w:val="000000"/>
          <w:szCs w:val="21"/>
        </w:rPr>
        <w:pict>
          <v:shape id="Text Box 7" o:spid="_x0000_s1028" o:spt="202" type="#_x0000_t202" style="position:absolute;left:0pt;margin-left:9.15pt;margin-top:20.8pt;height:171.6pt;width:423pt;mso-wrap-distance-bottom:0pt;mso-wrap-distance-left:9pt;mso-wrap-distance-right:9pt;mso-wrap-distance-top:0pt;z-index:251660288;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 w:val="22"/>
        </w:rPr>
      </w:pPr>
      <w:r>
        <w:rPr>
          <w:rFonts w:cs="Calibri"/>
          <w:color w:val="000000"/>
          <w:sz w:val="22"/>
        </w:rPr>
        <w:t>注：如投标文件由委托代理人签字或盖章的，投标文件必须附此授权委托书。</w:t>
      </w:r>
      <w:r>
        <w:rPr>
          <w:rFonts w:cs="Calibri"/>
          <w:b/>
          <w:bCs/>
          <w:color w:val="000000"/>
          <w:sz w:val="22"/>
        </w:rPr>
        <w:t xml:space="preserve">     </w:t>
      </w:r>
    </w:p>
    <w:p>
      <w:pPr>
        <w:spacing w:line="360" w:lineRule="auto"/>
        <w:jc w:val="left"/>
        <w:rPr>
          <w:rFonts w:ascii="宋体" w:hAnsi="宋体" w:cs="宋体"/>
          <w:sz w:val="22"/>
        </w:rPr>
      </w:pPr>
    </w:p>
    <w:p>
      <w:pPr>
        <w:pStyle w:val="28"/>
        <w:spacing w:after="120" w:afterLines="50" w:line="360" w:lineRule="auto"/>
        <w:jc w:val="left"/>
        <w:rPr>
          <w:rFonts w:hAnsi="宋体" w:cs="宋体"/>
          <w:b/>
        </w:rPr>
      </w:pPr>
      <w:r>
        <w:rPr>
          <w:rFonts w:hAnsi="宋体" w:cs="宋体"/>
          <w:b/>
        </w:rPr>
        <w:br w:type="page"/>
      </w:r>
      <w:bookmarkStart w:id="79" w:name="_Toc133214102"/>
      <w:bookmarkStart w:id="80" w:name="_Toc133214309"/>
      <w:bookmarkStart w:id="81" w:name="_Toc133470542"/>
      <w:bookmarkStart w:id="82" w:name="_Toc137373398"/>
      <w:bookmarkStart w:id="83" w:name="_Toc144265958"/>
    </w:p>
    <w:p>
      <w:pPr>
        <w:pStyle w:val="28"/>
        <w:spacing w:after="120" w:afterLines="50" w:line="360" w:lineRule="auto"/>
        <w:jc w:val="left"/>
        <w:rPr>
          <w:rFonts w:hAnsi="宋体" w:cs="宋体"/>
          <w:sz w:val="22"/>
          <w:szCs w:val="22"/>
        </w:rPr>
      </w:pPr>
    </w:p>
    <w:p>
      <w:pPr>
        <w:spacing w:line="440" w:lineRule="exact"/>
        <w:jc w:val="center"/>
        <w:rPr>
          <w:rFonts w:eastAsia="黑体" w:cs="Calibri"/>
          <w:color w:val="000000"/>
          <w:sz w:val="32"/>
          <w:szCs w:val="32"/>
        </w:rPr>
      </w:pPr>
      <w:r>
        <w:rPr>
          <w:rFonts w:hint="eastAsia" w:eastAsia="黑体" w:cs="Calibri"/>
          <w:color w:val="000000"/>
          <w:sz w:val="32"/>
          <w:szCs w:val="32"/>
        </w:rPr>
        <w:t>四、投标报价表</w:t>
      </w:r>
    </w:p>
    <w:p>
      <w:pPr>
        <w:pStyle w:val="28"/>
        <w:spacing w:after="120" w:afterLines="50" w:line="360" w:lineRule="auto"/>
        <w:jc w:val="center"/>
        <w:rPr>
          <w:rFonts w:hAnsi="宋体" w:cs="宋体"/>
        </w:rPr>
      </w:pPr>
    </w:p>
    <w:p>
      <w:pPr>
        <w:pStyle w:val="28"/>
        <w:numPr>
          <w:ilvl w:val="1"/>
          <w:numId w:val="7"/>
        </w:numPr>
        <w:snapToGrid w:val="0"/>
        <w:spacing w:before="120" w:beforeLines="50" w:line="360" w:lineRule="exact"/>
        <w:rPr>
          <w:rFonts w:hAnsi="宋体" w:cs="宋体"/>
          <w:b/>
          <w:sz w:val="22"/>
          <w:szCs w:val="22"/>
        </w:rPr>
      </w:pPr>
      <w:r>
        <w:rPr>
          <w:rFonts w:hint="eastAsia" w:hAnsi="宋体" w:cs="宋体"/>
          <w:b/>
          <w:sz w:val="22"/>
          <w:szCs w:val="22"/>
        </w:rPr>
        <w:t>总则</w:t>
      </w:r>
    </w:p>
    <w:p>
      <w:pPr>
        <w:pStyle w:val="28"/>
        <w:numPr>
          <w:ilvl w:val="1"/>
          <w:numId w:val="8"/>
        </w:numPr>
        <w:snapToGrid w:val="0"/>
        <w:spacing w:before="120"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28"/>
        <w:numPr>
          <w:ilvl w:val="1"/>
          <w:numId w:val="8"/>
        </w:numPr>
        <w:snapToGrid w:val="0"/>
        <w:spacing w:before="120"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28"/>
        <w:numPr>
          <w:ilvl w:val="1"/>
          <w:numId w:val="8"/>
        </w:numPr>
        <w:snapToGrid w:val="0"/>
        <w:spacing w:before="120"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28"/>
        <w:numPr>
          <w:ilvl w:val="1"/>
          <w:numId w:val="8"/>
        </w:numPr>
        <w:snapToGrid w:val="0"/>
        <w:spacing w:before="120"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28"/>
        <w:numPr>
          <w:ilvl w:val="1"/>
          <w:numId w:val="8"/>
        </w:numPr>
        <w:snapToGrid w:val="0"/>
        <w:spacing w:before="120"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28"/>
        <w:numPr>
          <w:ilvl w:val="1"/>
          <w:numId w:val="8"/>
        </w:numPr>
        <w:snapToGrid w:val="0"/>
        <w:spacing w:before="120" w:beforeLines="50" w:line="360" w:lineRule="exact"/>
        <w:rPr>
          <w:rFonts w:hAnsi="宋体" w:cs="宋体"/>
          <w:sz w:val="22"/>
          <w:szCs w:val="22"/>
        </w:rPr>
      </w:pPr>
      <w:r>
        <w:rPr>
          <w:rFonts w:hint="eastAsia" w:hAnsi="宋体" w:cs="宋体"/>
          <w:sz w:val="22"/>
          <w:szCs w:val="22"/>
        </w:rPr>
        <w:t>本总则上列各条中提及的“投标人”在合同执行过程中应作为“卖方”解释。</w:t>
      </w:r>
    </w:p>
    <w:p>
      <w:pPr>
        <w:pStyle w:val="28"/>
        <w:numPr>
          <w:ilvl w:val="1"/>
          <w:numId w:val="7"/>
        </w:numPr>
        <w:snapToGrid w:val="0"/>
        <w:spacing w:before="120" w:beforeLines="50" w:line="360" w:lineRule="exact"/>
        <w:rPr>
          <w:rFonts w:hAnsi="宋体" w:cs="宋体"/>
          <w:sz w:val="22"/>
          <w:szCs w:val="22"/>
        </w:rPr>
      </w:pPr>
      <w:r>
        <w:rPr>
          <w:rFonts w:hint="eastAsia" w:hAnsi="宋体" w:cs="宋体"/>
          <w:sz w:val="22"/>
          <w:szCs w:val="22"/>
        </w:rPr>
        <w:t>投标报价表包含以下各表</w:t>
      </w:r>
    </w:p>
    <w:bookmarkEnd w:id="79"/>
    <w:bookmarkEnd w:id="80"/>
    <w:bookmarkEnd w:id="81"/>
    <w:bookmarkEnd w:id="82"/>
    <w:bookmarkEnd w:id="83"/>
    <w:p>
      <w:pPr>
        <w:snapToGrid w:val="0"/>
        <w:spacing w:before="120" w:beforeLines="50" w:line="360" w:lineRule="exact"/>
        <w:ind w:left="1134"/>
        <w:rPr>
          <w:rFonts w:ascii="宋体" w:hAnsi="宋体" w:cs="宋体"/>
          <w:sz w:val="22"/>
        </w:rPr>
      </w:pPr>
      <w:r>
        <w:rPr>
          <w:rFonts w:hint="eastAsia" w:ascii="宋体" w:hAnsi="宋体" w:cs="宋体"/>
          <w:sz w:val="22"/>
        </w:rPr>
        <w:t>(1)投标报价汇总表</w:t>
      </w:r>
    </w:p>
    <w:p>
      <w:pPr>
        <w:snapToGrid w:val="0"/>
        <w:spacing w:before="120" w:beforeLines="50" w:line="360" w:lineRule="exact"/>
        <w:ind w:left="1134"/>
        <w:rPr>
          <w:rFonts w:ascii="宋体" w:hAnsi="宋体" w:cs="宋体"/>
          <w:sz w:val="22"/>
        </w:rPr>
      </w:pPr>
      <w:r>
        <w:rPr>
          <w:rFonts w:hint="eastAsia" w:ascii="宋体" w:hAnsi="宋体" w:cs="宋体"/>
          <w:sz w:val="22"/>
        </w:rPr>
        <w:t>(2)设备费分项报价表</w:t>
      </w:r>
    </w:p>
    <w:p>
      <w:pPr>
        <w:snapToGrid w:val="0"/>
        <w:spacing w:before="120" w:beforeLines="50" w:line="360" w:lineRule="exact"/>
        <w:ind w:left="1134"/>
        <w:rPr>
          <w:rFonts w:ascii="宋体" w:hAnsi="宋体" w:cs="宋体"/>
          <w:sz w:val="22"/>
        </w:rPr>
      </w:pPr>
      <w:r>
        <w:rPr>
          <w:rFonts w:hint="eastAsia" w:ascii="宋体" w:hAnsi="宋体" w:cs="宋体"/>
          <w:sz w:val="22"/>
        </w:rPr>
        <w:t>(3)随机配件和专用工具分项报价表</w:t>
      </w:r>
    </w:p>
    <w:p>
      <w:pPr>
        <w:snapToGrid w:val="0"/>
        <w:spacing w:before="120" w:beforeLines="50" w:line="360" w:lineRule="exact"/>
        <w:ind w:left="1134"/>
        <w:rPr>
          <w:rFonts w:ascii="宋体" w:hAnsi="宋体" w:cs="宋体"/>
          <w:sz w:val="22"/>
        </w:rPr>
      </w:pPr>
      <w:r>
        <w:rPr>
          <w:rFonts w:hint="eastAsia" w:ascii="宋体" w:hAnsi="宋体" w:cs="宋体"/>
          <w:sz w:val="22"/>
        </w:rPr>
        <w:t>(4)备品备件分项报价表（不计入总价）</w:t>
      </w:r>
    </w:p>
    <w:p>
      <w:pPr>
        <w:snapToGrid w:val="0"/>
        <w:spacing w:before="120" w:beforeLines="50" w:line="360" w:lineRule="exact"/>
        <w:ind w:left="1134"/>
        <w:rPr>
          <w:rFonts w:ascii="宋体" w:hAnsi="宋体" w:cs="宋体"/>
          <w:sz w:val="22"/>
        </w:rPr>
      </w:pP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4.1 投标报价汇总表</w:t>
      </w:r>
    </w:p>
    <w:p>
      <w:pPr>
        <w:spacing w:line="360" w:lineRule="auto"/>
        <w:rPr>
          <w:rFonts w:ascii="宋体" w:hAnsi="宋体" w:cs="宋体"/>
        </w:rPr>
      </w:pPr>
    </w:p>
    <w:p>
      <w:pPr>
        <w:spacing w:line="360" w:lineRule="auto"/>
        <w:jc w:val="right"/>
        <w:rPr>
          <w:rFonts w:ascii="宋体" w:hAnsi="宋体" w:cs="宋体"/>
          <w:sz w:val="22"/>
        </w:rPr>
      </w:pPr>
      <w:r>
        <w:rPr>
          <w:rFonts w:hint="eastAsia" w:ascii="宋体" w:hAnsi="宋体" w:cs="宋体"/>
          <w:sz w:val="22"/>
        </w:rPr>
        <w:t>[货币单位：人民币元]</w:t>
      </w:r>
    </w:p>
    <w:tbl>
      <w:tblPr>
        <w:tblStyle w:val="49"/>
        <w:tblW w:w="88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napToGrid w:val="0"/>
              <w:jc w:val="center"/>
              <w:rPr>
                <w:rFonts w:ascii="宋体" w:hAnsi="宋体" w:cs="宋体"/>
                <w:b/>
                <w:sz w:val="22"/>
              </w:rPr>
            </w:pPr>
            <w:r>
              <w:rPr>
                <w:rFonts w:hint="eastAsia" w:ascii="宋体" w:hAnsi="宋体" w:cs="宋体"/>
                <w:b/>
                <w:sz w:val="22"/>
              </w:rPr>
              <w:t>序 号</w:t>
            </w:r>
          </w:p>
        </w:tc>
        <w:tc>
          <w:tcPr>
            <w:tcW w:w="2976" w:type="dxa"/>
            <w:vAlign w:val="center"/>
          </w:tcPr>
          <w:p>
            <w:pPr>
              <w:snapToGrid w:val="0"/>
              <w:jc w:val="center"/>
              <w:rPr>
                <w:rFonts w:ascii="宋体" w:hAnsi="宋体" w:cs="宋体"/>
                <w:b/>
                <w:sz w:val="22"/>
              </w:rPr>
            </w:pPr>
            <w:r>
              <w:rPr>
                <w:rFonts w:hint="eastAsia" w:ascii="宋体" w:hAnsi="宋体" w:cs="宋体"/>
                <w:b/>
                <w:sz w:val="22"/>
              </w:rPr>
              <w:t>内    容</w:t>
            </w:r>
          </w:p>
        </w:tc>
        <w:tc>
          <w:tcPr>
            <w:tcW w:w="3544" w:type="dxa"/>
            <w:vAlign w:val="center"/>
          </w:tcPr>
          <w:p>
            <w:pPr>
              <w:snapToGrid w:val="0"/>
              <w:jc w:val="center"/>
              <w:rPr>
                <w:rFonts w:ascii="宋体" w:hAnsi="宋体" w:cs="宋体"/>
                <w:b/>
                <w:sz w:val="22"/>
              </w:rPr>
            </w:pPr>
            <w:r>
              <w:rPr>
                <w:rFonts w:hint="eastAsia" w:ascii="宋体" w:hAnsi="宋体" w:cs="宋体"/>
                <w:b/>
                <w:sz w:val="22"/>
              </w:rPr>
              <w:t xml:space="preserve">投 标 报 价 </w:t>
            </w:r>
          </w:p>
        </w:tc>
        <w:tc>
          <w:tcPr>
            <w:tcW w:w="1423" w:type="dxa"/>
            <w:vAlign w:val="center"/>
          </w:tcPr>
          <w:p>
            <w:pPr>
              <w:snapToGrid w:val="0"/>
              <w:jc w:val="center"/>
              <w:rPr>
                <w:rFonts w:ascii="宋体" w:hAnsi="宋体" w:cs="宋体"/>
                <w:b/>
                <w:sz w:val="22"/>
              </w:rPr>
            </w:pPr>
            <w:r>
              <w:rPr>
                <w:rFonts w:hint="eastAsia" w:ascii="宋体" w:hAnsi="宋体" w:cs="宋体"/>
                <w:b/>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1</w:t>
            </w:r>
          </w:p>
        </w:tc>
        <w:tc>
          <w:tcPr>
            <w:tcW w:w="2976" w:type="dxa"/>
            <w:vAlign w:val="center"/>
          </w:tcPr>
          <w:p>
            <w:pPr>
              <w:snapToGrid w:val="0"/>
              <w:jc w:val="center"/>
              <w:rPr>
                <w:rFonts w:ascii="宋体" w:hAnsi="宋体" w:cs="宋体"/>
                <w:sz w:val="22"/>
              </w:rPr>
            </w:pPr>
            <w:r>
              <w:rPr>
                <w:rFonts w:hint="eastAsia" w:ascii="宋体" w:hAnsi="宋体" w:cs="宋体"/>
                <w:sz w:val="22"/>
              </w:rPr>
              <w:t>设备费(表4.2)</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2</w:t>
            </w:r>
          </w:p>
        </w:tc>
        <w:tc>
          <w:tcPr>
            <w:tcW w:w="2976" w:type="dxa"/>
            <w:vAlign w:val="center"/>
          </w:tcPr>
          <w:p>
            <w:pPr>
              <w:snapToGrid w:val="0"/>
              <w:jc w:val="center"/>
              <w:rPr>
                <w:rFonts w:ascii="宋体" w:hAnsi="宋体" w:cs="宋体"/>
                <w:sz w:val="22"/>
              </w:rPr>
            </w:pPr>
            <w:r>
              <w:rPr>
                <w:rFonts w:hint="eastAsia" w:ascii="宋体" w:hAnsi="宋体" w:cs="宋体"/>
                <w:sz w:val="22"/>
              </w:rPr>
              <w:t>随机配件和专用工具(表4.3)</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860" w:type="dxa"/>
            <w:vAlign w:val="center"/>
          </w:tcPr>
          <w:p>
            <w:pPr>
              <w:snapToGrid w:val="0"/>
              <w:jc w:val="center"/>
              <w:rPr>
                <w:rFonts w:ascii="宋体" w:hAnsi="宋体" w:cs="宋体"/>
                <w:sz w:val="22"/>
              </w:rPr>
            </w:pPr>
          </w:p>
        </w:tc>
        <w:tc>
          <w:tcPr>
            <w:tcW w:w="2976" w:type="dxa"/>
            <w:vAlign w:val="center"/>
          </w:tcPr>
          <w:p>
            <w:pPr>
              <w:snapToGrid w:val="0"/>
              <w:jc w:val="center"/>
              <w:rPr>
                <w:rFonts w:ascii="宋体" w:hAnsi="宋体" w:cs="宋体"/>
                <w:b/>
                <w:sz w:val="22"/>
              </w:rPr>
            </w:pPr>
            <w:r>
              <w:rPr>
                <w:rFonts w:hint="eastAsia" w:ascii="宋体" w:hAnsi="宋体" w:cs="宋体"/>
                <w:b/>
                <w:sz w:val="22"/>
              </w:rPr>
              <w:t>总    计</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bl>
    <w:p>
      <w:pPr>
        <w:spacing w:line="360" w:lineRule="auto"/>
        <w:jc w:val="right"/>
        <w:rPr>
          <w:rFonts w:ascii="宋体" w:hAnsi="宋体" w:cs="宋体"/>
          <w:sz w:val="22"/>
        </w:rPr>
      </w:pPr>
    </w:p>
    <w:p>
      <w:pPr>
        <w:spacing w:line="360" w:lineRule="auto"/>
        <w:rPr>
          <w:rFonts w:ascii="宋体" w:hAnsi="宋体" w:cs="宋体"/>
          <w:sz w:val="22"/>
        </w:rPr>
      </w:pPr>
    </w:p>
    <w:p>
      <w:pPr>
        <w:spacing w:line="360" w:lineRule="auto"/>
        <w:rPr>
          <w:rFonts w:ascii="宋体" w:hAnsi="宋体" w:cs="宋体"/>
          <w:sz w:val="22"/>
        </w:rPr>
      </w:pPr>
      <w:r>
        <w:rPr>
          <w:rFonts w:hint="eastAsia" w:ascii="宋体" w:hAnsi="宋体" w:cs="宋体"/>
          <w:sz w:val="22"/>
        </w:rPr>
        <w:t>注：</w:t>
      </w:r>
    </w:p>
    <w:p>
      <w:pPr>
        <w:numPr>
          <w:ilvl w:val="2"/>
          <w:numId w:val="9"/>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此表的“总计”系所有需招标人支付的投标金额总数即投标总价，投标总价中已包含投标人完成本招标项目的一切费用包括税费。</w:t>
      </w:r>
    </w:p>
    <w:p>
      <w:pPr>
        <w:numPr>
          <w:ilvl w:val="2"/>
          <w:numId w:val="9"/>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此表为表4.2、表4.3的汇总表。</w:t>
      </w:r>
    </w:p>
    <w:p>
      <w:pPr>
        <w:snapToGrid w:val="0"/>
        <w:spacing w:line="360" w:lineRule="auto"/>
        <w:rPr>
          <w:rFonts w:ascii="宋体" w:hAnsi="宋体" w:cs="宋体"/>
          <w:sz w:val="22"/>
        </w:rPr>
      </w:pPr>
    </w:p>
    <w:p>
      <w:pPr>
        <w:spacing w:before="120" w:beforeLines="50" w:line="360" w:lineRule="auto"/>
        <w:ind w:firstLine="3960"/>
        <w:rPr>
          <w:rFonts w:ascii="宋体" w:hAnsi="宋体" w:cs="宋体"/>
        </w:rPr>
      </w:pPr>
      <w:bookmarkStart w:id="84" w:name="_Toc133470544"/>
      <w:bookmarkStart w:id="85" w:name="_Toc133214103"/>
      <w:bookmarkStart w:id="86" w:name="_Toc137373399"/>
      <w:bookmarkStart w:id="87" w:name="_Toc133214310"/>
    </w:p>
    <w:p>
      <w:pPr>
        <w:spacing w:line="360" w:lineRule="auto"/>
        <w:jc w:val="center"/>
        <w:rPr>
          <w:rFonts w:ascii="宋体" w:hAnsi="宋体" w:cs="宋体"/>
          <w:b/>
          <w:sz w:val="32"/>
          <w:szCs w:val="32"/>
        </w:rPr>
      </w:pPr>
      <w:bookmarkStart w:id="88" w:name="_Toc144265959"/>
      <w:r>
        <w:rPr>
          <w:rFonts w:hint="eastAsia" w:ascii="宋体" w:hAnsi="宋体" w:cs="宋体"/>
          <w:b/>
          <w:sz w:val="32"/>
          <w:szCs w:val="32"/>
        </w:rPr>
        <w:br w:type="page"/>
      </w:r>
    </w:p>
    <w:bookmarkEnd w:id="84"/>
    <w:bookmarkEnd w:id="85"/>
    <w:bookmarkEnd w:id="86"/>
    <w:bookmarkEnd w:id="87"/>
    <w:bookmarkEnd w:id="88"/>
    <w:p>
      <w:pPr>
        <w:snapToGrid w:val="0"/>
        <w:spacing w:line="360" w:lineRule="auto"/>
        <w:jc w:val="center"/>
        <w:rPr>
          <w:rFonts w:ascii="宋体" w:hAnsi="宋体" w:cs="宋体"/>
          <w:b/>
          <w:sz w:val="32"/>
          <w:szCs w:val="32"/>
        </w:rPr>
      </w:pPr>
      <w:r>
        <w:rPr>
          <w:rFonts w:hint="eastAsia" w:ascii="宋体" w:hAnsi="宋体" w:cs="宋体"/>
          <w:b/>
          <w:sz w:val="32"/>
          <w:szCs w:val="32"/>
        </w:rPr>
        <w:t>4.2设备费分项报价表</w:t>
      </w:r>
    </w:p>
    <w:p>
      <w:pPr>
        <w:spacing w:line="360" w:lineRule="auto"/>
        <w:rPr>
          <w:rFonts w:ascii="宋体" w:hAnsi="宋体" w:cs="宋体"/>
          <w:bCs/>
          <w:sz w:val="22"/>
        </w:rPr>
      </w:pPr>
    </w:p>
    <w:tbl>
      <w:tblPr>
        <w:tblStyle w:val="49"/>
        <w:tblW w:w="940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23"/>
        <w:gridCol w:w="1134"/>
        <w:gridCol w:w="1032"/>
        <w:gridCol w:w="755"/>
        <w:gridCol w:w="637"/>
        <w:gridCol w:w="578"/>
        <w:gridCol w:w="1533"/>
        <w:gridCol w:w="1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760" w:type="dxa"/>
            <w:vMerge w:val="restart"/>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序 号</w:t>
            </w:r>
          </w:p>
        </w:tc>
        <w:tc>
          <w:tcPr>
            <w:tcW w:w="152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13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103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w:t>
            </w:r>
          </w:p>
          <w:p>
            <w:pPr>
              <w:widowControl/>
              <w:jc w:val="center"/>
              <w:rPr>
                <w:rFonts w:ascii="宋体" w:hAnsi="宋体" w:cs="宋体"/>
                <w:b/>
                <w:bCs/>
                <w:kern w:val="0"/>
                <w:sz w:val="20"/>
              </w:rPr>
            </w:pPr>
            <w:r>
              <w:rPr>
                <w:rFonts w:hint="eastAsia" w:ascii="宋体" w:hAnsi="宋体" w:cs="宋体"/>
                <w:b/>
                <w:bCs/>
                <w:kern w:val="0"/>
                <w:sz w:val="20"/>
              </w:rPr>
              <w:t>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vMerge w:val="continue"/>
            <w:shd w:val="clear" w:color="auto" w:fill="auto"/>
            <w:vAlign w:val="center"/>
          </w:tcPr>
          <w:p>
            <w:pPr>
              <w:widowControl/>
              <w:jc w:val="left"/>
              <w:rPr>
                <w:rFonts w:ascii="宋体" w:hAnsi="宋体" w:cs="宋体"/>
                <w:b/>
                <w:bCs/>
                <w:kern w:val="0"/>
                <w:sz w:val="20"/>
              </w:rPr>
            </w:pPr>
          </w:p>
        </w:tc>
        <w:tc>
          <w:tcPr>
            <w:tcW w:w="1523" w:type="dxa"/>
            <w:vMerge w:val="continue"/>
            <w:shd w:val="clear" w:color="auto" w:fill="auto"/>
            <w:vAlign w:val="center"/>
          </w:tcPr>
          <w:p>
            <w:pPr>
              <w:widowControl/>
              <w:jc w:val="left"/>
              <w:rPr>
                <w:rFonts w:ascii="宋体" w:hAnsi="宋体" w:cs="宋体"/>
                <w:b/>
                <w:bCs/>
                <w:kern w:val="0"/>
                <w:sz w:val="20"/>
              </w:rPr>
            </w:pPr>
          </w:p>
        </w:tc>
        <w:tc>
          <w:tcPr>
            <w:tcW w:w="1134" w:type="dxa"/>
            <w:vMerge w:val="continue"/>
            <w:shd w:val="clear" w:color="auto" w:fill="auto"/>
            <w:vAlign w:val="center"/>
          </w:tcPr>
          <w:p>
            <w:pPr>
              <w:widowControl/>
              <w:jc w:val="left"/>
              <w:rPr>
                <w:rFonts w:ascii="宋体" w:hAnsi="宋体" w:cs="宋体"/>
                <w:b/>
                <w:bCs/>
                <w:kern w:val="0"/>
                <w:sz w:val="20"/>
              </w:rPr>
            </w:pPr>
          </w:p>
        </w:tc>
        <w:tc>
          <w:tcPr>
            <w:tcW w:w="1032"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1</w:t>
            </w: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2</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3</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4</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center"/>
              <w:rPr>
                <w:rFonts w:ascii="宋体" w:hAnsi="宋体" w:cs="宋体"/>
                <w:b/>
                <w:bCs/>
                <w:kern w:val="0"/>
                <w:sz w:val="20"/>
              </w:rPr>
            </w:pPr>
          </w:p>
        </w:tc>
        <w:tc>
          <w:tcPr>
            <w:tcW w:w="1032" w:type="dxa"/>
            <w:shd w:val="clear" w:color="000000" w:fill="FFFFFF"/>
            <w:vAlign w:val="center"/>
          </w:tcPr>
          <w:p>
            <w:pPr>
              <w:widowControl/>
              <w:jc w:val="center"/>
              <w:rPr>
                <w:rFonts w:ascii="宋体" w:hAnsi="宋体" w:cs="宋体"/>
                <w:b/>
                <w:bCs/>
                <w:kern w:val="0"/>
                <w:sz w:val="20"/>
              </w:rPr>
            </w:pPr>
          </w:p>
        </w:tc>
        <w:tc>
          <w:tcPr>
            <w:tcW w:w="755" w:type="dxa"/>
            <w:shd w:val="clear" w:color="000000" w:fill="FFFFFF"/>
            <w:vAlign w:val="center"/>
          </w:tcPr>
          <w:p>
            <w:pPr>
              <w:widowControl/>
              <w:rPr>
                <w:rFonts w:ascii="宋体" w:hAnsi="宋体" w:cs="宋体"/>
                <w:b/>
                <w:bCs/>
                <w:kern w:val="0"/>
                <w:sz w:val="20"/>
              </w:rPr>
            </w:pPr>
          </w:p>
        </w:tc>
        <w:tc>
          <w:tcPr>
            <w:tcW w:w="637" w:type="dxa"/>
            <w:shd w:val="clear" w:color="000000" w:fill="FFFFFF"/>
            <w:vAlign w:val="center"/>
          </w:tcPr>
          <w:p>
            <w:pPr>
              <w:widowControl/>
              <w:rPr>
                <w:rFonts w:ascii="宋体" w:hAnsi="宋体" w:cs="宋体"/>
                <w:b/>
                <w:bCs/>
                <w:kern w:val="0"/>
                <w:sz w:val="20"/>
              </w:rPr>
            </w:pPr>
          </w:p>
        </w:tc>
        <w:tc>
          <w:tcPr>
            <w:tcW w:w="578" w:type="dxa"/>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tcPr>
          <w:p>
            <w:pPr>
              <w:widowControl/>
              <w:jc w:val="center"/>
              <w:rPr>
                <w:rFonts w:ascii="宋体" w:hAnsi="宋体" w:cs="宋体"/>
                <w:b/>
                <w:bCs/>
                <w:kern w:val="0"/>
                <w:sz w:val="20"/>
              </w:rPr>
            </w:pPr>
            <w:r>
              <w:rPr>
                <w:rFonts w:hint="eastAsia"/>
              </w:rPr>
              <w:t>合计（不含税价）</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tcPr>
          <w:p>
            <w:pPr>
              <w:widowControl/>
              <w:jc w:val="center"/>
              <w:rPr>
                <w:rFonts w:ascii="宋体" w:hAnsi="宋体" w:cs="宋体"/>
                <w:b/>
                <w:bCs/>
                <w:kern w:val="0"/>
                <w:sz w:val="20"/>
              </w:rPr>
            </w:pPr>
            <w:r>
              <w:rPr>
                <w:rFonts w:hint="eastAsia"/>
              </w:rPr>
              <w:t>税率</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tcPr>
          <w:p>
            <w:pPr>
              <w:widowControl/>
              <w:jc w:val="center"/>
              <w:rPr>
                <w:rFonts w:ascii="宋体" w:hAnsi="宋体" w:cs="宋体"/>
                <w:b/>
                <w:bCs/>
                <w:kern w:val="0"/>
                <w:sz w:val="20"/>
              </w:rPr>
            </w:pPr>
            <w:r>
              <w:rPr>
                <w:rFonts w:hint="eastAsia"/>
              </w:rPr>
              <w:t>合计（含税价）</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bl>
    <w:p>
      <w:pPr>
        <w:widowControl/>
        <w:spacing w:line="300" w:lineRule="auto"/>
        <w:rPr>
          <w:rFonts w:ascii="宋体" w:hAnsi="宋体" w:cs="宋体"/>
          <w:sz w:val="22"/>
        </w:rPr>
      </w:pPr>
    </w:p>
    <w:p>
      <w:pPr>
        <w:widowControl/>
        <w:spacing w:line="300" w:lineRule="auto"/>
        <w:rPr>
          <w:rFonts w:ascii="宋体" w:hAnsi="宋体" w:cs="宋体"/>
          <w:sz w:val="22"/>
        </w:rPr>
      </w:pPr>
      <w:r>
        <w:rPr>
          <w:rFonts w:hint="eastAsia" w:ascii="宋体" w:hAnsi="宋体" w:cs="宋体"/>
          <w:sz w:val="22"/>
        </w:rPr>
        <w:t>注：</w:t>
      </w:r>
    </w:p>
    <w:p>
      <w:pPr>
        <w:widowControl/>
        <w:numPr>
          <w:ilvl w:val="0"/>
          <w:numId w:val="10"/>
        </w:numPr>
        <w:tabs>
          <w:tab w:val="left" w:pos="284"/>
          <w:tab w:val="clear" w:pos="1200"/>
        </w:tabs>
        <w:spacing w:line="300" w:lineRule="auto"/>
        <w:ind w:left="284" w:hanging="284"/>
        <w:rPr>
          <w:rFonts w:ascii="宋体" w:hAnsi="宋体" w:cs="宋体"/>
          <w:sz w:val="22"/>
        </w:rPr>
      </w:pPr>
      <w:r>
        <w:rPr>
          <w:rFonts w:hint="eastAsia" w:ascii="宋体" w:hAnsi="宋体" w:cs="宋体"/>
          <w:sz w:val="22"/>
        </w:rPr>
        <w:t>综合单价包括但不限于产品生产、包装、运至指定地点的运输、装卸、保险、安装、调试及各种税费及所有第三章要求的伴随服务等招标文件规定的全部相关费用。</w:t>
      </w: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4.3随机配件和专用工具分项报价表</w:t>
      </w:r>
    </w:p>
    <w:tbl>
      <w:tblPr>
        <w:tblStyle w:val="49"/>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单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合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合计（不含税价）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税率</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bl>
    <w:p>
      <w:pPr>
        <w:spacing w:line="360" w:lineRule="auto"/>
        <w:rPr>
          <w:rFonts w:ascii="宋体" w:hAnsi="宋体"/>
          <w:sz w:val="22"/>
        </w:rPr>
      </w:pPr>
      <w:r>
        <w:rPr>
          <w:rFonts w:hint="eastAsia" w:ascii="宋体" w:hAnsi="宋体" w:cs="宋体"/>
          <w:sz w:val="22"/>
        </w:rPr>
        <w:t>注：根据第三章要求</w:t>
      </w:r>
      <w:r>
        <w:rPr>
          <w:rFonts w:hint="eastAsia" w:ascii="宋体" w:hAnsi="宋体"/>
          <w:sz w:val="22"/>
        </w:rPr>
        <w:t>自行填报。</w:t>
      </w:r>
    </w:p>
    <w:p>
      <w:pPr>
        <w:spacing w:line="360" w:lineRule="auto"/>
        <w:rPr>
          <w:rFonts w:ascii="宋体" w:hAnsi="宋体"/>
          <w:sz w:val="22"/>
        </w:rPr>
      </w:pPr>
      <w:r>
        <w:rPr>
          <w:rFonts w:ascii="宋体" w:hAnsi="宋体"/>
          <w:sz w:val="22"/>
        </w:rPr>
        <w:br w:type="page"/>
      </w:r>
    </w:p>
    <w:p>
      <w:pPr>
        <w:spacing w:line="360" w:lineRule="auto"/>
        <w:jc w:val="center"/>
        <w:rPr>
          <w:rFonts w:ascii="宋体" w:hAnsi="宋体" w:cs="宋体"/>
          <w:b/>
          <w:sz w:val="32"/>
          <w:szCs w:val="32"/>
        </w:rPr>
      </w:pPr>
      <w:r>
        <w:rPr>
          <w:rFonts w:hint="eastAsia" w:ascii="宋体" w:hAnsi="宋体" w:cs="宋体"/>
          <w:b/>
          <w:sz w:val="32"/>
          <w:szCs w:val="32"/>
        </w:rPr>
        <w:t>4.4备品备件分项报价表</w:t>
      </w:r>
    </w:p>
    <w:tbl>
      <w:tblPr>
        <w:tblStyle w:val="49"/>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单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合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合计（不含税价）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税率</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bl>
    <w:p>
      <w:pPr>
        <w:spacing w:line="360" w:lineRule="auto"/>
        <w:rPr>
          <w:rFonts w:ascii="宋体" w:hAnsi="宋体" w:cs="宋体"/>
          <w:sz w:val="22"/>
        </w:rPr>
      </w:pPr>
      <w:r>
        <w:rPr>
          <w:rFonts w:hint="eastAsia" w:ascii="宋体" w:hAnsi="宋体" w:cs="宋体"/>
          <w:sz w:val="22"/>
        </w:rPr>
        <w:t>注：免费质保期</w:t>
      </w:r>
      <w:r>
        <w:rPr>
          <w:rFonts w:ascii="宋体" w:hAnsi="宋体" w:cs="宋体"/>
          <w:sz w:val="22"/>
        </w:rPr>
        <w:t>满后正常运行二年</w:t>
      </w:r>
      <w:r>
        <w:rPr>
          <w:rFonts w:hint="eastAsia" w:ascii="宋体" w:hAnsi="宋体" w:cs="宋体"/>
          <w:sz w:val="22"/>
        </w:rPr>
        <w:t>内</w:t>
      </w:r>
      <w:r>
        <w:rPr>
          <w:rFonts w:ascii="宋体" w:hAnsi="宋体" w:cs="宋体"/>
          <w:sz w:val="22"/>
        </w:rPr>
        <w:t>所需的备品、备件，</w:t>
      </w:r>
      <w:r>
        <w:rPr>
          <w:rFonts w:hint="eastAsia" w:ascii="宋体" w:hAnsi="宋体" w:cs="宋体"/>
          <w:sz w:val="22"/>
        </w:rPr>
        <w:t>清单由投标人自列，费用不计入总价。</w:t>
      </w:r>
    </w:p>
    <w:p>
      <w:pPr>
        <w:spacing w:line="360" w:lineRule="auto"/>
        <w:jc w:val="center"/>
        <w:rPr>
          <w:rFonts w:ascii="宋体" w:hAnsi="宋体" w:cs="宋体"/>
          <w:sz w:val="22"/>
        </w:rPr>
      </w:pPr>
      <w:r>
        <w:rPr>
          <w:rFonts w:ascii="宋体" w:hAnsi="宋体"/>
          <w:sz w:val="22"/>
        </w:rPr>
        <w:br w:type="page"/>
      </w:r>
    </w:p>
    <w:p>
      <w:pPr>
        <w:spacing w:line="440" w:lineRule="exact"/>
        <w:jc w:val="center"/>
        <w:rPr>
          <w:rFonts w:ascii="宋体" w:hAnsi="宋体" w:cs="Arial"/>
          <w:b/>
          <w:sz w:val="22"/>
        </w:rPr>
      </w:pPr>
    </w:p>
    <w:p>
      <w:pPr>
        <w:spacing w:line="440" w:lineRule="exact"/>
        <w:jc w:val="center"/>
        <w:rPr>
          <w:rFonts w:eastAsia="黑体" w:cs="Calibri"/>
          <w:color w:val="000000"/>
          <w:sz w:val="32"/>
          <w:szCs w:val="32"/>
        </w:rPr>
      </w:pPr>
      <w:r>
        <w:rPr>
          <w:rFonts w:hint="eastAsia" w:eastAsia="黑体" w:cs="Calibri"/>
          <w:color w:val="000000"/>
          <w:sz w:val="32"/>
          <w:szCs w:val="32"/>
        </w:rPr>
        <w:t>五、</w:t>
      </w:r>
      <w:r>
        <w:rPr>
          <w:rFonts w:eastAsia="黑体" w:cs="Calibri"/>
          <w:color w:val="000000"/>
          <w:sz w:val="32"/>
          <w:szCs w:val="32"/>
        </w:rPr>
        <w:t>投标人资格证明文件</w:t>
      </w:r>
    </w:p>
    <w:p>
      <w:pPr>
        <w:overflowPunct w:val="0"/>
        <w:autoSpaceDE w:val="0"/>
        <w:autoSpaceDN w:val="0"/>
        <w:spacing w:line="440" w:lineRule="exact"/>
        <w:ind w:left="839" w:hanging="839"/>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（一）投标人一般情况</w:t>
      </w:r>
    </w:p>
    <w:tbl>
      <w:tblPr>
        <w:tblStyle w:val="49"/>
        <w:tblW w:w="909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028"/>
        <w:gridCol w:w="525"/>
        <w:gridCol w:w="187"/>
        <w:gridCol w:w="863"/>
        <w:gridCol w:w="562"/>
        <w:gridCol w:w="278"/>
        <w:gridCol w:w="1440"/>
        <w:gridCol w:w="30"/>
        <w:gridCol w:w="735"/>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企业名称</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主管部门</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经济类型</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法定代表人</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单位简历</w:t>
            </w:r>
          </w:p>
        </w:tc>
        <w:tc>
          <w:tcPr>
            <w:tcW w:w="7643" w:type="dxa"/>
            <w:gridSpan w:val="10"/>
            <w:vAlign w:val="center"/>
          </w:tcPr>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单位优势</w:t>
            </w:r>
          </w:p>
          <w:p>
            <w:pPr>
              <w:snapToGrid w:val="0"/>
              <w:ind w:left="-170" w:right="-170"/>
              <w:jc w:val="center"/>
              <w:rPr>
                <w:rFonts w:ascii="宋体" w:hAnsi="宋体" w:cs="宋体"/>
                <w:sz w:val="22"/>
              </w:rPr>
            </w:pPr>
            <w:r>
              <w:rPr>
                <w:rFonts w:hint="eastAsia" w:ascii="宋体" w:hAnsi="宋体" w:cs="宋体"/>
                <w:sz w:val="22"/>
              </w:rPr>
              <w:t>及 特 长</w:t>
            </w:r>
          </w:p>
        </w:tc>
        <w:tc>
          <w:tcPr>
            <w:tcW w:w="7643" w:type="dxa"/>
            <w:gridSpan w:val="10"/>
            <w:vAlign w:val="center"/>
          </w:tcPr>
          <w:p>
            <w:pPr>
              <w:pStyle w:val="68"/>
              <w:ind w:firstLine="440"/>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textDirection w:val="tbRlV"/>
            <w:vAlign w:val="center"/>
          </w:tcPr>
          <w:p>
            <w:pPr>
              <w:snapToGrid w:val="0"/>
              <w:ind w:left="-170" w:right="-170"/>
              <w:jc w:val="center"/>
              <w:rPr>
                <w:rFonts w:ascii="宋体" w:hAnsi="宋体" w:cs="宋体"/>
                <w:sz w:val="22"/>
              </w:rPr>
            </w:pPr>
            <w:r>
              <w:rPr>
                <w:rFonts w:hint="eastAsia" w:ascii="宋体" w:hAnsi="宋体" w:cs="宋体"/>
                <w:sz w:val="22"/>
              </w:rPr>
              <w:t>单 位 概 况</w:t>
            </w: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职工总人数</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工程技术人员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生产工人</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销售人员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固定</w:t>
            </w:r>
          </w:p>
          <w:p>
            <w:pPr>
              <w:snapToGrid w:val="0"/>
              <w:ind w:left="-170" w:right="-170"/>
              <w:jc w:val="center"/>
              <w:rPr>
                <w:rFonts w:ascii="宋体" w:hAnsi="宋体" w:cs="宋体"/>
                <w:sz w:val="22"/>
              </w:rPr>
            </w:pPr>
            <w:r>
              <w:rPr>
                <w:rFonts w:hint="eastAsia" w:ascii="宋体" w:hAnsi="宋体" w:cs="宋体"/>
                <w:sz w:val="22"/>
              </w:rPr>
              <w:t>资产</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性质</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非生产性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流动</w:t>
            </w:r>
          </w:p>
          <w:p>
            <w:pPr>
              <w:snapToGrid w:val="0"/>
              <w:ind w:left="-170" w:right="-170"/>
              <w:jc w:val="center"/>
              <w:rPr>
                <w:rFonts w:ascii="宋体" w:hAnsi="宋体" w:cs="宋体"/>
                <w:sz w:val="22"/>
              </w:rPr>
            </w:pPr>
            <w:r>
              <w:rPr>
                <w:rFonts w:hint="eastAsia" w:ascii="宋体" w:hAnsi="宋体" w:cs="宋体"/>
                <w:sz w:val="22"/>
              </w:rPr>
              <w:t>资金</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来源</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自有资金</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银行贷款</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3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经营</w:t>
            </w:r>
          </w:p>
          <w:p>
            <w:pPr>
              <w:snapToGrid w:val="0"/>
              <w:ind w:left="-170" w:right="-170"/>
              <w:jc w:val="center"/>
              <w:rPr>
                <w:rFonts w:ascii="宋体" w:hAnsi="宋体" w:cs="宋体"/>
                <w:sz w:val="22"/>
              </w:rPr>
            </w:pPr>
            <w:r>
              <w:rPr>
                <w:rFonts w:hint="eastAsia" w:ascii="宋体" w:hAnsi="宋体" w:cs="宋体"/>
                <w:sz w:val="22"/>
              </w:rPr>
              <w:t>范围</w:t>
            </w:r>
          </w:p>
        </w:tc>
        <w:tc>
          <w:tcPr>
            <w:tcW w:w="7643" w:type="dxa"/>
            <w:gridSpan w:val="10"/>
            <w:vAlign w:val="center"/>
          </w:tcPr>
          <w:p>
            <w:pPr>
              <w:snapToGrid w:val="0"/>
              <w:ind w:left="-170" w:right="-170"/>
              <w:jc w:val="center"/>
              <w:rPr>
                <w:rFonts w:ascii="宋体" w:hAnsi="宋体" w:cs="宋体"/>
                <w:sz w:val="22"/>
              </w:rPr>
            </w:pPr>
          </w:p>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vAlign w:val="center"/>
          </w:tcPr>
          <w:p>
            <w:pPr>
              <w:snapToGrid w:val="0"/>
              <w:ind w:left="-170" w:right="-170"/>
              <w:jc w:val="center"/>
              <w:rPr>
                <w:rFonts w:ascii="宋体" w:hAnsi="宋体" w:cs="宋体"/>
                <w:sz w:val="22"/>
              </w:rPr>
            </w:pPr>
            <w:r>
              <w:rPr>
                <w:rFonts w:hint="eastAsia" w:ascii="宋体" w:hAnsi="宋体" w:cs="宋体"/>
                <w:sz w:val="22"/>
              </w:rPr>
              <w:t>经 济</w:t>
            </w:r>
          </w:p>
          <w:p>
            <w:pPr>
              <w:snapToGrid w:val="0"/>
              <w:ind w:left="-170" w:right="-170"/>
              <w:jc w:val="center"/>
              <w:rPr>
                <w:rFonts w:ascii="宋体" w:hAnsi="宋体" w:cs="宋体"/>
                <w:sz w:val="22"/>
              </w:rPr>
            </w:pPr>
            <w:r>
              <w:rPr>
                <w:rFonts w:hint="eastAsia" w:ascii="宋体" w:hAnsi="宋体" w:cs="宋体"/>
                <w:sz w:val="22"/>
              </w:rPr>
              <w:t>指 标</w:t>
            </w:r>
          </w:p>
        </w:tc>
        <w:tc>
          <w:tcPr>
            <w:tcW w:w="1553" w:type="dxa"/>
            <w:gridSpan w:val="2"/>
            <w:vAlign w:val="center"/>
          </w:tcPr>
          <w:p>
            <w:pPr>
              <w:snapToGrid w:val="0"/>
              <w:ind w:left="-170" w:right="-170"/>
              <w:jc w:val="center"/>
              <w:rPr>
                <w:rFonts w:ascii="宋体" w:hAnsi="宋体" w:cs="宋体"/>
                <w:sz w:val="22"/>
              </w:rPr>
            </w:pPr>
            <w:r>
              <w:rPr>
                <w:rFonts w:hint="eastAsia" w:ascii="宋体" w:hAnsi="宋体" w:cs="宋体"/>
                <w:sz w:val="22"/>
              </w:rPr>
              <w:t>年份</w:t>
            </w:r>
          </w:p>
        </w:tc>
        <w:tc>
          <w:tcPr>
            <w:tcW w:w="6090" w:type="dxa"/>
            <w:gridSpan w:val="8"/>
            <w:vAlign w:val="center"/>
          </w:tcPr>
          <w:p>
            <w:pPr>
              <w:snapToGrid w:val="0"/>
              <w:ind w:left="-170" w:right="-17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tcBorders>
              <w:bottom w:val="single" w:color="auto" w:sz="4" w:space="0"/>
            </w:tcBorders>
            <w:vAlign w:val="center"/>
          </w:tcPr>
          <w:p>
            <w:pPr>
              <w:snapToGrid w:val="0"/>
              <w:ind w:left="-170" w:right="-170"/>
              <w:jc w:val="center"/>
              <w:rPr>
                <w:rFonts w:ascii="宋体" w:hAnsi="宋体" w:cs="宋体"/>
                <w:sz w:val="22"/>
              </w:rPr>
            </w:pPr>
          </w:p>
        </w:tc>
        <w:tc>
          <w:tcPr>
            <w:tcW w:w="1553" w:type="dxa"/>
            <w:gridSpan w:val="2"/>
            <w:tcBorders>
              <w:bottom w:val="single" w:color="auto" w:sz="4" w:space="0"/>
            </w:tcBorders>
            <w:vAlign w:val="center"/>
          </w:tcPr>
          <w:p>
            <w:pPr>
              <w:snapToGrid w:val="0"/>
              <w:ind w:left="-170" w:right="-170"/>
              <w:jc w:val="center"/>
              <w:rPr>
                <w:rFonts w:ascii="宋体" w:hAnsi="宋体" w:cs="宋体"/>
                <w:sz w:val="22"/>
              </w:rPr>
            </w:pPr>
          </w:p>
        </w:tc>
        <w:tc>
          <w:tcPr>
            <w:tcW w:w="6090" w:type="dxa"/>
            <w:gridSpan w:val="8"/>
            <w:tcBorders>
              <w:bottom w:val="single" w:color="auto" w:sz="4" w:space="0"/>
            </w:tcBorders>
            <w:vAlign w:val="center"/>
          </w:tcPr>
          <w:p>
            <w:pPr>
              <w:snapToGrid w:val="0"/>
              <w:ind w:left="-170" w:right="-170"/>
              <w:jc w:val="center"/>
              <w:rPr>
                <w:rFonts w:ascii="宋体" w:hAnsi="宋体" w:cs="宋体"/>
                <w:sz w:val="22"/>
              </w:rPr>
            </w:pPr>
          </w:p>
        </w:tc>
      </w:tr>
    </w:tbl>
    <w:p>
      <w:pPr>
        <w:overflowPunct w:val="0"/>
        <w:autoSpaceDE w:val="0"/>
        <w:autoSpaceDN w:val="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spacing w:line="360" w:lineRule="auto"/>
        <w:jc w:val="center"/>
        <w:rPr>
          <w:rFonts w:ascii="宋体" w:hAnsi="宋体" w:cs="宋体"/>
          <w:b/>
          <w:sz w:val="32"/>
          <w:szCs w:val="32"/>
        </w:rPr>
      </w:pPr>
      <w:r>
        <w:rPr>
          <w:rFonts w:ascii="宋体" w:hAnsi="宋体" w:cs="Calibri"/>
          <w:sz w:val="22"/>
        </w:rPr>
        <w:br w:type="page"/>
      </w:r>
      <w:r>
        <w:rPr>
          <w:rFonts w:hint="eastAsia" w:ascii="宋体" w:hAnsi="宋体" w:cs="宋体"/>
          <w:b/>
          <w:sz w:val="32"/>
          <w:szCs w:val="32"/>
        </w:rPr>
        <w:t>（二）制造商资格声明</w:t>
      </w:r>
    </w:p>
    <w:p>
      <w:pPr>
        <w:numPr>
          <w:ilvl w:val="0"/>
          <w:numId w:val="11"/>
        </w:numPr>
        <w:adjustRightInd w:val="0"/>
        <w:spacing w:before="120" w:beforeLines="50" w:line="360" w:lineRule="auto"/>
        <w:textAlignment w:val="baseline"/>
        <w:rPr>
          <w:rFonts w:ascii="宋体" w:hAnsi="宋体" w:cs="宋体"/>
          <w:sz w:val="22"/>
        </w:rPr>
      </w:pPr>
      <w:r>
        <w:rPr>
          <w:rFonts w:hint="eastAsia" w:ascii="宋体" w:hAnsi="宋体" w:cs="宋体"/>
          <w:sz w:val="22"/>
        </w:rPr>
        <w:t>名称及概况：</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制造商名称：</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总部地址：</w:t>
      </w:r>
      <w:r>
        <w:rPr>
          <w:rFonts w:hint="eastAsia" w:ascii="宋体" w:hAnsi="宋体" w:cs="宋体"/>
          <w:sz w:val="22"/>
          <w:u w:val="single"/>
        </w:rPr>
        <w:t xml:space="preserve">                                                   </w:t>
      </w:r>
    </w:p>
    <w:p>
      <w:pPr>
        <w:spacing w:line="360" w:lineRule="auto"/>
        <w:ind w:left="840" w:firstLine="120"/>
        <w:rPr>
          <w:rFonts w:ascii="宋体" w:hAnsi="宋体" w:cs="宋体"/>
          <w:sz w:val="22"/>
          <w:u w:val="single"/>
        </w:rPr>
      </w:pPr>
      <w:r>
        <w:rPr>
          <w:rFonts w:hint="eastAsia" w:ascii="宋体" w:hAnsi="宋体" w:cs="宋体"/>
          <w:sz w:val="22"/>
        </w:rPr>
        <w:t>电传/传真/电话号码：</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u w:val="single"/>
        </w:rPr>
      </w:pPr>
      <w:r>
        <w:rPr>
          <w:rFonts w:hint="eastAsia" w:ascii="宋体" w:hAnsi="宋体" w:cs="宋体"/>
          <w:sz w:val="22"/>
        </w:rPr>
        <w:t>成立和/或注册日期：</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实收资本：</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近期资产负债表（到</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日止）</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固定资产：</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流动资产：</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长期负债：</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流动负债：</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净值：</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主要负责人姓名：（可选填）</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制造商在中国的代表的姓名和地址：（如有的话）</w:t>
      </w:r>
    </w:p>
    <w:p>
      <w:pPr>
        <w:spacing w:line="360" w:lineRule="auto"/>
        <w:ind w:left="425"/>
        <w:rPr>
          <w:rFonts w:ascii="宋体" w:hAnsi="宋体" w:cs="宋体"/>
          <w:sz w:val="22"/>
        </w:rPr>
      </w:pPr>
      <w:r>
        <w:rPr>
          <w:rFonts w:hint="eastAsia" w:ascii="宋体" w:hAnsi="宋体" w:cs="宋体"/>
          <w:sz w:val="22"/>
          <w:u w:val="single"/>
        </w:rPr>
        <w:t xml:space="preserve">                                                        </w:t>
      </w:r>
    </w:p>
    <w:p>
      <w:pPr>
        <w:numPr>
          <w:ilvl w:val="0"/>
          <w:numId w:val="7"/>
        </w:numPr>
        <w:adjustRightInd w:val="0"/>
        <w:spacing w:line="360" w:lineRule="auto"/>
        <w:textAlignment w:val="baseline"/>
        <w:rPr>
          <w:rFonts w:ascii="宋体" w:hAnsi="宋体" w:cs="宋体"/>
          <w:sz w:val="22"/>
        </w:rPr>
      </w:pPr>
      <w:r>
        <w:rPr>
          <w:rFonts w:hint="eastAsia" w:ascii="宋体" w:hAnsi="宋体" w:cs="宋体"/>
          <w:sz w:val="22"/>
        </w:rPr>
        <w:t>(1) 关于制造投标货物的设施及其它情况：</w:t>
      </w:r>
    </w:p>
    <w:p>
      <w:pPr>
        <w:spacing w:line="360" w:lineRule="auto"/>
        <w:ind w:firstLine="360"/>
        <w:rPr>
          <w:rFonts w:ascii="宋体" w:hAnsi="宋体" w:cs="宋体"/>
          <w:sz w:val="22"/>
        </w:rPr>
      </w:pPr>
      <w:r>
        <w:rPr>
          <w:rFonts w:hint="eastAsia" w:ascii="宋体" w:hAnsi="宋体" w:cs="宋体"/>
          <w:sz w:val="22"/>
        </w:rPr>
        <w:t>工厂名称地址       生产的项目       年生产能力       职工人数</w:t>
      </w:r>
    </w:p>
    <w:p>
      <w:pPr>
        <w:spacing w:line="360" w:lineRule="auto"/>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1"/>
          <w:numId w:val="15"/>
        </w:numPr>
        <w:tabs>
          <w:tab w:val="left" w:pos="780"/>
          <w:tab w:val="clear" w:pos="840"/>
        </w:tabs>
        <w:adjustRightInd w:val="0"/>
        <w:spacing w:line="360" w:lineRule="auto"/>
        <w:ind w:left="780" w:hanging="360"/>
        <w:textAlignment w:val="baseline"/>
        <w:rPr>
          <w:rFonts w:ascii="宋体" w:hAnsi="宋体" w:cs="宋体"/>
          <w:sz w:val="22"/>
        </w:rPr>
      </w:pPr>
      <w:r>
        <w:rPr>
          <w:rFonts w:hint="eastAsia" w:ascii="宋体" w:hAnsi="宋体" w:cs="宋体"/>
          <w:sz w:val="22"/>
        </w:rPr>
        <w:t xml:space="preserve"> 本制造商不生产，而需从其它制造商购买的主要零部件：</w:t>
      </w:r>
    </w:p>
    <w:p>
      <w:pPr>
        <w:spacing w:line="360" w:lineRule="auto"/>
        <w:ind w:firstLine="360"/>
        <w:rPr>
          <w:rFonts w:ascii="宋体" w:hAnsi="宋体" w:cs="宋体"/>
          <w:sz w:val="22"/>
        </w:rPr>
      </w:pPr>
      <w:r>
        <w:rPr>
          <w:rFonts w:hint="eastAsia" w:ascii="宋体" w:hAnsi="宋体" w:cs="宋体"/>
          <w:sz w:val="22"/>
        </w:rPr>
        <w:t>制造商名称和地址               主要零部件名称</w:t>
      </w:r>
    </w:p>
    <w:p>
      <w:pPr>
        <w:spacing w:line="360" w:lineRule="auto"/>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6"/>
        </w:numPr>
        <w:adjustRightInd w:val="0"/>
        <w:spacing w:line="360" w:lineRule="auto"/>
        <w:ind w:right="443" w:rightChars="211"/>
        <w:textAlignment w:val="baseline"/>
        <w:rPr>
          <w:rFonts w:ascii="宋体" w:hAnsi="宋体" w:cs="宋体"/>
          <w:sz w:val="22"/>
        </w:rPr>
      </w:pPr>
      <w:r>
        <w:rPr>
          <w:rFonts w:hint="eastAsia" w:ascii="宋体" w:hAnsi="宋体" w:cs="宋体"/>
          <w:sz w:val="22"/>
        </w:rPr>
        <w:t>本制造商生产投标货物的经验（包括年限、项目业主、额定能力、商业运营的起始日期等）：</w:t>
      </w:r>
    </w:p>
    <w:p>
      <w:pPr>
        <w:spacing w:line="360" w:lineRule="auto"/>
        <w:ind w:firstLine="360"/>
        <w:rPr>
          <w:rFonts w:ascii="宋体" w:hAnsi="宋体" w:cs="宋体"/>
          <w:sz w:val="22"/>
        </w:rPr>
      </w:pPr>
      <w:r>
        <w:rPr>
          <w:rFonts w:hint="eastAsia" w:ascii="宋体" w:hAnsi="宋体" w:cs="宋体"/>
          <w:sz w:val="22"/>
          <w:u w:val="single"/>
        </w:rPr>
        <w:t xml:space="preserve">                                                                 </w:t>
      </w:r>
    </w:p>
    <w:p>
      <w:pPr>
        <w:spacing w:line="360" w:lineRule="auto"/>
        <w:ind w:firstLine="360"/>
        <w:rPr>
          <w:rFonts w:ascii="宋体" w:hAnsi="宋体" w:cs="宋体"/>
          <w:sz w:val="22"/>
        </w:rPr>
      </w:pPr>
      <w:r>
        <w:rPr>
          <w:rFonts w:hint="eastAsia" w:ascii="宋体" w:hAnsi="宋体" w:cs="宋体"/>
          <w:sz w:val="22"/>
          <w:u w:val="single"/>
        </w:rPr>
        <w:t xml:space="preserve">                                                                 </w:t>
      </w:r>
    </w:p>
    <w:p>
      <w:pPr>
        <w:numPr>
          <w:ilvl w:val="0"/>
          <w:numId w:val="16"/>
        </w:numPr>
        <w:adjustRightInd w:val="0"/>
        <w:spacing w:line="360" w:lineRule="auto"/>
        <w:textAlignment w:val="baseline"/>
        <w:rPr>
          <w:rFonts w:ascii="宋体" w:hAnsi="宋体" w:cs="宋体"/>
          <w:sz w:val="22"/>
        </w:rPr>
      </w:pPr>
      <w:r>
        <w:rPr>
          <w:rFonts w:hint="eastAsia" w:ascii="宋体" w:hAnsi="宋体" w:cs="宋体"/>
          <w:sz w:val="22"/>
        </w:rPr>
        <w:t>近3年该货物主要销售给国内、外主要客户的名称地址：</w:t>
      </w:r>
    </w:p>
    <w:p>
      <w:pPr>
        <w:numPr>
          <w:ilvl w:val="0"/>
          <w:numId w:val="17"/>
        </w:numPr>
        <w:adjustRightInd w:val="0"/>
        <w:spacing w:line="360" w:lineRule="auto"/>
        <w:textAlignment w:val="baseline"/>
        <w:rPr>
          <w:rFonts w:ascii="宋体" w:hAnsi="宋体" w:cs="宋体"/>
          <w:sz w:val="22"/>
        </w:rPr>
      </w:pPr>
      <w:r>
        <w:rPr>
          <w:rFonts w:hint="eastAsia" w:ascii="宋体" w:hAnsi="宋体" w:cs="宋体"/>
          <w:sz w:val="22"/>
        </w:rPr>
        <w:t>出口销售</w:t>
      </w:r>
    </w:p>
    <w:p>
      <w:pPr>
        <w:spacing w:line="360" w:lineRule="auto"/>
        <w:ind w:firstLine="84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7"/>
        </w:numPr>
        <w:adjustRightInd w:val="0"/>
        <w:spacing w:line="360" w:lineRule="auto"/>
        <w:textAlignment w:val="baseline"/>
        <w:rPr>
          <w:rFonts w:ascii="宋体" w:hAnsi="宋体" w:cs="宋体"/>
          <w:sz w:val="22"/>
        </w:rPr>
      </w:pPr>
      <w:r>
        <w:rPr>
          <w:rFonts w:hint="eastAsia" w:ascii="宋体" w:hAnsi="宋体" w:cs="宋体"/>
          <w:sz w:val="22"/>
        </w:rPr>
        <w:t>国内销售</w:t>
      </w:r>
    </w:p>
    <w:p>
      <w:pPr>
        <w:spacing w:line="360" w:lineRule="auto"/>
        <w:ind w:firstLine="84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近三年的年营业额</w:t>
      </w:r>
    </w:p>
    <w:p>
      <w:pPr>
        <w:spacing w:line="360" w:lineRule="auto"/>
        <w:ind w:firstLine="480"/>
        <w:rPr>
          <w:rFonts w:ascii="宋体" w:hAnsi="宋体" w:cs="宋体"/>
          <w:sz w:val="22"/>
        </w:rPr>
      </w:pPr>
      <w:r>
        <w:rPr>
          <w:rFonts w:hint="eastAsia" w:ascii="宋体" w:hAnsi="宋体" w:cs="宋体"/>
          <w:sz w:val="22"/>
        </w:rPr>
        <w:t>年份             国内             出口             总额</w:t>
      </w:r>
    </w:p>
    <w:p>
      <w:pPr>
        <w:spacing w:line="360" w:lineRule="auto"/>
        <w:ind w:left="36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u w:val="single"/>
        </w:rPr>
        <w:br w:type="textWrapping"/>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易损件供应商的名称和地址：</w:t>
      </w:r>
    </w:p>
    <w:p>
      <w:pPr>
        <w:spacing w:line="360" w:lineRule="auto"/>
        <w:ind w:firstLine="720"/>
        <w:rPr>
          <w:rFonts w:ascii="宋体" w:hAnsi="宋体" w:cs="宋体"/>
          <w:sz w:val="22"/>
        </w:rPr>
      </w:pPr>
      <w:r>
        <w:rPr>
          <w:rFonts w:hint="eastAsia" w:ascii="宋体" w:hAnsi="宋体" w:cs="宋体"/>
          <w:sz w:val="22"/>
        </w:rPr>
        <w:t>部件名称                              供应商</w:t>
      </w:r>
    </w:p>
    <w:p>
      <w:pPr>
        <w:spacing w:line="360" w:lineRule="auto"/>
        <w:ind w:firstLine="7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720"/>
        <w:rPr>
          <w:rFonts w:ascii="宋体" w:hAnsi="宋体" w:cs="宋体"/>
          <w:sz w:val="22"/>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有关开户银行的名称和地址：</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制造商所属的集团公司（如有的话）：</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其他情况：</w:t>
      </w:r>
      <w:r>
        <w:rPr>
          <w:rFonts w:hint="eastAsia" w:ascii="宋体" w:hAnsi="宋体" w:cs="宋体"/>
          <w:sz w:val="22"/>
          <w:u w:val="single"/>
        </w:rPr>
        <w:t xml:space="preserve">                                                      </w:t>
      </w:r>
    </w:p>
    <w:p>
      <w:pPr>
        <w:spacing w:line="360" w:lineRule="auto"/>
        <w:ind w:left="425"/>
        <w:rPr>
          <w:rFonts w:ascii="宋体" w:hAnsi="宋体" w:cs="宋体"/>
          <w:sz w:val="22"/>
        </w:rPr>
      </w:pPr>
    </w:p>
    <w:p>
      <w:pPr>
        <w:spacing w:line="360" w:lineRule="auto"/>
        <w:ind w:firstLine="440" w:firstLineChars="200"/>
        <w:rPr>
          <w:rFonts w:ascii="宋体" w:hAnsi="宋体" w:cs="宋体"/>
          <w:sz w:val="22"/>
        </w:rPr>
      </w:pPr>
      <w:r>
        <w:rPr>
          <w:rFonts w:hint="eastAsia" w:ascii="宋体" w:hAnsi="宋体" w:cs="宋体"/>
          <w:sz w:val="22"/>
        </w:rPr>
        <w:t>兹证明上述声明是真实、正确的，并提供了全部能提供的资料和数据，我们同意遵照贵方要求出示有关证明文件。</w:t>
      </w:r>
    </w:p>
    <w:p>
      <w:pPr>
        <w:spacing w:line="360" w:lineRule="auto"/>
        <w:rPr>
          <w:rFonts w:ascii="宋体" w:hAnsi="宋体" w:cs="宋体"/>
          <w:sz w:val="22"/>
        </w:rPr>
      </w:pPr>
    </w:p>
    <w:p>
      <w:pPr>
        <w:spacing w:line="360" w:lineRule="auto"/>
        <w:rPr>
          <w:rFonts w:ascii="宋体" w:hAnsi="宋体" w:cs="宋体"/>
          <w:sz w:val="22"/>
        </w:rPr>
      </w:pPr>
    </w:p>
    <w:p>
      <w:pPr>
        <w:spacing w:before="120" w:beforeLines="50" w:line="360" w:lineRule="auto"/>
        <w:rPr>
          <w:rFonts w:ascii="宋体" w:hAnsi="宋体" w:cs="宋体"/>
          <w:sz w:val="22"/>
        </w:rPr>
      </w:pPr>
      <w:r>
        <w:rPr>
          <w:rFonts w:hint="eastAsia" w:ascii="宋体" w:hAnsi="宋体" w:cs="宋体"/>
          <w:sz w:val="22"/>
        </w:rPr>
        <w:t>制造商名称 （公章）</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签字人姓名和职务</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签字人签字</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签字日期</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传真</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电话</w:t>
      </w:r>
      <w:r>
        <w:rPr>
          <w:rFonts w:hint="eastAsia" w:ascii="宋体" w:hAnsi="宋体" w:cs="宋体"/>
          <w:sz w:val="22"/>
          <w:u w:val="single"/>
        </w:rPr>
        <w:t xml:space="preserve">                                               </w:t>
      </w:r>
    </w:p>
    <w:p>
      <w:pPr>
        <w:spacing w:before="120" w:beforeLines="50" w:line="360" w:lineRule="auto"/>
        <w:rPr>
          <w:rFonts w:ascii="宋体" w:hAnsi="宋体" w:cs="宋体"/>
          <w:u w:val="single"/>
        </w:rPr>
      </w:pPr>
    </w:p>
    <w:p>
      <w:pPr>
        <w:overflowPunct w:val="0"/>
        <w:autoSpaceDE w:val="0"/>
        <w:autoSpaceDN w:val="0"/>
        <w:spacing w:line="440" w:lineRule="exact"/>
        <w:jc w:val="left"/>
        <w:rPr>
          <w:rFonts w:ascii="宋体" w:hAnsi="宋体" w:cs="Calibri"/>
          <w:sz w:val="22"/>
        </w:rPr>
      </w:pPr>
    </w:p>
    <w:p>
      <w:pPr>
        <w:spacing w:line="360" w:lineRule="auto"/>
        <w:jc w:val="center"/>
        <w:rPr>
          <w:rFonts w:ascii="宋体" w:hAnsi="宋体" w:cs="宋体"/>
          <w:b/>
          <w:sz w:val="32"/>
          <w:szCs w:val="32"/>
        </w:rPr>
      </w:pPr>
      <w:r>
        <w:rPr>
          <w:rFonts w:ascii="宋体" w:hAnsi="宋体" w:cs="Calibri"/>
          <w:sz w:val="22"/>
        </w:rPr>
        <w:br w:type="page"/>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（三）</w:t>
      </w:r>
      <w:r>
        <w:rPr>
          <w:rFonts w:ascii="宋体" w:hAnsi="宋体" w:cs="宋体"/>
          <w:b/>
          <w:sz w:val="32"/>
          <w:szCs w:val="32"/>
        </w:rPr>
        <w:t>设备制造商的授权书</w:t>
      </w:r>
    </w:p>
    <w:p>
      <w:pPr>
        <w:spacing w:line="360" w:lineRule="auto"/>
        <w:jc w:val="center"/>
        <w:rPr>
          <w:rFonts w:ascii="宋体" w:hAnsi="宋体" w:cs="宋体"/>
          <w:b/>
          <w:sz w:val="32"/>
          <w:szCs w:val="32"/>
        </w:rPr>
      </w:pPr>
      <w:r>
        <w:rPr>
          <w:rFonts w:hint="eastAsia" w:ascii="宋体" w:hAnsi="宋体" w:cs="宋体"/>
          <w:b/>
          <w:sz w:val="32"/>
          <w:szCs w:val="32"/>
        </w:rPr>
        <w:t>（代理商投标时提供）</w:t>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（四）投标产品近三年的销售业绩一览表</w:t>
      </w:r>
    </w:p>
    <w:tbl>
      <w:tblPr>
        <w:tblStyle w:val="49"/>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 xml:space="preserve"> 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建设单位联系方式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bl>
    <w:p>
      <w:pPr>
        <w:spacing w:line="360" w:lineRule="auto"/>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jc w:val="left"/>
        <w:rPr>
          <w:rFonts w:ascii="ˎ̥" w:hAnsi="ˎ̥" w:cs="宋体"/>
          <w:kern w:val="0"/>
          <w:szCs w:val="21"/>
        </w:rPr>
      </w:pPr>
    </w:p>
    <w:p>
      <w:pPr>
        <w:spacing w:line="360" w:lineRule="auto"/>
        <w:jc w:val="center"/>
        <w:rPr>
          <w:rFonts w:ascii="宋体" w:hAnsi="宋体" w:cs="宋体"/>
          <w:b/>
          <w:sz w:val="32"/>
          <w:szCs w:val="32"/>
        </w:rPr>
      </w:pPr>
    </w:p>
    <w:p>
      <w:pPr>
        <w:pStyle w:val="28"/>
        <w:adjustRightInd w:val="0"/>
        <w:snapToGrid w:val="0"/>
        <w:spacing w:line="560" w:lineRule="exact"/>
        <w:rPr>
          <w:rFonts w:hAnsi="宋体"/>
          <w:b/>
        </w:rPr>
      </w:pPr>
      <w:r>
        <w:rPr>
          <w:rFonts w:hAnsi="宋体" w:cs="宋体"/>
          <w:b/>
          <w:sz w:val="32"/>
          <w:szCs w:val="32"/>
        </w:rPr>
        <w:br w:type="page"/>
      </w:r>
    </w:p>
    <w:p>
      <w:pPr>
        <w:spacing w:line="440" w:lineRule="exact"/>
        <w:jc w:val="center"/>
        <w:rPr>
          <w:rFonts w:eastAsia="黑体" w:cs="Calibri"/>
          <w:color w:val="000000"/>
          <w:sz w:val="32"/>
          <w:szCs w:val="32"/>
        </w:rPr>
      </w:pPr>
      <w:r>
        <w:rPr>
          <w:rFonts w:hint="eastAsia" w:eastAsia="黑体" w:cs="Calibri"/>
          <w:color w:val="000000"/>
          <w:sz w:val="32"/>
          <w:szCs w:val="32"/>
        </w:rPr>
        <w:t>六、技术规格偏离表</w:t>
      </w:r>
    </w:p>
    <w:p>
      <w:pPr>
        <w:spacing w:line="560" w:lineRule="exact"/>
        <w:rPr>
          <w:rFonts w:ascii="宋体" w:hAnsi="宋体"/>
        </w:rPr>
      </w:pPr>
    </w:p>
    <w:tbl>
      <w:tblPr>
        <w:tblStyle w:val="49"/>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365"/>
        <w:gridCol w:w="1260"/>
        <w:gridCol w:w="1361"/>
        <w:gridCol w:w="1236"/>
        <w:gridCol w:w="189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vAlign w:val="center"/>
          </w:tcPr>
          <w:p>
            <w:pPr>
              <w:jc w:val="center"/>
              <w:rPr>
                <w:rFonts w:ascii="宋体" w:hAnsi="宋体"/>
                <w:szCs w:val="21"/>
              </w:rPr>
            </w:pPr>
            <w:r>
              <w:rPr>
                <w:rFonts w:hint="eastAsia" w:ascii="宋体" w:hAnsi="宋体"/>
                <w:szCs w:val="21"/>
              </w:rPr>
              <w:t>序号</w:t>
            </w:r>
          </w:p>
        </w:tc>
        <w:tc>
          <w:tcPr>
            <w:tcW w:w="1365" w:type="dxa"/>
            <w:vAlign w:val="center"/>
          </w:tcPr>
          <w:p>
            <w:pPr>
              <w:jc w:val="center"/>
              <w:rPr>
                <w:rFonts w:ascii="宋体" w:hAnsi="宋体"/>
                <w:szCs w:val="21"/>
              </w:rPr>
            </w:pPr>
            <w:r>
              <w:rPr>
                <w:rFonts w:hint="eastAsia" w:ascii="宋体" w:hAnsi="宋体"/>
                <w:szCs w:val="21"/>
              </w:rPr>
              <w:t>货物名称</w:t>
            </w:r>
          </w:p>
        </w:tc>
        <w:tc>
          <w:tcPr>
            <w:tcW w:w="1260" w:type="dxa"/>
            <w:vAlign w:val="center"/>
          </w:tcPr>
          <w:p>
            <w:pPr>
              <w:jc w:val="center"/>
              <w:rPr>
                <w:rFonts w:ascii="宋体" w:hAnsi="宋体"/>
                <w:szCs w:val="21"/>
              </w:rPr>
            </w:pPr>
            <w:r>
              <w:rPr>
                <w:rFonts w:hint="eastAsia" w:ascii="宋体" w:hAnsi="宋体"/>
                <w:szCs w:val="21"/>
              </w:rPr>
              <w:t>招标文件条目号</w:t>
            </w:r>
          </w:p>
        </w:tc>
        <w:tc>
          <w:tcPr>
            <w:tcW w:w="1361" w:type="dxa"/>
            <w:vAlign w:val="center"/>
          </w:tcPr>
          <w:p>
            <w:pPr>
              <w:jc w:val="center"/>
              <w:rPr>
                <w:rFonts w:ascii="宋体" w:hAnsi="宋体"/>
                <w:szCs w:val="21"/>
              </w:rPr>
            </w:pPr>
            <w:r>
              <w:rPr>
                <w:rFonts w:hint="eastAsia" w:ascii="宋体" w:hAnsi="宋体"/>
                <w:szCs w:val="21"/>
              </w:rPr>
              <w:t>招标规格</w:t>
            </w:r>
          </w:p>
        </w:tc>
        <w:tc>
          <w:tcPr>
            <w:tcW w:w="1236" w:type="dxa"/>
            <w:vAlign w:val="center"/>
          </w:tcPr>
          <w:p>
            <w:pPr>
              <w:jc w:val="center"/>
              <w:rPr>
                <w:rFonts w:ascii="宋体" w:hAnsi="宋体"/>
                <w:szCs w:val="21"/>
              </w:rPr>
            </w:pPr>
            <w:r>
              <w:rPr>
                <w:rFonts w:hint="eastAsia" w:ascii="宋体" w:hAnsi="宋体"/>
                <w:szCs w:val="21"/>
              </w:rPr>
              <w:t>投标规格</w:t>
            </w:r>
          </w:p>
        </w:tc>
        <w:tc>
          <w:tcPr>
            <w:tcW w:w="1890" w:type="dxa"/>
            <w:vAlign w:val="center"/>
          </w:tcPr>
          <w:p>
            <w:pPr>
              <w:jc w:val="center"/>
              <w:rPr>
                <w:rFonts w:ascii="宋体" w:hAnsi="宋体"/>
                <w:szCs w:val="21"/>
              </w:rPr>
            </w:pPr>
            <w:r>
              <w:rPr>
                <w:rFonts w:hint="eastAsia" w:ascii="宋体" w:hAnsi="宋体"/>
                <w:szCs w:val="21"/>
              </w:rPr>
              <w:t>偏离</w:t>
            </w:r>
          </w:p>
        </w:tc>
        <w:tc>
          <w:tcPr>
            <w:tcW w:w="1470" w:type="dxa"/>
            <w:vAlign w:val="center"/>
          </w:tcPr>
          <w:p>
            <w:pPr>
              <w:jc w:val="center"/>
              <w:rPr>
                <w:rFonts w:ascii="宋体" w:hAnsi="宋体"/>
                <w:szCs w:val="21"/>
              </w:rPr>
            </w:pPr>
            <w:r>
              <w:rPr>
                <w:rFonts w:hint="eastAsia" w:ascii="宋体" w:hAnsi="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bl>
    <w:p>
      <w:pPr>
        <w:spacing w:line="560" w:lineRule="exact"/>
        <w:rPr>
          <w:rFonts w:ascii="宋体" w:hAnsi="宋体"/>
        </w:rPr>
      </w:pPr>
      <w:r>
        <w:rPr>
          <w:rFonts w:hAnsi="宋体"/>
          <w:bCs/>
        </w:rPr>
        <w:t>注：如不填写，则视为完全响应招标文件的技术要求。</w:t>
      </w:r>
    </w:p>
    <w:p>
      <w:pPr>
        <w:spacing w:line="360" w:lineRule="auto"/>
        <w:jc w:val="center"/>
        <w:rPr>
          <w:rFonts w:hAnsi="宋体"/>
          <w:b/>
        </w:rPr>
      </w:pPr>
    </w:p>
    <w:p>
      <w:pPr>
        <w:pStyle w:val="28"/>
        <w:adjustRightInd w:val="0"/>
        <w:snapToGrid w:val="0"/>
        <w:spacing w:line="560" w:lineRule="exact"/>
        <w:rPr>
          <w:rFonts w:hAnsi="宋体"/>
          <w:b/>
        </w:rPr>
      </w:pPr>
    </w:p>
    <w:p>
      <w:pPr>
        <w:spacing w:line="440" w:lineRule="exact"/>
        <w:jc w:val="center"/>
        <w:rPr>
          <w:rFonts w:eastAsia="黑体" w:cs="Calibri"/>
          <w:color w:val="000000"/>
          <w:sz w:val="32"/>
          <w:szCs w:val="32"/>
        </w:rPr>
      </w:pPr>
      <w:r>
        <w:rPr>
          <w:rFonts w:hint="eastAsia" w:eastAsia="黑体" w:cs="Calibri"/>
          <w:color w:val="000000"/>
          <w:sz w:val="32"/>
          <w:szCs w:val="32"/>
        </w:rPr>
        <w:t>七、</w:t>
      </w:r>
      <w:r>
        <w:rPr>
          <w:rFonts w:eastAsia="黑体" w:cs="Calibri"/>
          <w:color w:val="000000"/>
          <w:sz w:val="32"/>
          <w:szCs w:val="32"/>
        </w:rPr>
        <w:t>商务条款响应</w:t>
      </w:r>
      <w:r>
        <w:rPr>
          <w:rFonts w:hint="eastAsia" w:eastAsia="黑体" w:cs="Calibri"/>
          <w:color w:val="000000"/>
          <w:sz w:val="32"/>
          <w:szCs w:val="32"/>
        </w:rPr>
        <w:t>偏离</w:t>
      </w:r>
      <w:r>
        <w:rPr>
          <w:rFonts w:eastAsia="黑体" w:cs="Calibri"/>
          <w:color w:val="000000"/>
          <w:sz w:val="32"/>
          <w:szCs w:val="32"/>
        </w:rPr>
        <w:t>表</w:t>
      </w:r>
    </w:p>
    <w:tbl>
      <w:tblPr>
        <w:tblStyle w:val="49"/>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00"/>
        <w:gridCol w:w="3510"/>
        <w:gridCol w:w="3510"/>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r>
              <w:rPr>
                <w:rFonts w:hAnsi="宋体"/>
                <w:kern w:val="2"/>
                <w:sz w:val="21"/>
              </w:rPr>
              <w:t>序号</w:t>
            </w:r>
          </w:p>
        </w:tc>
        <w:tc>
          <w:tcPr>
            <w:tcW w:w="900" w:type="dxa"/>
            <w:vAlign w:val="center"/>
          </w:tcPr>
          <w:p>
            <w:pPr>
              <w:pStyle w:val="28"/>
              <w:adjustRightInd w:val="0"/>
              <w:snapToGrid w:val="0"/>
              <w:jc w:val="center"/>
              <w:rPr>
                <w:rFonts w:hAnsi="宋体"/>
                <w:kern w:val="2"/>
                <w:sz w:val="21"/>
              </w:rPr>
            </w:pPr>
            <w:r>
              <w:rPr>
                <w:rFonts w:hAnsi="宋体"/>
                <w:kern w:val="2"/>
                <w:sz w:val="21"/>
              </w:rPr>
              <w:t>内容</w:t>
            </w:r>
          </w:p>
        </w:tc>
        <w:tc>
          <w:tcPr>
            <w:tcW w:w="3510" w:type="dxa"/>
            <w:vAlign w:val="center"/>
          </w:tcPr>
          <w:p>
            <w:pPr>
              <w:pStyle w:val="28"/>
              <w:adjustRightInd w:val="0"/>
              <w:snapToGrid w:val="0"/>
              <w:jc w:val="center"/>
              <w:rPr>
                <w:rFonts w:hAnsi="宋体"/>
                <w:kern w:val="2"/>
                <w:sz w:val="21"/>
              </w:rPr>
            </w:pPr>
            <w:r>
              <w:rPr>
                <w:rFonts w:hAnsi="宋体"/>
                <w:kern w:val="2"/>
                <w:sz w:val="21"/>
              </w:rPr>
              <w:t>招标文件要求</w:t>
            </w:r>
          </w:p>
        </w:tc>
        <w:tc>
          <w:tcPr>
            <w:tcW w:w="3510" w:type="dxa"/>
            <w:vAlign w:val="center"/>
          </w:tcPr>
          <w:p>
            <w:pPr>
              <w:pStyle w:val="28"/>
              <w:adjustRightInd w:val="0"/>
              <w:snapToGrid w:val="0"/>
              <w:jc w:val="center"/>
              <w:rPr>
                <w:rFonts w:hAnsi="宋体"/>
                <w:kern w:val="2"/>
                <w:sz w:val="21"/>
              </w:rPr>
            </w:pPr>
            <w:r>
              <w:rPr>
                <w:rFonts w:hAnsi="宋体"/>
                <w:kern w:val="2"/>
                <w:sz w:val="21"/>
              </w:rPr>
              <w:t>投标文件对应内容</w:t>
            </w:r>
          </w:p>
        </w:tc>
        <w:tc>
          <w:tcPr>
            <w:tcW w:w="827" w:type="dxa"/>
            <w:vAlign w:val="center"/>
          </w:tcPr>
          <w:p>
            <w:pPr>
              <w:pStyle w:val="28"/>
              <w:adjustRightInd w:val="0"/>
              <w:snapToGrid w:val="0"/>
              <w:jc w:val="center"/>
              <w:rPr>
                <w:rFonts w:hAnsi="宋体"/>
                <w:kern w:val="2"/>
                <w:sz w:val="21"/>
              </w:rPr>
            </w:pPr>
            <w:r>
              <w:rPr>
                <w:rFonts w:hAnsi="宋体"/>
                <w:kern w:val="2"/>
                <w:sz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28"/>
              <w:adjustRightInd w:val="0"/>
              <w:snapToGrid w:val="0"/>
              <w:jc w:val="center"/>
              <w:rPr>
                <w:rFonts w:hAnsi="宋体"/>
                <w:kern w:val="2"/>
                <w:sz w:val="21"/>
              </w:rPr>
            </w:pPr>
          </w:p>
        </w:tc>
        <w:tc>
          <w:tcPr>
            <w:tcW w:w="90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3510" w:type="dxa"/>
            <w:vAlign w:val="center"/>
          </w:tcPr>
          <w:p>
            <w:pPr>
              <w:pStyle w:val="28"/>
              <w:adjustRightInd w:val="0"/>
              <w:snapToGrid w:val="0"/>
              <w:jc w:val="center"/>
              <w:rPr>
                <w:rFonts w:hAnsi="宋体"/>
                <w:kern w:val="2"/>
                <w:sz w:val="21"/>
              </w:rPr>
            </w:pPr>
          </w:p>
        </w:tc>
        <w:tc>
          <w:tcPr>
            <w:tcW w:w="827" w:type="dxa"/>
            <w:vAlign w:val="center"/>
          </w:tcPr>
          <w:p>
            <w:pPr>
              <w:pStyle w:val="28"/>
              <w:adjustRightInd w:val="0"/>
              <w:snapToGrid w:val="0"/>
              <w:jc w:val="center"/>
              <w:rPr>
                <w:rFonts w:hAnsi="宋体"/>
                <w:kern w:val="2"/>
                <w:sz w:val="21"/>
              </w:rPr>
            </w:pPr>
          </w:p>
        </w:tc>
      </w:tr>
    </w:tbl>
    <w:p>
      <w:pPr>
        <w:pStyle w:val="28"/>
        <w:adjustRightInd w:val="0"/>
        <w:snapToGrid w:val="0"/>
        <w:spacing w:line="560" w:lineRule="exact"/>
        <w:rPr>
          <w:rFonts w:hAnsi="宋体"/>
          <w:bCs/>
          <w:sz w:val="24"/>
          <w:szCs w:val="24"/>
        </w:rPr>
      </w:pPr>
    </w:p>
    <w:p>
      <w:pPr>
        <w:pStyle w:val="28"/>
        <w:adjustRightInd w:val="0"/>
        <w:snapToGrid w:val="0"/>
        <w:spacing w:line="560" w:lineRule="exact"/>
        <w:rPr>
          <w:rFonts w:hAnsi="宋体"/>
          <w:bCs/>
          <w:sz w:val="24"/>
          <w:szCs w:val="24"/>
        </w:rPr>
      </w:pPr>
      <w:r>
        <w:rPr>
          <w:rFonts w:hAnsi="宋体"/>
          <w:bCs/>
          <w:sz w:val="24"/>
          <w:szCs w:val="24"/>
        </w:rPr>
        <w:t>注：如不填写，则视为完全响应招标文件的</w:t>
      </w:r>
      <w:r>
        <w:rPr>
          <w:rFonts w:hint="eastAsia" w:hAnsi="宋体"/>
          <w:bCs/>
          <w:sz w:val="24"/>
          <w:szCs w:val="24"/>
        </w:rPr>
        <w:t>商务</w:t>
      </w:r>
      <w:r>
        <w:rPr>
          <w:rFonts w:hAnsi="宋体"/>
          <w:bCs/>
          <w:sz w:val="24"/>
          <w:szCs w:val="24"/>
        </w:rPr>
        <w:t>要求。</w:t>
      </w:r>
    </w:p>
    <w:p>
      <w:pPr>
        <w:pStyle w:val="28"/>
        <w:adjustRightInd w:val="0"/>
        <w:snapToGrid w:val="0"/>
        <w:spacing w:line="560" w:lineRule="exact"/>
        <w:rPr>
          <w:rFonts w:hAnsi="宋体"/>
          <w:bCs/>
          <w:sz w:val="24"/>
          <w:szCs w:val="24"/>
        </w:rPr>
      </w:pPr>
    </w:p>
    <w:p>
      <w:pPr>
        <w:widowControl/>
        <w:jc w:val="left"/>
        <w:rPr>
          <w:rFonts w:eastAsia="黑体" w:cs="Calibri"/>
          <w:color w:val="000000"/>
          <w:sz w:val="32"/>
          <w:szCs w:val="32"/>
        </w:rPr>
      </w:pPr>
    </w:p>
    <w:p/>
    <w:p/>
    <w:p/>
    <w:sectPr>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Arial Unicode MS">
    <w:altName w:val="Arial"/>
    <w:panose1 w:val="020B0604020202020204"/>
    <w:charset w:val="00"/>
    <w:family w:val="roman"/>
    <w:pitch w:val="default"/>
    <w:sig w:usb0="00000000" w:usb1="00000000" w:usb2="00000000" w:usb3="00000000" w:csb0="00000001" w:csb1="00000000"/>
  </w:font>
  <w:font w:name="Calibri Light">
    <w:panose1 w:val="020F0302020204030204"/>
    <w:charset w:val="00"/>
    <w:family w:val="swiss"/>
    <w:pitch w:val="default"/>
    <w:sig w:usb0="A00002EF" w:usb1="4000207B" w:usb2="00000000" w:usb3="00000000" w:csb0="2000019F" w:csb1="00000000"/>
  </w:font>
  <w:font w:name="Microsoft YaHei UI">
    <w:panose1 w:val="020B0503020204020204"/>
    <w:charset w:val="86"/>
    <w:family w:val="swiss"/>
    <w:pitch w:val="default"/>
    <w:sig w:usb0="80000287" w:usb1="28C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center"/>
    </w:pPr>
    <w:r>
      <w:fldChar w:fldCharType="begin"/>
    </w:r>
    <w:r>
      <w:instrText xml:space="preserve"> PAGE   \* MERGEFORMAT </w:instrText>
    </w:r>
    <w:r>
      <w:fldChar w:fldCharType="separate"/>
    </w:r>
    <w:r>
      <w:rPr>
        <w:lang w:val="zh-CN"/>
      </w:rPr>
      <w:t>-</w:t>
    </w:r>
    <w:r>
      <w:t xml:space="preserve"> 5 -</w:t>
    </w:r>
    <w:r>
      <w:fldChar w:fldCharType="end"/>
    </w:r>
  </w:p>
  <w:p>
    <w:pPr>
      <w:pStyle w:val="3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45"/>
      </w:rPr>
    </w:pPr>
    <w:r>
      <w:fldChar w:fldCharType="begin"/>
    </w:r>
    <w:r>
      <w:rPr>
        <w:rStyle w:val="45"/>
      </w:rPr>
      <w:instrText xml:space="preserve">PAGE  </w:instrText>
    </w:r>
    <w:r>
      <w:fldChar w:fldCharType="end"/>
    </w:r>
  </w:p>
  <w:p>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center"/>
    </w:pPr>
  </w:p>
  <w:p>
    <w:pPr>
      <w:pStyle w:val="3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rPr>
        <w:szCs w:val="18"/>
      </w:rPr>
    </w:pPr>
    <w:r>
      <w:rPr>
        <w:rFonts w:hint="eastAsia" w:ascii="ˎ̥" w:hAnsi="ˎ̥" w:cs="宋体"/>
        <w:szCs w:val="18"/>
      </w:rPr>
      <w:t>杭州萧山国际机场</w:t>
    </w:r>
    <w:r>
      <w:rPr>
        <w:rFonts w:ascii="ˎ̥" w:hAnsi="ˎ̥" w:cs="宋体"/>
        <w:szCs w:val="18"/>
      </w:rPr>
      <w:t>T2</w:t>
    </w:r>
    <w:r>
      <w:rPr>
        <w:rFonts w:hint="eastAsia" w:ascii="ˎ̥" w:hAnsi="ˎ̥" w:cs="宋体"/>
        <w:szCs w:val="18"/>
      </w:rPr>
      <w:t>航站楼固定廊桥地毯采购项目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lvl w:ilvl="0" w:tentative="0">
      <w:start w:val="6"/>
      <w:numFmt w:val="decimal"/>
      <w:lvlText w:val="(%1)"/>
      <w:lvlJc w:val="left"/>
      <w:pPr>
        <w:tabs>
          <w:tab w:val="left" w:pos="907"/>
        </w:tabs>
        <w:ind w:left="907" w:hanging="482"/>
      </w:pPr>
      <w:rPr>
        <w:rFonts w:hint="eastAsia"/>
        <w:b w:val="0"/>
        <w:i w:val="0"/>
        <w:u w:val="none"/>
      </w:rPr>
    </w:lvl>
  </w:abstractNum>
  <w:abstractNum w:abstractNumId="1">
    <w:nsid w:val="0000000F"/>
    <w:multiLevelType w:val="multilevel"/>
    <w:tmpl w:val="0000000F"/>
    <w:lvl w:ilvl="0" w:tentative="0">
      <w:start w:val="1"/>
      <w:numFmt w:val="decimal"/>
      <w:lvlText w:val="%1."/>
      <w:lvlJc w:val="left"/>
      <w:pPr>
        <w:tabs>
          <w:tab w:val="left" w:pos="1200"/>
        </w:tabs>
        <w:ind w:left="1200" w:hanging="1200"/>
      </w:pPr>
      <w:rPr>
        <w:rFonts w:hint="eastAsia" w:eastAsia="黑体"/>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2">
    <w:nsid w:val="00000011"/>
    <w:multiLevelType w:val="multilevel"/>
    <w:tmpl w:val="00000011"/>
    <w:lvl w:ilvl="0" w:tentative="0">
      <w:start w:val="1"/>
      <w:numFmt w:val="decimal"/>
      <w:lvlText w:val="(%1）"/>
      <w:lvlJc w:val="left"/>
      <w:pPr>
        <w:ind w:left="1146" w:hanging="720"/>
      </w:pPr>
      <w:rPr>
        <w:rFonts w:hint="default" w:ascii="宋体" w:hAnsi="宋体" w:eastAsia="宋体"/>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3">
    <w:nsid w:val="00000015"/>
    <w:multiLevelType w:val="multilevel"/>
    <w:tmpl w:val="00000015"/>
    <w:lvl w:ilvl="0" w:tentative="0">
      <w:start w:val="5"/>
      <w:numFmt w:val="decimal"/>
      <w:lvlText w:val="附件%1"/>
      <w:lvlJc w:val="left"/>
      <w:pPr>
        <w:tabs>
          <w:tab w:val="left" w:pos="1134"/>
        </w:tabs>
        <w:ind w:left="1134" w:hanging="1134"/>
      </w:pPr>
      <w:rPr>
        <w:rFonts w:hint="eastAsia" w:ascii="宋体" w:hAnsi="宋体" w:eastAsia="宋体"/>
        <w:b/>
        <w:i w:val="0"/>
        <w:sz w:val="24"/>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45"/>
    <w:multiLevelType w:val="singleLevel"/>
    <w:tmpl w:val="00000045"/>
    <w:lvl w:ilvl="0" w:tentative="0">
      <w:start w:val="1"/>
      <w:numFmt w:val="decimal"/>
      <w:lvlText w:val="%1)"/>
      <w:lvlJc w:val="left"/>
      <w:pPr>
        <w:tabs>
          <w:tab w:val="left" w:pos="1304"/>
        </w:tabs>
        <w:ind w:left="1304" w:hanging="397"/>
      </w:pPr>
      <w:rPr>
        <w:rFonts w:hint="eastAsia"/>
      </w:rPr>
    </w:lvl>
  </w:abstractNum>
  <w:abstractNum w:abstractNumId="5">
    <w:nsid w:val="00000046"/>
    <w:multiLevelType w:val="multilevel"/>
    <w:tmpl w:val="00000046"/>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6">
    <w:nsid w:val="00000049"/>
    <w:multiLevelType w:val="singleLevel"/>
    <w:tmpl w:val="00000049"/>
    <w:lvl w:ilvl="0" w:tentative="0">
      <w:start w:val="1"/>
      <w:numFmt w:val="decimal"/>
      <w:lvlText w:val="%1."/>
      <w:lvlJc w:val="left"/>
      <w:pPr>
        <w:tabs>
          <w:tab w:val="left" w:pos="425"/>
        </w:tabs>
        <w:ind w:left="425" w:hanging="425"/>
      </w:pPr>
      <w:rPr>
        <w:rFonts w:hint="default" w:ascii="Times New Roman" w:hAnsi="Times New Roman"/>
      </w:rPr>
    </w:lvl>
  </w:abstractNum>
  <w:abstractNum w:abstractNumId="7">
    <w:nsid w:val="00000077"/>
    <w:multiLevelType w:val="singleLevel"/>
    <w:tmpl w:val="00000077"/>
    <w:lvl w:ilvl="0" w:tentative="0">
      <w:start w:val="1"/>
      <w:numFmt w:val="decimal"/>
      <w:lvlText w:val="(%1)"/>
      <w:lvlJc w:val="left"/>
      <w:pPr>
        <w:tabs>
          <w:tab w:val="left" w:pos="907"/>
        </w:tabs>
        <w:ind w:left="907" w:hanging="482"/>
      </w:pPr>
      <w:rPr>
        <w:rFonts w:hint="default" w:ascii="Times New Roman" w:hAnsi="Times New Roman"/>
        <w:b w:val="0"/>
        <w:i w:val="0"/>
        <w:u w:val="none"/>
      </w:rPr>
    </w:lvl>
  </w:abstractNum>
  <w:abstractNum w:abstractNumId="8">
    <w:nsid w:val="00000089"/>
    <w:multiLevelType w:val="singleLevel"/>
    <w:tmpl w:val="00000089"/>
    <w:lvl w:ilvl="0" w:tentative="0">
      <w:start w:val="1"/>
      <w:numFmt w:val="decimal"/>
      <w:lvlText w:val="(%1)"/>
      <w:lvlJc w:val="left"/>
      <w:pPr>
        <w:tabs>
          <w:tab w:val="left" w:pos="907"/>
        </w:tabs>
        <w:ind w:left="907" w:hanging="482"/>
      </w:pPr>
      <w:rPr>
        <w:rFonts w:hint="eastAsia"/>
        <w:b w:val="0"/>
        <w:i w:val="0"/>
        <w:u w:val="none"/>
      </w:rPr>
    </w:lvl>
  </w:abstractNum>
  <w:abstractNum w:abstractNumId="9">
    <w:nsid w:val="00000093"/>
    <w:multiLevelType w:val="singleLevel"/>
    <w:tmpl w:val="00000093"/>
    <w:lvl w:ilvl="0" w:tentative="0">
      <w:start w:val="5"/>
      <w:numFmt w:val="decimal"/>
      <w:lvlText w:val="%1."/>
      <w:lvlJc w:val="left"/>
      <w:pPr>
        <w:tabs>
          <w:tab w:val="left" w:pos="425"/>
        </w:tabs>
        <w:ind w:left="425" w:hanging="425"/>
      </w:pPr>
      <w:rPr>
        <w:rFonts w:hint="default" w:ascii="Times New Roman" w:hAnsi="Times New Roman"/>
      </w:rPr>
    </w:lvl>
  </w:abstractNum>
  <w:abstractNum w:abstractNumId="10">
    <w:nsid w:val="0000009C"/>
    <w:multiLevelType w:val="singleLevel"/>
    <w:tmpl w:val="0000009C"/>
    <w:lvl w:ilvl="0" w:tentative="0">
      <w:start w:val="3"/>
      <w:numFmt w:val="decimal"/>
      <w:lvlText w:val="%1."/>
      <w:lvlJc w:val="left"/>
      <w:pPr>
        <w:tabs>
          <w:tab w:val="left" w:pos="425"/>
        </w:tabs>
        <w:ind w:left="425" w:hanging="425"/>
      </w:pPr>
      <w:rPr>
        <w:rFonts w:hint="default" w:ascii="Times New Roman" w:hAnsi="Times New Roman"/>
      </w:rPr>
    </w:lvl>
  </w:abstractNum>
  <w:abstractNum w:abstractNumId="11">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2">
    <w:nsid w:val="000000B6"/>
    <w:multiLevelType w:val="multilevel"/>
    <w:tmpl w:val="000000B6"/>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9063A6D"/>
    <w:multiLevelType w:val="singleLevel"/>
    <w:tmpl w:val="19063A6D"/>
    <w:lvl w:ilvl="0" w:tentative="0">
      <w:start w:val="1"/>
      <w:numFmt w:val="decimal"/>
      <w:lvlText w:val="(%1)"/>
      <w:lvlJc w:val="left"/>
      <w:pPr>
        <w:tabs>
          <w:tab w:val="left" w:pos="907"/>
        </w:tabs>
        <w:ind w:left="907" w:hanging="482"/>
      </w:pPr>
      <w:rPr>
        <w:rFonts w:hint="eastAsia"/>
        <w:b w:val="0"/>
        <w:i w:val="0"/>
        <w:u w:val="none"/>
      </w:rPr>
    </w:lvl>
  </w:abstractNum>
  <w:abstractNum w:abstractNumId="14">
    <w:nsid w:val="466C6E1F"/>
    <w:multiLevelType w:val="multilevel"/>
    <w:tmpl w:val="466C6E1F"/>
    <w:lvl w:ilvl="0" w:tentative="0">
      <w:start w:val="1"/>
      <w:numFmt w:val="upperLetter"/>
      <w:pStyle w:val="4"/>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15">
    <w:nsid w:val="5D3AC037"/>
    <w:multiLevelType w:val="singleLevel"/>
    <w:tmpl w:val="5D3AC037"/>
    <w:lvl w:ilvl="0" w:tentative="0">
      <w:start w:val="1"/>
      <w:numFmt w:val="bullet"/>
      <w:pStyle w:val="20"/>
      <w:lvlText w:val=""/>
      <w:lvlJc w:val="left"/>
      <w:pPr>
        <w:tabs>
          <w:tab w:val="left" w:pos="360"/>
        </w:tabs>
        <w:ind w:left="360" w:hanging="360"/>
      </w:pPr>
      <w:rPr>
        <w:rFonts w:hint="default" w:ascii="Wingdings" w:hAnsi="Wingdings"/>
      </w:rPr>
    </w:lvl>
  </w:abstractNum>
  <w:abstractNum w:abstractNumId="16">
    <w:nsid w:val="5D3AC058"/>
    <w:multiLevelType w:val="singleLevel"/>
    <w:tmpl w:val="5D3AC058"/>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7">
    <w:nsid w:val="7CB61C1F"/>
    <w:multiLevelType w:val="multilevel"/>
    <w:tmpl w:val="7CB61C1F"/>
    <w:lvl w:ilvl="0" w:tentative="0">
      <w:start w:val="1"/>
      <w:numFmt w:val="bullet"/>
      <w:lvlText w:val=""/>
      <w:lvlJc w:val="left"/>
      <w:pPr>
        <w:tabs>
          <w:tab w:val="left" w:pos="624"/>
        </w:tabs>
        <w:ind w:left="454" w:hanging="454"/>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pStyle w:val="148"/>
      <w:lvlText w:val=""/>
      <w:lvlJc w:val="left"/>
      <w:pPr>
        <w:tabs>
          <w:tab w:val="left" w:pos="3780"/>
        </w:tabs>
        <w:ind w:left="3780" w:hanging="420"/>
      </w:pPr>
      <w:rPr>
        <w:rFonts w:hint="default" w:ascii="Wingdings" w:hAnsi="Wingdings"/>
      </w:rPr>
    </w:lvl>
  </w:abstractNum>
  <w:num w:numId="1">
    <w:abstractNumId w:val="14"/>
  </w:num>
  <w:num w:numId="2">
    <w:abstractNumId w:val="15"/>
  </w:num>
  <w:num w:numId="3">
    <w:abstractNumId w:val="16"/>
  </w:num>
  <w:num w:numId="4">
    <w:abstractNumId w:val="17"/>
  </w:num>
  <w:num w:numId="5">
    <w:abstractNumId w:val="2"/>
  </w:num>
  <w:num w:numId="6">
    <w:abstractNumId w:val="13"/>
  </w:num>
  <w:num w:numId="7">
    <w:abstractNumId w:val="11"/>
  </w:num>
  <w:num w:numId="8">
    <w:abstractNumId w:val="5"/>
  </w:num>
  <w:num w:numId="9">
    <w:abstractNumId w:val="12"/>
  </w:num>
  <w:num w:numId="10">
    <w:abstractNumId w:val="1"/>
  </w:num>
  <w:num w:numId="11">
    <w:abstractNumId w:val="6"/>
  </w:num>
  <w:num w:numId="12">
    <w:abstractNumId w:val="8"/>
  </w:num>
  <w:num w:numId="13">
    <w:abstractNumId w:val="4"/>
  </w:num>
  <w:num w:numId="14">
    <w:abstractNumId w:val="0"/>
  </w:num>
  <w:num w:numId="15">
    <w:abstractNumId w:val="3"/>
  </w:num>
  <w:num w:numId="16">
    <w:abstractNumId w:val="10"/>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12E5D"/>
    <w:rsid w:val="000A0C09"/>
    <w:rsid w:val="001B3087"/>
    <w:rsid w:val="003B3E27"/>
    <w:rsid w:val="004B4A68"/>
    <w:rsid w:val="004E317A"/>
    <w:rsid w:val="005A09D3"/>
    <w:rsid w:val="006E78BC"/>
    <w:rsid w:val="007769B5"/>
    <w:rsid w:val="007B4B3D"/>
    <w:rsid w:val="00857F20"/>
    <w:rsid w:val="00954197"/>
    <w:rsid w:val="0096249F"/>
    <w:rsid w:val="00B21B47"/>
    <w:rsid w:val="00BC435F"/>
    <w:rsid w:val="00C44284"/>
    <w:rsid w:val="00CA39D2"/>
    <w:rsid w:val="00CD0102"/>
    <w:rsid w:val="00D4760D"/>
    <w:rsid w:val="00D72DF1"/>
    <w:rsid w:val="00DB171A"/>
    <w:rsid w:val="00E12E5D"/>
    <w:rsid w:val="00E1681B"/>
    <w:rsid w:val="00E469AB"/>
    <w:rsid w:val="00E67F71"/>
    <w:rsid w:val="00EF1A14"/>
    <w:rsid w:val="00F002AF"/>
    <w:rsid w:val="00FC7FCE"/>
    <w:rsid w:val="1492619A"/>
    <w:rsid w:val="19274A63"/>
    <w:rsid w:val="3683070A"/>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semiHidden="0" w:name="index 1"/>
    <w:lsdException w:uiPriority="99" w:name="index 2"/>
    <w:lsdException w:uiPriority="99" w:name="index 3"/>
    <w:lsdException w:uiPriority="99" w:name="index 4"/>
    <w:lsdException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semiHidden="0" w:name="Normal Indent"/>
    <w:lsdException w:uiPriority="99" w:name="footnote text"/>
    <w:lsdException w:uiPriority="0" w:semiHidden="0" w:name="annotation text"/>
    <w:lsdException w:uiPriority="0" w:semiHidden="0" w:name="header"/>
    <w:lsdException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0" w:semiHidden="0" w:name="page number"/>
    <w:lsdException w:uiPriority="99" w:name="endnote reference"/>
    <w:lsdException w:uiPriority="99" w:name="endnote text"/>
    <w:lsdException w:uiPriority="0" w:semiHidden="0" w:name="table of authorities"/>
    <w:lsdException w:uiPriority="99" w:name="macro"/>
    <w:lsdException w:uiPriority="99" w:name="toa heading"/>
    <w:lsdException w:uiPriority="0" w:semiHidden="0" w:name="List"/>
    <w:lsdException w:uiPriority="0" w:semiHidden="0" w:name="List Bullet"/>
    <w:lsdException w:uiPriority="99" w:name="List Number"/>
    <w:lsdException w:uiPriority="0" w:semiHidden="0" w:name="List 2"/>
    <w:lsdException w:uiPriority="0" w:semiHidden="0" w:name="List 3"/>
    <w:lsdException w:uiPriority="0" w:semiHidden="0" w:name="List 4"/>
    <w:lsdException w:uiPriority="99" w:name="List 5"/>
    <w:lsdException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0" w:semiHidden="0" w:name="Body Text"/>
    <w:lsdException w:uiPriority="0" w:semiHidden="0" w:name="Body Text Indent"/>
    <w:lsdException w:uiPriority="0" w:semiHidden="0" w:name="List Continue"/>
    <w:lsdException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0" w:semiHidden="0" w:name="Date"/>
    <w:lsdException w:uiPriority="99" w:semiHidden="0" w:name="Body Text First Indent"/>
    <w:lsdException w:uiPriority="99" w:semiHidden="0" w:name="Body Text First Indent 2"/>
    <w:lsdException w:uiPriority="99" w:name="Note Heading"/>
    <w:lsdException w:uiPriority="0" w:semiHidden="0" w:name="Body Text 2"/>
    <w:lsdException w:uiPriority="0" w:semiHidden="0" w:name="Body Text 3"/>
    <w:lsdException w:uiPriority="0" w:semiHidden="0" w:name="Body Text Indent 2"/>
    <w:lsdException w:uiPriority="0" w:semiHidden="0" w:name="Body Text Indent 3"/>
    <w:lsdException w:uiPriority="0" w:semiHidden="0" w:name="Block Text"/>
    <w:lsdException w:uiPriority="99" w:semiHidden="0" w:name="Hyperlink"/>
    <w:lsdException w:uiPriority="99" w:semiHidden="0" w:name="FollowedHyperlink"/>
    <w:lsdException w:qFormat="1" w:unhideWhenUsed="0" w:uiPriority="0" w:semiHidden="0" w:name="Strong"/>
    <w:lsdException w:qFormat="1" w:unhideWhenUsed="0" w:uiPriority="20" w:semiHidden="0" w:name="Emphasis"/>
    <w:lsdException w:uiPriority="0" w:semiHidden="0" w:name="Document Map"/>
    <w:lsdException w:uiPriority="0" w:semiHidden="0"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9"/>
    <w:qFormat/>
    <w:uiPriority w:val="0"/>
    <w:pPr>
      <w:keepNext/>
      <w:keepLines/>
      <w:spacing w:before="340" w:after="330" w:line="360" w:lineRule="auto"/>
      <w:jc w:val="center"/>
      <w:outlineLvl w:val="0"/>
    </w:pPr>
    <w:rPr>
      <w:rFonts w:ascii="Times New Roman" w:hAnsi="Times New Roman" w:eastAsia="宋体" w:cs="Times New Roman"/>
      <w:b/>
      <w:bCs/>
      <w:kern w:val="44"/>
      <w:sz w:val="30"/>
      <w:szCs w:val="44"/>
    </w:rPr>
  </w:style>
  <w:style w:type="paragraph" w:styleId="3">
    <w:name w:val="heading 2"/>
    <w:basedOn w:val="1"/>
    <w:next w:val="1"/>
    <w:link w:val="60"/>
    <w:unhideWhenUsed/>
    <w:qFormat/>
    <w:uiPriority w:val="0"/>
    <w:pPr>
      <w:keepNext/>
      <w:keepLines/>
      <w:spacing w:before="260" w:after="260" w:line="360" w:lineRule="auto"/>
      <w:jc w:val="center"/>
      <w:outlineLvl w:val="1"/>
    </w:pPr>
    <w:rPr>
      <w:rFonts w:ascii="Arial" w:hAnsi="Arial" w:eastAsia="宋体" w:cs="Times New Roman"/>
      <w:b/>
      <w:bCs/>
      <w:kern w:val="0"/>
      <w:sz w:val="28"/>
      <w:szCs w:val="32"/>
    </w:rPr>
  </w:style>
  <w:style w:type="paragraph" w:styleId="4">
    <w:name w:val="heading 3"/>
    <w:basedOn w:val="1"/>
    <w:next w:val="1"/>
    <w:link w:val="61"/>
    <w:unhideWhenUsed/>
    <w:qFormat/>
    <w:uiPriority w:val="0"/>
    <w:pPr>
      <w:keepNext/>
      <w:numPr>
        <w:ilvl w:val="0"/>
        <w:numId w:val="1"/>
      </w:numPr>
      <w:spacing w:line="216" w:lineRule="auto"/>
      <w:outlineLvl w:val="2"/>
    </w:pPr>
    <w:rPr>
      <w:rFonts w:ascii="宋体" w:hAnsi="Times New Roman" w:eastAsia="宋体" w:cs="Times New Roman"/>
      <w:b/>
      <w:kern w:val="0"/>
      <w:sz w:val="28"/>
      <w:szCs w:val="20"/>
    </w:rPr>
  </w:style>
  <w:style w:type="paragraph" w:styleId="5">
    <w:name w:val="heading 4"/>
    <w:basedOn w:val="1"/>
    <w:next w:val="1"/>
    <w:link w:val="62"/>
    <w:unhideWhenUsed/>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6">
    <w:name w:val="heading 5"/>
    <w:basedOn w:val="1"/>
    <w:next w:val="1"/>
    <w:link w:val="63"/>
    <w:unhideWhenUsed/>
    <w:qFormat/>
    <w:uiPriority w:val="0"/>
    <w:pPr>
      <w:keepNext/>
      <w:keepLines/>
      <w:spacing w:before="280" w:after="290" w:line="376" w:lineRule="auto"/>
      <w:outlineLvl w:val="4"/>
    </w:pPr>
    <w:rPr>
      <w:rFonts w:ascii="Times New Roman" w:hAnsi="Times New Roman" w:eastAsia="宋体" w:cs="Times New Roman"/>
      <w:b/>
      <w:bCs/>
      <w:kern w:val="0"/>
      <w:sz w:val="28"/>
      <w:szCs w:val="28"/>
    </w:rPr>
  </w:style>
  <w:style w:type="paragraph" w:styleId="7">
    <w:name w:val="heading 6"/>
    <w:basedOn w:val="1"/>
    <w:next w:val="1"/>
    <w:link w:val="64"/>
    <w:unhideWhenUsed/>
    <w:qFormat/>
    <w:uiPriority w:val="0"/>
    <w:pPr>
      <w:keepNext/>
      <w:keepLines/>
      <w:spacing w:before="240" w:after="64" w:line="320" w:lineRule="auto"/>
      <w:outlineLvl w:val="5"/>
    </w:pPr>
    <w:rPr>
      <w:rFonts w:ascii="Arial" w:hAnsi="Arial" w:eastAsia="黑体" w:cs="Times New Roman"/>
      <w:b/>
      <w:bCs/>
      <w:kern w:val="0"/>
      <w:sz w:val="24"/>
      <w:szCs w:val="24"/>
    </w:rPr>
  </w:style>
  <w:style w:type="paragraph" w:styleId="8">
    <w:name w:val="heading 7"/>
    <w:basedOn w:val="1"/>
    <w:next w:val="1"/>
    <w:link w:val="65"/>
    <w:unhideWhenUsed/>
    <w:qFormat/>
    <w:uiPriority w:val="0"/>
    <w:pPr>
      <w:keepNext/>
      <w:keepLines/>
      <w:tabs>
        <w:tab w:val="left" w:pos="1296"/>
      </w:tabs>
      <w:spacing w:before="240" w:after="64" w:line="320" w:lineRule="auto"/>
      <w:ind w:left="1296" w:hanging="1296"/>
      <w:outlineLvl w:val="6"/>
    </w:pPr>
    <w:rPr>
      <w:rFonts w:ascii="Times New Roman" w:hAnsi="Times New Roman" w:eastAsia="宋体" w:cs="Times New Roman"/>
      <w:b/>
      <w:bCs/>
      <w:kern w:val="0"/>
      <w:sz w:val="24"/>
      <w:szCs w:val="24"/>
    </w:rPr>
  </w:style>
  <w:style w:type="paragraph" w:styleId="9">
    <w:name w:val="heading 8"/>
    <w:basedOn w:val="1"/>
    <w:next w:val="1"/>
    <w:link w:val="66"/>
    <w:unhideWhenUsed/>
    <w:qFormat/>
    <w:uiPriority w:val="0"/>
    <w:pPr>
      <w:keepNext/>
      <w:keepLines/>
      <w:tabs>
        <w:tab w:val="left" w:pos="1440"/>
      </w:tabs>
      <w:spacing w:before="240" w:after="64" w:line="320" w:lineRule="auto"/>
      <w:ind w:left="1440" w:hanging="1440"/>
      <w:outlineLvl w:val="7"/>
    </w:pPr>
    <w:rPr>
      <w:rFonts w:ascii="Arial" w:hAnsi="Arial" w:eastAsia="黑体" w:cs="Times New Roman"/>
      <w:kern w:val="0"/>
      <w:sz w:val="24"/>
      <w:szCs w:val="24"/>
    </w:rPr>
  </w:style>
  <w:style w:type="paragraph" w:styleId="10">
    <w:name w:val="heading 9"/>
    <w:basedOn w:val="1"/>
    <w:next w:val="1"/>
    <w:link w:val="67"/>
    <w:unhideWhenUsed/>
    <w:qFormat/>
    <w:uiPriority w:val="0"/>
    <w:pPr>
      <w:keepNext/>
      <w:keepLines/>
      <w:tabs>
        <w:tab w:val="left" w:pos="1584"/>
      </w:tabs>
      <w:spacing w:before="240" w:after="64" w:line="320" w:lineRule="auto"/>
      <w:ind w:left="1584" w:hanging="1584"/>
      <w:outlineLvl w:val="8"/>
    </w:pPr>
    <w:rPr>
      <w:rFonts w:ascii="Arial" w:hAnsi="Arial" w:eastAsia="黑体" w:cs="Times New Roman"/>
      <w:kern w:val="0"/>
      <w:sz w:val="20"/>
      <w:szCs w:val="21"/>
    </w:rPr>
  </w:style>
  <w:style w:type="character" w:default="1" w:styleId="43">
    <w:name w:val="Default Paragraph Font"/>
    <w:unhideWhenUsed/>
    <w:uiPriority w:val="1"/>
  </w:style>
  <w:style w:type="table" w:default="1" w:styleId="49">
    <w:name w:val="Normal Table"/>
    <w:unhideWhenUsed/>
    <w:uiPriority w:val="99"/>
    <w:tblPr>
      <w:tblLayout w:type="fixed"/>
      <w:tblCellMar>
        <w:top w:w="0" w:type="dxa"/>
        <w:left w:w="108" w:type="dxa"/>
        <w:bottom w:w="0" w:type="dxa"/>
        <w:right w:w="108" w:type="dxa"/>
      </w:tblCellMar>
    </w:tblPr>
  </w:style>
  <w:style w:type="paragraph" w:styleId="11">
    <w:name w:val="List 3"/>
    <w:basedOn w:val="1"/>
    <w:unhideWhenUsed/>
    <w:uiPriority w:val="0"/>
    <w:pPr>
      <w:ind w:left="100" w:leftChars="400" w:hanging="200" w:hangingChars="200"/>
    </w:pPr>
    <w:rPr>
      <w:rFonts w:ascii="Times New Roman" w:hAnsi="Times New Roman" w:eastAsia="宋体" w:cs="Times New Roman"/>
      <w:szCs w:val="24"/>
    </w:rPr>
  </w:style>
  <w:style w:type="paragraph" w:styleId="12">
    <w:name w:val="annotation subject"/>
    <w:basedOn w:val="13"/>
    <w:next w:val="13"/>
    <w:link w:val="110"/>
    <w:unhideWhenUsed/>
    <w:uiPriority w:val="0"/>
    <w:rPr>
      <w:rFonts w:ascii="Times New Roman" w:hAnsi="Times New Roman" w:eastAsia="宋体" w:cs="Times New Roman"/>
      <w:b/>
      <w:bCs/>
      <w:kern w:val="0"/>
      <w:sz w:val="20"/>
    </w:rPr>
  </w:style>
  <w:style w:type="paragraph" w:styleId="13">
    <w:name w:val="annotation text"/>
    <w:basedOn w:val="1"/>
    <w:link w:val="111"/>
    <w:unhideWhenUsed/>
    <w:uiPriority w:val="0"/>
    <w:pPr>
      <w:jc w:val="left"/>
    </w:pPr>
  </w:style>
  <w:style w:type="paragraph" w:styleId="14">
    <w:name w:val="Body Text First Indent"/>
    <w:basedOn w:val="15"/>
    <w:link w:val="102"/>
    <w:unhideWhenUsed/>
    <w:uiPriority w:val="99"/>
    <w:pPr>
      <w:ind w:firstLine="420" w:firstLineChars="100"/>
    </w:pPr>
    <w:rPr>
      <w:rFonts w:ascii="Times New Roman" w:hAnsi="Times New Roman"/>
      <w:kern w:val="0"/>
      <w:sz w:val="20"/>
    </w:rPr>
  </w:style>
  <w:style w:type="paragraph" w:styleId="15">
    <w:name w:val="Body Text"/>
    <w:basedOn w:val="1"/>
    <w:link w:val="105"/>
    <w:unhideWhenUsed/>
    <w:uiPriority w:val="0"/>
    <w:pPr>
      <w:spacing w:after="120"/>
    </w:pPr>
    <w:rPr>
      <w:rFonts w:ascii="Calibri" w:hAnsi="Calibri" w:eastAsia="宋体" w:cs="Times New Roman"/>
      <w:sz w:val="24"/>
      <w:szCs w:val="24"/>
    </w:rPr>
  </w:style>
  <w:style w:type="paragraph" w:styleId="16">
    <w:name w:val="table of authorities"/>
    <w:basedOn w:val="1"/>
    <w:next w:val="1"/>
    <w:unhideWhenUsed/>
    <w:uiPriority w:val="0"/>
    <w:pPr>
      <w:ind w:left="420" w:leftChars="200"/>
    </w:pPr>
    <w:rPr>
      <w:rFonts w:ascii="Times New Roman" w:hAnsi="Times New Roman" w:eastAsia="宋体" w:cs="Times New Roman"/>
      <w:szCs w:val="24"/>
    </w:rPr>
  </w:style>
  <w:style w:type="paragraph" w:styleId="17">
    <w:name w:val="Normal Indent"/>
    <w:basedOn w:val="1"/>
    <w:unhideWhenUsed/>
    <w:uiPriority w:val="0"/>
    <w:pPr>
      <w:ind w:firstLine="420"/>
    </w:pPr>
    <w:rPr>
      <w:rFonts w:ascii="Times New Roman" w:hAnsi="Times New Roman" w:eastAsia="宋体" w:cs="Times New Roman"/>
      <w:szCs w:val="20"/>
    </w:rPr>
  </w:style>
  <w:style w:type="paragraph" w:styleId="18">
    <w:name w:val="caption"/>
    <w:basedOn w:val="1"/>
    <w:next w:val="1"/>
    <w:unhideWhenUsed/>
    <w:qFormat/>
    <w:uiPriority w:val="0"/>
    <w:rPr>
      <w:rFonts w:ascii="Arial" w:hAnsi="Arial" w:eastAsia="黑体" w:cs="Arial"/>
      <w:sz w:val="20"/>
      <w:szCs w:val="20"/>
    </w:rPr>
  </w:style>
  <w:style w:type="paragraph" w:styleId="19">
    <w:name w:val="index 5"/>
    <w:basedOn w:val="1"/>
    <w:next w:val="1"/>
    <w:unhideWhenUsed/>
    <w:uiPriority w:val="0"/>
    <w:pPr>
      <w:ind w:left="800" w:leftChars="800"/>
    </w:pPr>
    <w:rPr>
      <w:rFonts w:ascii="Times New Roman" w:hAnsi="Times New Roman" w:eastAsia="宋体" w:cs="Times New Roman"/>
      <w:szCs w:val="24"/>
    </w:rPr>
  </w:style>
  <w:style w:type="paragraph" w:styleId="20">
    <w:name w:val="List Bullet"/>
    <w:basedOn w:val="1"/>
    <w:unhideWhenUsed/>
    <w:uiPriority w:val="0"/>
    <w:pPr>
      <w:numPr>
        <w:ilvl w:val="0"/>
        <w:numId w:val="2"/>
      </w:numPr>
    </w:pPr>
  </w:style>
  <w:style w:type="paragraph" w:styleId="21">
    <w:name w:val="Document Map"/>
    <w:basedOn w:val="1"/>
    <w:link w:val="76"/>
    <w:unhideWhenUsed/>
    <w:uiPriority w:val="0"/>
    <w:pPr>
      <w:shd w:val="clear" w:color="auto" w:fill="000080"/>
    </w:pPr>
    <w:rPr>
      <w:rFonts w:ascii="Times New Roman" w:hAnsi="Times New Roman" w:eastAsia="宋体" w:cs="Times New Roman"/>
      <w:kern w:val="0"/>
      <w:sz w:val="20"/>
    </w:rPr>
  </w:style>
  <w:style w:type="paragraph" w:styleId="22">
    <w:name w:val="Body Text 3"/>
    <w:basedOn w:val="1"/>
    <w:link w:val="91"/>
    <w:unhideWhenUsed/>
    <w:uiPriority w:val="0"/>
    <w:pPr>
      <w:adjustRightInd w:val="0"/>
      <w:spacing w:after="120" w:line="360" w:lineRule="atLeast"/>
      <w:textAlignment w:val="baseline"/>
    </w:pPr>
    <w:rPr>
      <w:rFonts w:ascii="Times New Roman" w:hAnsi="Times New Roman" w:eastAsia="宋体" w:cs="Times New Roman"/>
      <w:kern w:val="0"/>
      <w:sz w:val="16"/>
      <w:szCs w:val="16"/>
    </w:rPr>
  </w:style>
  <w:style w:type="paragraph" w:styleId="23">
    <w:name w:val="Body Text Indent"/>
    <w:basedOn w:val="1"/>
    <w:link w:val="87"/>
    <w:unhideWhenUsed/>
    <w:uiPriority w:val="0"/>
    <w:pPr>
      <w:ind w:firstLine="560" w:firstLineChars="200"/>
    </w:pPr>
    <w:rPr>
      <w:rFonts w:ascii="宋体" w:hAnsi="宋体" w:eastAsia="宋体" w:cs="Times New Roman"/>
      <w:kern w:val="0"/>
      <w:sz w:val="28"/>
      <w:szCs w:val="28"/>
    </w:rPr>
  </w:style>
  <w:style w:type="paragraph" w:styleId="24">
    <w:name w:val="List 2"/>
    <w:basedOn w:val="1"/>
    <w:unhideWhenUsed/>
    <w:uiPriority w:val="0"/>
    <w:pPr>
      <w:ind w:left="100" w:leftChars="200" w:hanging="200" w:hangingChars="200"/>
    </w:pPr>
    <w:rPr>
      <w:rFonts w:ascii="Times New Roman" w:hAnsi="Times New Roman" w:eastAsia="宋体" w:cs="Times New Roman"/>
      <w:szCs w:val="24"/>
    </w:rPr>
  </w:style>
  <w:style w:type="paragraph" w:styleId="25">
    <w:name w:val="List Continue"/>
    <w:basedOn w:val="1"/>
    <w:unhideWhenUsed/>
    <w:uiPriority w:val="0"/>
    <w:pPr>
      <w:spacing w:after="120"/>
      <w:ind w:left="420" w:leftChars="200"/>
    </w:pPr>
    <w:rPr>
      <w:rFonts w:ascii="Times New Roman" w:hAnsi="Times New Roman" w:eastAsia="宋体" w:cs="Times New Roman"/>
      <w:szCs w:val="24"/>
    </w:rPr>
  </w:style>
  <w:style w:type="paragraph" w:styleId="26">
    <w:name w:val="Block Text"/>
    <w:basedOn w:val="1"/>
    <w:unhideWhenUsed/>
    <w:uiPriority w:val="0"/>
    <w:pPr>
      <w:spacing w:before="120" w:after="120" w:line="360" w:lineRule="auto"/>
      <w:ind w:left="525" w:right="202"/>
    </w:pPr>
    <w:rPr>
      <w:rFonts w:ascii="宋体" w:hAnsi="宋体" w:eastAsia="宋体" w:cs="Times New Roman"/>
      <w:spacing w:val="-4"/>
      <w:sz w:val="24"/>
      <w:szCs w:val="24"/>
    </w:rPr>
  </w:style>
  <w:style w:type="paragraph" w:styleId="27">
    <w:name w:val="List Bullet 2"/>
    <w:basedOn w:val="1"/>
    <w:unhideWhenUsed/>
    <w:uiPriority w:val="0"/>
    <w:pPr>
      <w:numPr>
        <w:ilvl w:val="0"/>
        <w:numId w:val="3"/>
      </w:numPr>
    </w:pPr>
  </w:style>
  <w:style w:type="paragraph" w:styleId="28">
    <w:name w:val="Plain Text"/>
    <w:basedOn w:val="1"/>
    <w:link w:val="80"/>
    <w:unhideWhenUsed/>
    <w:uiPriority w:val="0"/>
    <w:rPr>
      <w:rFonts w:ascii="宋体" w:hAnsi="Courier New" w:eastAsia="宋体" w:cs="Times New Roman"/>
      <w:kern w:val="0"/>
      <w:sz w:val="20"/>
      <w:szCs w:val="21"/>
    </w:rPr>
  </w:style>
  <w:style w:type="paragraph" w:styleId="29">
    <w:name w:val="Date"/>
    <w:basedOn w:val="1"/>
    <w:next w:val="1"/>
    <w:link w:val="70"/>
    <w:unhideWhenUsed/>
    <w:uiPriority w:val="0"/>
    <w:pPr>
      <w:ind w:left="100" w:leftChars="2500"/>
    </w:pPr>
    <w:rPr>
      <w:rFonts w:ascii="Times New Roman" w:hAnsi="Times New Roman" w:eastAsia="宋体" w:cs="Times New Roman"/>
      <w:kern w:val="0"/>
      <w:sz w:val="20"/>
    </w:rPr>
  </w:style>
  <w:style w:type="paragraph" w:styleId="30">
    <w:name w:val="Body Text Indent 2"/>
    <w:basedOn w:val="1"/>
    <w:link w:val="108"/>
    <w:unhideWhenUsed/>
    <w:uiPriority w:val="0"/>
    <w:pPr>
      <w:spacing w:after="120" w:line="480" w:lineRule="auto"/>
      <w:ind w:left="420" w:leftChars="200"/>
    </w:pPr>
    <w:rPr>
      <w:rFonts w:ascii="Times New Roman" w:hAnsi="Times New Roman" w:eastAsia="宋体" w:cs="Times New Roman"/>
      <w:kern w:val="0"/>
      <w:sz w:val="20"/>
    </w:rPr>
  </w:style>
  <w:style w:type="paragraph" w:styleId="31">
    <w:name w:val="Balloon Text"/>
    <w:basedOn w:val="1"/>
    <w:link w:val="72"/>
    <w:unhideWhenUsed/>
    <w:uiPriority w:val="0"/>
    <w:rPr>
      <w:rFonts w:ascii="Times New Roman" w:hAnsi="Times New Roman" w:eastAsia="宋体" w:cs="Times New Roman"/>
      <w:kern w:val="0"/>
      <w:sz w:val="18"/>
      <w:szCs w:val="18"/>
    </w:rPr>
  </w:style>
  <w:style w:type="paragraph" w:styleId="32">
    <w:name w:val="footer"/>
    <w:basedOn w:val="1"/>
    <w:link w:val="97"/>
    <w:unhideWhenUsed/>
    <w:uiPriority w:val="99"/>
    <w:pPr>
      <w:tabs>
        <w:tab w:val="center" w:pos="4153"/>
        <w:tab w:val="right" w:pos="8306"/>
      </w:tabs>
      <w:snapToGrid w:val="0"/>
      <w:jc w:val="left"/>
    </w:pPr>
    <w:rPr>
      <w:rFonts w:ascii="Times New Roman" w:hAnsi="Times New Roman" w:eastAsia="宋体" w:cs="Times New Roman"/>
      <w:kern w:val="0"/>
      <w:sz w:val="18"/>
      <w:szCs w:val="20"/>
    </w:rPr>
  </w:style>
  <w:style w:type="paragraph" w:styleId="33">
    <w:name w:val="Body Text First Indent 2"/>
    <w:basedOn w:val="23"/>
    <w:link w:val="85"/>
    <w:unhideWhenUsed/>
    <w:uiPriority w:val="99"/>
    <w:pPr>
      <w:spacing w:after="120"/>
      <w:ind w:left="420" w:leftChars="200" w:firstLine="420"/>
    </w:pPr>
    <w:rPr>
      <w:szCs w:val="22"/>
    </w:rPr>
  </w:style>
  <w:style w:type="paragraph" w:styleId="34">
    <w:name w:val="header"/>
    <w:basedOn w:val="1"/>
    <w:link w:val="95"/>
    <w:unhideWhenUsed/>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kern w:val="0"/>
      <w:sz w:val="18"/>
      <w:szCs w:val="20"/>
    </w:rPr>
  </w:style>
  <w:style w:type="paragraph" w:styleId="35">
    <w:name w:val="List"/>
    <w:basedOn w:val="1"/>
    <w:unhideWhenUsed/>
    <w:uiPriority w:val="0"/>
    <w:pPr>
      <w:ind w:left="200" w:hanging="200" w:hangingChars="200"/>
    </w:pPr>
    <w:rPr>
      <w:rFonts w:ascii="Times New Roman" w:hAnsi="Times New Roman" w:eastAsia="宋体" w:cs="Times New Roman"/>
      <w:szCs w:val="24"/>
    </w:rPr>
  </w:style>
  <w:style w:type="paragraph" w:styleId="36">
    <w:name w:val="Body Text Indent 3"/>
    <w:basedOn w:val="1"/>
    <w:link w:val="100"/>
    <w:unhideWhenUsed/>
    <w:uiPriority w:val="0"/>
    <w:pPr>
      <w:spacing w:after="120"/>
      <w:ind w:left="420" w:leftChars="200"/>
    </w:pPr>
    <w:rPr>
      <w:rFonts w:ascii="Times New Roman" w:hAnsi="Times New Roman" w:eastAsia="宋体" w:cs="Times New Roman"/>
      <w:kern w:val="0"/>
      <w:sz w:val="16"/>
      <w:szCs w:val="16"/>
    </w:rPr>
  </w:style>
  <w:style w:type="paragraph" w:styleId="37">
    <w:name w:val="Body Text 2"/>
    <w:basedOn w:val="1"/>
    <w:link w:val="74"/>
    <w:unhideWhenUsed/>
    <w:uiPriority w:val="0"/>
    <w:pPr>
      <w:spacing w:after="120" w:line="480" w:lineRule="auto"/>
    </w:pPr>
    <w:rPr>
      <w:rFonts w:ascii="Times New Roman" w:hAnsi="Times New Roman" w:eastAsia="宋体" w:cs="Times New Roman"/>
      <w:kern w:val="0"/>
      <w:sz w:val="20"/>
    </w:rPr>
  </w:style>
  <w:style w:type="paragraph" w:styleId="38">
    <w:name w:val="List 4"/>
    <w:basedOn w:val="1"/>
    <w:unhideWhenUsed/>
    <w:uiPriority w:val="0"/>
    <w:pPr>
      <w:ind w:left="100" w:leftChars="600" w:hanging="200" w:hangingChars="200"/>
    </w:pPr>
    <w:rPr>
      <w:rFonts w:ascii="Times New Roman" w:hAnsi="Times New Roman" w:eastAsia="宋体" w:cs="Times New Roman"/>
      <w:szCs w:val="24"/>
    </w:rPr>
  </w:style>
  <w:style w:type="paragraph" w:styleId="39">
    <w:name w:val="List Continue 2"/>
    <w:basedOn w:val="1"/>
    <w:unhideWhenUsed/>
    <w:uiPriority w:val="0"/>
    <w:pPr>
      <w:spacing w:after="120"/>
      <w:ind w:left="840" w:leftChars="400"/>
    </w:pPr>
    <w:rPr>
      <w:rFonts w:ascii="Times New Roman" w:hAnsi="Times New Roman" w:eastAsia="宋体" w:cs="Times New Roman"/>
      <w:szCs w:val="24"/>
    </w:rPr>
  </w:style>
  <w:style w:type="paragraph" w:styleId="40">
    <w:name w:val="Normal (Web)"/>
    <w:basedOn w:val="1"/>
    <w:unhideWhenUsed/>
    <w:uiPriority w:val="99"/>
    <w:pPr>
      <w:widowControl/>
      <w:spacing w:before="100" w:beforeAutospacing="1" w:after="100" w:afterAutospacing="1"/>
      <w:jc w:val="left"/>
    </w:pPr>
    <w:rPr>
      <w:rFonts w:ascii="Times New Roman" w:hAnsi="Times New Roman" w:eastAsia="Arial Unicode MS" w:cs="Arial Unicode MS"/>
      <w:color w:val="000000"/>
      <w:kern w:val="0"/>
      <w:sz w:val="18"/>
      <w:szCs w:val="18"/>
    </w:rPr>
  </w:style>
  <w:style w:type="paragraph" w:styleId="41">
    <w:name w:val="index 1"/>
    <w:basedOn w:val="1"/>
    <w:next w:val="1"/>
    <w:unhideWhenUsed/>
    <w:uiPriority w:val="0"/>
    <w:pPr>
      <w:adjustRightInd w:val="0"/>
      <w:snapToGrid w:val="0"/>
      <w:jc w:val="center"/>
    </w:pPr>
    <w:rPr>
      <w:rFonts w:ascii="Times New Roman" w:hAnsi="Times New Roman" w:eastAsia="宋体" w:cs="Times New Roman"/>
      <w:szCs w:val="20"/>
    </w:rPr>
  </w:style>
  <w:style w:type="paragraph" w:styleId="42">
    <w:name w:val="Title"/>
    <w:basedOn w:val="1"/>
    <w:next w:val="1"/>
    <w:link w:val="114"/>
    <w:qFormat/>
    <w:uiPriority w:val="0"/>
    <w:pPr>
      <w:spacing w:before="60" w:after="60"/>
      <w:jc w:val="center"/>
      <w:outlineLvl w:val="0"/>
    </w:pPr>
    <w:rPr>
      <w:rFonts w:ascii="Cambria" w:hAnsi="Cambria" w:eastAsia="黑体" w:cs="Times New Roman"/>
      <w:b/>
      <w:bCs/>
      <w:kern w:val="0"/>
      <w:sz w:val="32"/>
      <w:szCs w:val="32"/>
    </w:rPr>
  </w:style>
  <w:style w:type="character" w:styleId="44">
    <w:name w:val="Strong"/>
    <w:qFormat/>
    <w:uiPriority w:val="0"/>
    <w:rPr>
      <w:rFonts w:asciiTheme="minorHAnsi" w:hAnsiTheme="minorHAnsi" w:eastAsiaTheme="minorEastAsia" w:cstheme="minorBidi"/>
      <w:b/>
      <w:bCs/>
      <w:kern w:val="2"/>
      <w:sz w:val="21"/>
      <w:szCs w:val="22"/>
      <w:lang w:val="en-US" w:eastAsia="zh-CN" w:bidi="ar-SA"/>
    </w:rPr>
  </w:style>
  <w:style w:type="character" w:styleId="45">
    <w:name w:val="page number"/>
    <w:basedOn w:val="43"/>
    <w:unhideWhenUsed/>
    <w:uiPriority w:val="0"/>
    <w:rPr>
      <w:rFonts w:asciiTheme="minorHAnsi" w:hAnsiTheme="minorHAnsi" w:eastAsiaTheme="minorEastAsia" w:cstheme="minorBidi"/>
      <w:kern w:val="2"/>
      <w:sz w:val="21"/>
      <w:szCs w:val="22"/>
      <w:lang w:val="en-US" w:eastAsia="zh-CN" w:bidi="ar-SA"/>
    </w:rPr>
  </w:style>
  <w:style w:type="character" w:styleId="46">
    <w:name w:val="FollowedHyperlink"/>
    <w:basedOn w:val="43"/>
    <w:unhideWhenUsed/>
    <w:uiPriority w:val="99"/>
    <w:rPr>
      <w:rFonts w:asciiTheme="minorHAnsi" w:hAnsiTheme="minorHAnsi" w:eastAsiaTheme="minorEastAsia" w:cstheme="minorBidi"/>
      <w:color w:val="954F72" w:themeColor="followedHyperlink"/>
      <w:kern w:val="2"/>
      <w:sz w:val="21"/>
      <w:szCs w:val="22"/>
      <w:u w:val="single"/>
      <w:lang w:val="en-US" w:eastAsia="zh-CN" w:bidi="ar-SA"/>
    </w:rPr>
  </w:style>
  <w:style w:type="character" w:styleId="47">
    <w:name w:val="Hyperlink"/>
    <w:unhideWhenUsed/>
    <w:uiPriority w:val="99"/>
    <w:rPr>
      <w:rFonts w:asciiTheme="minorHAnsi" w:hAnsiTheme="minorHAnsi" w:eastAsiaTheme="minorEastAsia" w:cstheme="minorBidi"/>
      <w:color w:val="0000FF"/>
      <w:kern w:val="2"/>
      <w:sz w:val="21"/>
      <w:szCs w:val="22"/>
      <w:u w:val="single"/>
      <w:lang w:val="en-US" w:eastAsia="zh-CN" w:bidi="ar-SA"/>
    </w:rPr>
  </w:style>
  <w:style w:type="character" w:styleId="48">
    <w:name w:val="annotation reference"/>
    <w:unhideWhenUsed/>
    <w:uiPriority w:val="0"/>
    <w:rPr>
      <w:rFonts w:asciiTheme="minorHAnsi" w:hAnsiTheme="minorHAnsi" w:eastAsiaTheme="minorEastAsia" w:cstheme="minorBidi"/>
      <w:kern w:val="2"/>
      <w:sz w:val="21"/>
      <w:szCs w:val="21"/>
      <w:lang w:val="en-US" w:eastAsia="zh-CN" w:bidi="ar-SA"/>
    </w:rPr>
  </w:style>
  <w:style w:type="character" w:customStyle="1" w:styleId="50">
    <w:name w:val="标题 1 字符"/>
    <w:basedOn w:val="43"/>
    <w:uiPriority w:val="9"/>
    <w:rPr>
      <w:rFonts w:asciiTheme="minorHAnsi" w:hAnsiTheme="minorHAnsi" w:eastAsiaTheme="minorEastAsia" w:cstheme="minorBidi"/>
      <w:b/>
      <w:bCs/>
      <w:kern w:val="44"/>
      <w:sz w:val="44"/>
      <w:szCs w:val="44"/>
      <w:lang w:val="en-US" w:eastAsia="zh-CN" w:bidi="ar-SA"/>
    </w:rPr>
  </w:style>
  <w:style w:type="character" w:customStyle="1" w:styleId="51">
    <w:name w:val="标题 2 字符"/>
    <w:basedOn w:val="43"/>
    <w:semiHidden/>
    <w:uiPriority w:val="9"/>
    <w:rPr>
      <w:rFonts w:asciiTheme="majorHAnsi" w:hAnsiTheme="majorHAnsi" w:eastAsiaTheme="majorEastAsia" w:cstheme="majorBidi"/>
      <w:b/>
      <w:bCs/>
      <w:kern w:val="2"/>
      <w:sz w:val="32"/>
      <w:szCs w:val="32"/>
      <w:lang w:val="en-US" w:eastAsia="zh-CN" w:bidi="ar-SA"/>
    </w:rPr>
  </w:style>
  <w:style w:type="character" w:customStyle="1" w:styleId="52">
    <w:name w:val="标题 3 字符"/>
    <w:basedOn w:val="43"/>
    <w:semiHidden/>
    <w:uiPriority w:val="9"/>
    <w:rPr>
      <w:rFonts w:asciiTheme="minorHAnsi" w:hAnsiTheme="minorHAnsi" w:eastAsiaTheme="minorEastAsia" w:cstheme="minorBidi"/>
      <w:b/>
      <w:bCs/>
      <w:kern w:val="2"/>
      <w:sz w:val="32"/>
      <w:szCs w:val="32"/>
      <w:lang w:val="en-US" w:eastAsia="zh-CN" w:bidi="ar-SA"/>
    </w:rPr>
  </w:style>
  <w:style w:type="character" w:customStyle="1" w:styleId="53">
    <w:name w:val="标题 4 字符"/>
    <w:basedOn w:val="43"/>
    <w:semiHidden/>
    <w:uiPriority w:val="9"/>
    <w:rPr>
      <w:rFonts w:asciiTheme="majorHAnsi" w:hAnsiTheme="majorHAnsi" w:eastAsiaTheme="majorEastAsia" w:cstheme="majorBidi"/>
      <w:b/>
      <w:bCs/>
      <w:kern w:val="2"/>
      <w:sz w:val="28"/>
      <w:szCs w:val="28"/>
      <w:lang w:val="en-US" w:eastAsia="zh-CN" w:bidi="ar-SA"/>
    </w:rPr>
  </w:style>
  <w:style w:type="character" w:customStyle="1" w:styleId="54">
    <w:name w:val="标题 5 字符"/>
    <w:basedOn w:val="43"/>
    <w:semiHidden/>
    <w:uiPriority w:val="9"/>
    <w:rPr>
      <w:rFonts w:asciiTheme="minorHAnsi" w:hAnsiTheme="minorHAnsi" w:eastAsiaTheme="minorEastAsia" w:cstheme="minorBidi"/>
      <w:b/>
      <w:bCs/>
      <w:kern w:val="2"/>
      <w:sz w:val="28"/>
      <w:szCs w:val="28"/>
      <w:lang w:val="en-US" w:eastAsia="zh-CN" w:bidi="ar-SA"/>
    </w:rPr>
  </w:style>
  <w:style w:type="character" w:customStyle="1" w:styleId="55">
    <w:name w:val="标题 6 字符"/>
    <w:basedOn w:val="43"/>
    <w:semiHidden/>
    <w:uiPriority w:val="9"/>
    <w:rPr>
      <w:rFonts w:asciiTheme="majorHAnsi" w:hAnsiTheme="majorHAnsi" w:eastAsiaTheme="majorEastAsia" w:cstheme="majorBidi"/>
      <w:b/>
      <w:bCs/>
      <w:kern w:val="2"/>
      <w:sz w:val="24"/>
      <w:szCs w:val="24"/>
      <w:lang w:val="en-US" w:eastAsia="zh-CN" w:bidi="ar-SA"/>
    </w:rPr>
  </w:style>
  <w:style w:type="character" w:customStyle="1" w:styleId="56">
    <w:name w:val="标题 7 字符"/>
    <w:basedOn w:val="43"/>
    <w:semiHidden/>
    <w:uiPriority w:val="9"/>
    <w:rPr>
      <w:rFonts w:asciiTheme="minorHAnsi" w:hAnsiTheme="minorHAnsi" w:eastAsiaTheme="minorEastAsia" w:cstheme="minorBidi"/>
      <w:b/>
      <w:bCs/>
      <w:kern w:val="2"/>
      <w:sz w:val="24"/>
      <w:szCs w:val="24"/>
      <w:lang w:val="en-US" w:eastAsia="zh-CN" w:bidi="ar-SA"/>
    </w:rPr>
  </w:style>
  <w:style w:type="character" w:customStyle="1" w:styleId="57">
    <w:name w:val="标题 8 字符"/>
    <w:basedOn w:val="43"/>
    <w:semiHidden/>
    <w:uiPriority w:val="9"/>
    <w:rPr>
      <w:rFonts w:asciiTheme="majorHAnsi" w:hAnsiTheme="majorHAnsi" w:eastAsiaTheme="majorEastAsia" w:cstheme="majorBidi"/>
      <w:kern w:val="2"/>
      <w:sz w:val="24"/>
      <w:szCs w:val="24"/>
      <w:lang w:val="en-US" w:eastAsia="zh-CN" w:bidi="ar-SA"/>
    </w:rPr>
  </w:style>
  <w:style w:type="character" w:customStyle="1" w:styleId="58">
    <w:name w:val="标题 9 字符"/>
    <w:basedOn w:val="43"/>
    <w:semiHidden/>
    <w:uiPriority w:val="9"/>
    <w:rPr>
      <w:rFonts w:asciiTheme="majorHAnsi" w:hAnsiTheme="majorHAnsi" w:eastAsiaTheme="majorEastAsia" w:cstheme="majorBidi"/>
      <w:kern w:val="2"/>
      <w:sz w:val="21"/>
      <w:szCs w:val="21"/>
      <w:lang w:val="en-US" w:eastAsia="zh-CN" w:bidi="ar-SA"/>
    </w:rPr>
  </w:style>
  <w:style w:type="character" w:customStyle="1" w:styleId="59">
    <w:name w:val="标题 1 字符1"/>
    <w:link w:val="2"/>
    <w:uiPriority w:val="0"/>
    <w:rPr>
      <w:rFonts w:ascii="Times New Roman" w:hAnsi="Times New Roman" w:eastAsia="宋体" w:cs="Times New Roman"/>
      <w:b/>
      <w:bCs/>
      <w:kern w:val="44"/>
      <w:sz w:val="30"/>
      <w:szCs w:val="44"/>
      <w:lang w:val="en-US" w:eastAsia="zh-CN" w:bidi="ar-SA"/>
    </w:rPr>
  </w:style>
  <w:style w:type="character" w:customStyle="1" w:styleId="60">
    <w:name w:val="标题 2 字符1"/>
    <w:link w:val="3"/>
    <w:uiPriority w:val="0"/>
    <w:rPr>
      <w:rFonts w:ascii="Arial" w:hAnsi="Arial" w:eastAsia="宋体" w:cs="Times New Roman"/>
      <w:b/>
      <w:bCs/>
      <w:kern w:val="0"/>
      <w:sz w:val="28"/>
      <w:szCs w:val="32"/>
      <w:lang w:val="en-US" w:eastAsia="zh-CN" w:bidi="ar-SA"/>
    </w:rPr>
  </w:style>
  <w:style w:type="character" w:customStyle="1" w:styleId="61">
    <w:name w:val="标题 3 字符1"/>
    <w:link w:val="4"/>
    <w:uiPriority w:val="0"/>
    <w:rPr>
      <w:rFonts w:ascii="宋体" w:hAnsi="Times New Roman" w:eastAsia="宋体" w:cs="Times New Roman"/>
      <w:b/>
      <w:kern w:val="0"/>
      <w:sz w:val="28"/>
      <w:szCs w:val="20"/>
      <w:lang w:val="en-US" w:eastAsia="zh-CN" w:bidi="ar-SA"/>
    </w:rPr>
  </w:style>
  <w:style w:type="character" w:customStyle="1" w:styleId="62">
    <w:name w:val="标题 4 字符1"/>
    <w:link w:val="5"/>
    <w:uiPriority w:val="0"/>
    <w:rPr>
      <w:rFonts w:ascii="Arial" w:hAnsi="Arial" w:eastAsia="黑体" w:cs="Times New Roman"/>
      <w:b/>
      <w:bCs/>
      <w:kern w:val="0"/>
      <w:sz w:val="28"/>
      <w:szCs w:val="28"/>
      <w:lang w:val="en-US" w:eastAsia="zh-CN" w:bidi="ar-SA"/>
    </w:rPr>
  </w:style>
  <w:style w:type="character" w:customStyle="1" w:styleId="63">
    <w:name w:val="标题 5 字符1"/>
    <w:link w:val="6"/>
    <w:qFormat/>
    <w:uiPriority w:val="0"/>
    <w:rPr>
      <w:rFonts w:ascii="Times New Roman" w:hAnsi="Times New Roman" w:eastAsia="宋体" w:cs="Times New Roman"/>
      <w:b/>
      <w:bCs/>
      <w:kern w:val="0"/>
      <w:sz w:val="28"/>
      <w:szCs w:val="28"/>
      <w:lang w:val="en-US" w:eastAsia="zh-CN" w:bidi="ar-SA"/>
    </w:rPr>
  </w:style>
  <w:style w:type="character" w:customStyle="1" w:styleId="64">
    <w:name w:val="标题 6 字符1"/>
    <w:link w:val="7"/>
    <w:qFormat/>
    <w:uiPriority w:val="0"/>
    <w:rPr>
      <w:rFonts w:ascii="Arial" w:hAnsi="Arial" w:eastAsia="黑体" w:cs="Times New Roman"/>
      <w:b/>
      <w:bCs/>
      <w:kern w:val="0"/>
      <w:sz w:val="24"/>
      <w:szCs w:val="24"/>
      <w:lang w:val="en-US" w:eastAsia="zh-CN" w:bidi="ar-SA"/>
    </w:rPr>
  </w:style>
  <w:style w:type="character" w:customStyle="1" w:styleId="65">
    <w:name w:val="标题 7 字符1"/>
    <w:link w:val="8"/>
    <w:qFormat/>
    <w:uiPriority w:val="0"/>
    <w:rPr>
      <w:rFonts w:ascii="Times New Roman" w:hAnsi="Times New Roman" w:eastAsia="宋体" w:cs="Times New Roman"/>
      <w:b/>
      <w:bCs/>
      <w:kern w:val="0"/>
      <w:sz w:val="24"/>
      <w:szCs w:val="24"/>
      <w:lang w:val="en-US" w:eastAsia="zh-CN" w:bidi="ar-SA"/>
    </w:rPr>
  </w:style>
  <w:style w:type="character" w:customStyle="1" w:styleId="66">
    <w:name w:val="标题 8 字符1"/>
    <w:link w:val="9"/>
    <w:qFormat/>
    <w:uiPriority w:val="0"/>
    <w:rPr>
      <w:rFonts w:ascii="Arial" w:hAnsi="Arial" w:eastAsia="黑体" w:cs="Times New Roman"/>
      <w:kern w:val="0"/>
      <w:sz w:val="24"/>
      <w:szCs w:val="24"/>
      <w:lang w:val="en-US" w:eastAsia="zh-CN" w:bidi="ar-SA"/>
    </w:rPr>
  </w:style>
  <w:style w:type="character" w:customStyle="1" w:styleId="67">
    <w:name w:val="标题 9 字符1"/>
    <w:link w:val="10"/>
    <w:qFormat/>
    <w:uiPriority w:val="0"/>
    <w:rPr>
      <w:rFonts w:ascii="Arial" w:hAnsi="Arial" w:eastAsia="黑体" w:cs="Times New Roman"/>
      <w:kern w:val="0"/>
      <w:sz w:val="20"/>
      <w:szCs w:val="21"/>
      <w:lang w:val="en-US" w:eastAsia="zh-CN" w:bidi="ar-SA"/>
    </w:rPr>
  </w:style>
  <w:style w:type="paragraph" w:customStyle="1" w:styleId="68">
    <w:name w:val="_Style 30"/>
    <w:basedOn w:val="1"/>
    <w:next w:val="69"/>
    <w:qFormat/>
    <w:uiPriority w:val="0"/>
    <w:pPr>
      <w:ind w:firstLine="420" w:firstLineChars="200"/>
    </w:pPr>
    <w:rPr>
      <w:rFonts w:ascii="Times New Roman" w:hAnsi="Times New Roman" w:eastAsia="宋体" w:cs="Times New Roman"/>
      <w:szCs w:val="20"/>
    </w:rPr>
  </w:style>
  <w:style w:type="paragraph" w:customStyle="1" w:styleId="69">
    <w:name w:val="列出段落1"/>
    <w:basedOn w:val="1"/>
    <w:qFormat/>
    <w:uiPriority w:val="0"/>
    <w:pPr>
      <w:ind w:firstLine="420" w:firstLineChars="200"/>
    </w:pPr>
  </w:style>
  <w:style w:type="character" w:customStyle="1" w:styleId="70">
    <w:name w:val="日期 字符1"/>
    <w:link w:val="29"/>
    <w:qFormat/>
    <w:uiPriority w:val="0"/>
    <w:rPr>
      <w:rFonts w:ascii="Times New Roman" w:hAnsi="Times New Roman" w:eastAsia="宋体" w:cs="Times New Roman"/>
      <w:kern w:val="0"/>
      <w:sz w:val="20"/>
      <w:szCs w:val="22"/>
      <w:lang w:val="en-US" w:eastAsia="zh-CN" w:bidi="ar-SA"/>
    </w:rPr>
  </w:style>
  <w:style w:type="character" w:customStyle="1" w:styleId="71">
    <w:name w:val="日期 字符"/>
    <w:basedOn w:val="43"/>
    <w:semiHidden/>
    <w:qFormat/>
    <w:uiPriority w:val="99"/>
    <w:rPr>
      <w:rFonts w:asciiTheme="minorHAnsi" w:hAnsiTheme="minorHAnsi" w:eastAsiaTheme="minorEastAsia" w:cstheme="minorBidi"/>
      <w:kern w:val="2"/>
      <w:sz w:val="21"/>
      <w:szCs w:val="22"/>
      <w:lang w:val="en-US" w:eastAsia="zh-CN" w:bidi="ar-SA"/>
    </w:rPr>
  </w:style>
  <w:style w:type="character" w:customStyle="1" w:styleId="72">
    <w:name w:val="批注框文本 字符1"/>
    <w:link w:val="31"/>
    <w:semiHidden/>
    <w:qFormat/>
    <w:uiPriority w:val="0"/>
    <w:rPr>
      <w:rFonts w:ascii="Times New Roman" w:hAnsi="Times New Roman" w:eastAsia="宋体" w:cs="Times New Roman"/>
      <w:kern w:val="0"/>
      <w:sz w:val="18"/>
      <w:szCs w:val="18"/>
      <w:lang w:val="en-US" w:eastAsia="zh-CN" w:bidi="ar-SA"/>
    </w:rPr>
  </w:style>
  <w:style w:type="character" w:customStyle="1" w:styleId="73">
    <w:name w:val="批注框文本 字符"/>
    <w:basedOn w:val="43"/>
    <w:semiHidden/>
    <w:qFormat/>
    <w:uiPriority w:val="99"/>
    <w:rPr>
      <w:rFonts w:asciiTheme="minorHAnsi" w:hAnsiTheme="minorHAnsi" w:eastAsiaTheme="minorEastAsia" w:cstheme="minorBidi"/>
      <w:kern w:val="2"/>
      <w:sz w:val="18"/>
      <w:szCs w:val="18"/>
      <w:lang w:val="en-US" w:eastAsia="zh-CN" w:bidi="ar-SA"/>
    </w:rPr>
  </w:style>
  <w:style w:type="character" w:customStyle="1" w:styleId="74">
    <w:name w:val="正文文本 2 字符1"/>
    <w:link w:val="37"/>
    <w:qFormat/>
    <w:uiPriority w:val="0"/>
    <w:rPr>
      <w:rFonts w:ascii="Times New Roman" w:hAnsi="Times New Roman" w:eastAsia="宋体" w:cs="Times New Roman"/>
      <w:kern w:val="0"/>
      <w:sz w:val="20"/>
      <w:szCs w:val="22"/>
      <w:lang w:val="en-US" w:eastAsia="zh-CN" w:bidi="ar-SA"/>
    </w:rPr>
  </w:style>
  <w:style w:type="character" w:customStyle="1" w:styleId="75">
    <w:name w:val="正文文本 2 字符"/>
    <w:basedOn w:val="43"/>
    <w:semiHidden/>
    <w:qFormat/>
    <w:uiPriority w:val="99"/>
    <w:rPr>
      <w:rFonts w:asciiTheme="minorHAnsi" w:hAnsiTheme="minorHAnsi" w:eastAsiaTheme="minorEastAsia" w:cstheme="minorBidi"/>
      <w:kern w:val="2"/>
      <w:sz w:val="21"/>
      <w:szCs w:val="22"/>
      <w:lang w:val="en-US" w:eastAsia="zh-CN" w:bidi="ar-SA"/>
    </w:rPr>
  </w:style>
  <w:style w:type="character" w:customStyle="1" w:styleId="76">
    <w:name w:val="文档结构图 字符1"/>
    <w:link w:val="21"/>
    <w:qFormat/>
    <w:uiPriority w:val="0"/>
    <w:rPr>
      <w:rFonts w:ascii="Times New Roman" w:hAnsi="Times New Roman" w:eastAsia="宋体" w:cs="Times New Roman"/>
      <w:kern w:val="0"/>
      <w:sz w:val="20"/>
      <w:szCs w:val="22"/>
      <w:lang w:val="en-US" w:eastAsia="zh-CN" w:bidi="ar-SA"/>
    </w:rPr>
  </w:style>
  <w:style w:type="character" w:customStyle="1" w:styleId="77">
    <w:name w:val="文档结构图 字符"/>
    <w:basedOn w:val="43"/>
    <w:semiHidden/>
    <w:qFormat/>
    <w:uiPriority w:val="99"/>
    <w:rPr>
      <w:rFonts w:ascii="Microsoft YaHei UI" w:eastAsia="Microsoft YaHei UI" w:hAnsiTheme="minorHAnsi" w:cstheme="minorBidi"/>
      <w:kern w:val="2"/>
      <w:sz w:val="18"/>
      <w:szCs w:val="18"/>
      <w:lang w:val="en-US" w:eastAsia="zh-CN" w:bidi="ar-SA"/>
    </w:rPr>
  </w:style>
  <w:style w:type="character" w:customStyle="1" w:styleId="78">
    <w:name w:val="font51"/>
    <w:qFormat/>
    <w:uiPriority w:val="0"/>
    <w:rPr>
      <w:rFonts w:hint="default" w:ascii="Times New Roman" w:hAnsi="Times New Roman" w:cs="Times New Roman" w:eastAsiaTheme="minorEastAsia"/>
      <w:b/>
      <w:color w:val="000000"/>
      <w:kern w:val="2"/>
      <w:sz w:val="24"/>
      <w:szCs w:val="24"/>
      <w:u w:val="none"/>
      <w:lang w:val="en-US" w:eastAsia="zh-CN" w:bidi="ar-SA"/>
    </w:rPr>
  </w:style>
  <w:style w:type="character" w:customStyle="1" w:styleId="79">
    <w:name w:val="Char Char"/>
    <w:qFormat/>
    <w:uiPriority w:val="0"/>
    <w:rPr>
      <w:rFonts w:ascii="宋体" w:hAnsi="Courier New" w:eastAsia="宋体" w:cs="Courier New"/>
      <w:kern w:val="2"/>
      <w:sz w:val="21"/>
      <w:szCs w:val="21"/>
      <w:lang w:val="en-US" w:eastAsia="zh-CN" w:bidi="ar-SA"/>
    </w:rPr>
  </w:style>
  <w:style w:type="character" w:customStyle="1" w:styleId="80">
    <w:name w:val="纯文本 字符1"/>
    <w:link w:val="28"/>
    <w:qFormat/>
    <w:uiPriority w:val="0"/>
    <w:rPr>
      <w:rFonts w:ascii="宋体" w:hAnsi="Courier New" w:eastAsia="宋体" w:cs="Times New Roman"/>
      <w:kern w:val="0"/>
      <w:sz w:val="20"/>
      <w:szCs w:val="21"/>
      <w:lang w:val="en-US" w:eastAsia="zh-CN" w:bidi="ar-SA"/>
    </w:rPr>
  </w:style>
  <w:style w:type="character" w:customStyle="1" w:styleId="81">
    <w:name w:val="纯文本 字符"/>
    <w:basedOn w:val="43"/>
    <w:semiHidden/>
    <w:qFormat/>
    <w:uiPriority w:val="99"/>
    <w:rPr>
      <w:rFonts w:hAnsi="Courier New" w:cs="Courier New" w:asciiTheme="minorEastAsia" w:eastAsiaTheme="minorEastAsia"/>
      <w:kern w:val="2"/>
      <w:sz w:val="21"/>
      <w:szCs w:val="22"/>
      <w:lang w:val="en-US" w:eastAsia="zh-CN" w:bidi="ar-SA"/>
    </w:rPr>
  </w:style>
  <w:style w:type="character" w:customStyle="1" w:styleId="82">
    <w:name w:val="注释文本字符"/>
    <w:semiHidden/>
    <w:qFormat/>
    <w:uiPriority w:val="0"/>
    <w:rPr>
      <w:rFonts w:ascii="Times New Roman" w:hAnsi="Times New Roman" w:eastAsia="宋体" w:cs="Times New Roman"/>
      <w:kern w:val="0"/>
      <w:sz w:val="20"/>
      <w:szCs w:val="24"/>
      <w:lang w:val="en-US" w:eastAsia="zh-CN" w:bidi="ar-SA"/>
    </w:rPr>
  </w:style>
  <w:style w:type="character" w:customStyle="1" w:styleId="83">
    <w:name w:val="Char Char3"/>
    <w:qFormat/>
    <w:uiPriority w:val="0"/>
    <w:rPr>
      <w:rFonts w:eastAsia="宋体" w:asciiTheme="minorHAnsi" w:hAnsiTheme="minorHAnsi" w:cstheme="minorBidi"/>
      <w:kern w:val="2"/>
      <w:sz w:val="18"/>
      <w:szCs w:val="18"/>
      <w:lang w:val="en-US" w:eastAsia="zh-CN" w:bidi="ar-SA"/>
    </w:rPr>
  </w:style>
  <w:style w:type="character" w:customStyle="1" w:styleId="84">
    <w:name w:val="font61"/>
    <w:qFormat/>
    <w:uiPriority w:val="0"/>
    <w:rPr>
      <w:rFonts w:hint="default" w:ascii="Times New Roman" w:hAnsi="Times New Roman" w:cs="Times New Roman" w:eastAsiaTheme="minorEastAsia"/>
      <w:color w:val="000000"/>
      <w:kern w:val="2"/>
      <w:sz w:val="24"/>
      <w:szCs w:val="24"/>
      <w:u w:val="none"/>
      <w:lang w:val="en-US" w:eastAsia="zh-CN" w:bidi="ar-SA"/>
    </w:rPr>
  </w:style>
  <w:style w:type="character" w:customStyle="1" w:styleId="85">
    <w:name w:val="正文文本首行缩进 2 字符1"/>
    <w:link w:val="33"/>
    <w:qFormat/>
    <w:uiPriority w:val="0"/>
    <w:rPr>
      <w:rFonts w:asciiTheme="minorHAnsi" w:hAnsiTheme="minorHAnsi" w:eastAsiaTheme="minorEastAsia" w:cstheme="minorBidi"/>
      <w:kern w:val="2"/>
      <w:sz w:val="21"/>
      <w:szCs w:val="22"/>
      <w:lang w:val="en-US" w:eastAsia="zh-CN" w:bidi="ar-SA"/>
    </w:rPr>
  </w:style>
  <w:style w:type="character" w:customStyle="1" w:styleId="86">
    <w:name w:val="正文文本缩进 字符"/>
    <w:basedOn w:val="43"/>
    <w:semiHidden/>
    <w:qFormat/>
    <w:uiPriority w:val="99"/>
    <w:rPr>
      <w:rFonts w:asciiTheme="minorHAnsi" w:hAnsiTheme="minorHAnsi" w:eastAsiaTheme="minorEastAsia" w:cstheme="minorBidi"/>
      <w:kern w:val="2"/>
      <w:sz w:val="21"/>
      <w:szCs w:val="22"/>
      <w:lang w:val="en-US" w:eastAsia="zh-CN" w:bidi="ar-SA"/>
    </w:rPr>
  </w:style>
  <w:style w:type="character" w:customStyle="1" w:styleId="87">
    <w:name w:val="正文文本缩进 字符1"/>
    <w:link w:val="23"/>
    <w:qFormat/>
    <w:uiPriority w:val="0"/>
    <w:rPr>
      <w:rFonts w:ascii="宋体" w:hAnsi="宋体" w:eastAsia="宋体" w:cs="Times New Roman"/>
      <w:kern w:val="0"/>
      <w:sz w:val="28"/>
      <w:szCs w:val="28"/>
      <w:lang w:val="en-US" w:eastAsia="zh-CN" w:bidi="ar-SA"/>
    </w:rPr>
  </w:style>
  <w:style w:type="character" w:customStyle="1" w:styleId="88">
    <w:name w:val="font21"/>
    <w:qFormat/>
    <w:uiPriority w:val="0"/>
    <w:rPr>
      <w:rFonts w:hint="default" w:ascii="Times New Roman" w:hAnsi="Times New Roman" w:cs="Times New Roman" w:eastAsiaTheme="minorEastAsia"/>
      <w:color w:val="000000"/>
      <w:kern w:val="2"/>
      <w:sz w:val="24"/>
      <w:szCs w:val="24"/>
      <w:u w:val="none"/>
      <w:vertAlign w:val="superscript"/>
      <w:lang w:val="en-US" w:eastAsia="zh-CN" w:bidi="ar-SA"/>
    </w:rPr>
  </w:style>
  <w:style w:type="character" w:customStyle="1" w:styleId="89">
    <w:name w:val="font71"/>
    <w:qFormat/>
    <w:uiPriority w:val="0"/>
    <w:rPr>
      <w:rFonts w:hint="eastAsia" w:ascii="宋体" w:hAnsi="宋体" w:eastAsia="宋体" w:cs="宋体"/>
      <w:color w:val="000000"/>
      <w:kern w:val="2"/>
      <w:sz w:val="24"/>
      <w:szCs w:val="24"/>
      <w:u w:val="none"/>
      <w:lang w:val="en-US" w:eastAsia="zh-CN" w:bidi="ar-SA"/>
    </w:rPr>
  </w:style>
  <w:style w:type="character" w:customStyle="1" w:styleId="90">
    <w:name w:val="zbggmain style9"/>
    <w:basedOn w:val="43"/>
    <w:qFormat/>
    <w:uiPriority w:val="0"/>
    <w:rPr>
      <w:rFonts w:asciiTheme="minorHAnsi" w:hAnsiTheme="minorHAnsi" w:eastAsiaTheme="minorEastAsia" w:cstheme="minorBidi"/>
      <w:kern w:val="2"/>
      <w:sz w:val="21"/>
      <w:szCs w:val="22"/>
      <w:lang w:val="en-US" w:eastAsia="zh-CN" w:bidi="ar-SA"/>
    </w:rPr>
  </w:style>
  <w:style w:type="character" w:customStyle="1" w:styleId="91">
    <w:name w:val="正文文本 3 字符1"/>
    <w:link w:val="22"/>
    <w:qFormat/>
    <w:uiPriority w:val="0"/>
    <w:rPr>
      <w:rFonts w:ascii="Times New Roman" w:hAnsi="Times New Roman" w:eastAsia="宋体" w:cs="Times New Roman"/>
      <w:kern w:val="0"/>
      <w:sz w:val="16"/>
      <w:szCs w:val="16"/>
      <w:lang w:val="en-US" w:eastAsia="zh-CN" w:bidi="ar-SA"/>
    </w:rPr>
  </w:style>
  <w:style w:type="character" w:customStyle="1" w:styleId="92">
    <w:name w:val="正文文本 3 字符"/>
    <w:basedOn w:val="43"/>
    <w:semiHidden/>
    <w:qFormat/>
    <w:uiPriority w:val="99"/>
    <w:rPr>
      <w:rFonts w:asciiTheme="minorHAnsi" w:hAnsiTheme="minorHAnsi" w:eastAsiaTheme="minorEastAsia" w:cstheme="minorBidi"/>
      <w:kern w:val="2"/>
      <w:sz w:val="16"/>
      <w:szCs w:val="16"/>
      <w:lang w:val="en-US" w:eastAsia="zh-CN" w:bidi="ar-SA"/>
    </w:rPr>
  </w:style>
  <w:style w:type="character" w:customStyle="1" w:styleId="93">
    <w:name w:val="px1233"/>
    <w:basedOn w:val="43"/>
    <w:qFormat/>
    <w:uiPriority w:val="0"/>
    <w:rPr>
      <w:rFonts w:asciiTheme="minorHAnsi" w:hAnsiTheme="minorHAnsi" w:eastAsiaTheme="minorEastAsia" w:cstheme="minorBidi"/>
      <w:kern w:val="2"/>
      <w:sz w:val="21"/>
      <w:szCs w:val="22"/>
      <w:lang w:val="en-US" w:eastAsia="zh-CN" w:bidi="ar-SA"/>
    </w:rPr>
  </w:style>
  <w:style w:type="character" w:customStyle="1" w:styleId="94">
    <w:name w:val="font11"/>
    <w:qFormat/>
    <w:uiPriority w:val="0"/>
    <w:rPr>
      <w:rFonts w:hint="default" w:ascii="Times New Roman" w:hAnsi="Times New Roman" w:cs="Times New Roman" w:eastAsiaTheme="minorEastAsia"/>
      <w:color w:val="000000"/>
      <w:kern w:val="2"/>
      <w:sz w:val="21"/>
      <w:szCs w:val="21"/>
      <w:u w:val="none"/>
      <w:lang w:val="en-US" w:eastAsia="zh-CN" w:bidi="ar-SA"/>
    </w:rPr>
  </w:style>
  <w:style w:type="character" w:customStyle="1" w:styleId="95">
    <w:name w:val="页眉 字符1"/>
    <w:link w:val="34"/>
    <w:qFormat/>
    <w:uiPriority w:val="0"/>
    <w:rPr>
      <w:rFonts w:ascii="Times New Roman" w:hAnsi="Times New Roman" w:eastAsia="宋体" w:cs="Times New Roman"/>
      <w:kern w:val="0"/>
      <w:sz w:val="18"/>
      <w:szCs w:val="20"/>
      <w:lang w:val="en-US" w:eastAsia="zh-CN" w:bidi="ar-SA"/>
    </w:rPr>
  </w:style>
  <w:style w:type="character" w:customStyle="1" w:styleId="96">
    <w:name w:val="页眉 字符"/>
    <w:basedOn w:val="43"/>
    <w:semiHidden/>
    <w:qFormat/>
    <w:uiPriority w:val="99"/>
    <w:rPr>
      <w:rFonts w:asciiTheme="minorHAnsi" w:hAnsiTheme="minorHAnsi" w:eastAsiaTheme="minorEastAsia" w:cstheme="minorBidi"/>
      <w:kern w:val="2"/>
      <w:sz w:val="18"/>
      <w:szCs w:val="18"/>
      <w:lang w:val="en-US" w:eastAsia="zh-CN" w:bidi="ar-SA"/>
    </w:rPr>
  </w:style>
  <w:style w:type="character" w:customStyle="1" w:styleId="97">
    <w:name w:val="页脚 字符1"/>
    <w:link w:val="32"/>
    <w:qFormat/>
    <w:uiPriority w:val="99"/>
    <w:rPr>
      <w:rFonts w:ascii="Times New Roman" w:hAnsi="Times New Roman" w:eastAsia="宋体" w:cs="Times New Roman"/>
      <w:kern w:val="0"/>
      <w:sz w:val="18"/>
      <w:szCs w:val="20"/>
      <w:lang w:val="en-US" w:eastAsia="zh-CN" w:bidi="ar-SA"/>
    </w:rPr>
  </w:style>
  <w:style w:type="character" w:customStyle="1" w:styleId="98">
    <w:name w:val="页脚 字符"/>
    <w:basedOn w:val="43"/>
    <w:semiHidden/>
    <w:qFormat/>
    <w:uiPriority w:val="99"/>
    <w:rPr>
      <w:rFonts w:asciiTheme="minorHAnsi" w:hAnsiTheme="minorHAnsi" w:eastAsiaTheme="minorEastAsia" w:cstheme="minorBidi"/>
      <w:kern w:val="2"/>
      <w:sz w:val="18"/>
      <w:szCs w:val="18"/>
      <w:lang w:val="en-US" w:eastAsia="zh-CN" w:bidi="ar-SA"/>
    </w:rPr>
  </w:style>
  <w:style w:type="character" w:customStyle="1" w:styleId="99">
    <w:name w:val="font41"/>
    <w:qFormat/>
    <w:uiPriority w:val="0"/>
    <w:rPr>
      <w:rFonts w:hint="eastAsia" w:ascii="宋体" w:hAnsi="宋体" w:eastAsia="宋体" w:cs="宋体"/>
      <w:b/>
      <w:color w:val="000000"/>
      <w:kern w:val="2"/>
      <w:sz w:val="24"/>
      <w:szCs w:val="24"/>
      <w:u w:val="none"/>
      <w:lang w:val="en-US" w:eastAsia="zh-CN" w:bidi="ar-SA"/>
    </w:rPr>
  </w:style>
  <w:style w:type="character" w:customStyle="1" w:styleId="100">
    <w:name w:val="正文文本缩进 3 字符1"/>
    <w:link w:val="36"/>
    <w:qFormat/>
    <w:uiPriority w:val="0"/>
    <w:rPr>
      <w:rFonts w:ascii="Times New Roman" w:hAnsi="Times New Roman" w:eastAsia="宋体" w:cs="Times New Roman"/>
      <w:kern w:val="0"/>
      <w:sz w:val="16"/>
      <w:szCs w:val="16"/>
      <w:lang w:val="en-US" w:eastAsia="zh-CN" w:bidi="ar-SA"/>
    </w:rPr>
  </w:style>
  <w:style w:type="character" w:customStyle="1" w:styleId="101">
    <w:name w:val="正文文本缩进 3 字符"/>
    <w:basedOn w:val="43"/>
    <w:semiHidden/>
    <w:uiPriority w:val="99"/>
    <w:rPr>
      <w:rFonts w:asciiTheme="minorHAnsi" w:hAnsiTheme="minorHAnsi" w:eastAsiaTheme="minorEastAsia" w:cstheme="minorBidi"/>
      <w:kern w:val="2"/>
      <w:sz w:val="16"/>
      <w:szCs w:val="16"/>
      <w:lang w:val="en-US" w:eastAsia="zh-CN" w:bidi="ar-SA"/>
    </w:rPr>
  </w:style>
  <w:style w:type="character" w:customStyle="1" w:styleId="102">
    <w:name w:val="正文文本首行缩进 字符1"/>
    <w:basedOn w:val="103"/>
    <w:link w:val="14"/>
    <w:qFormat/>
    <w:uiPriority w:val="0"/>
    <w:rPr>
      <w:rFonts w:ascii="Times New Roman" w:hAnsi="Times New Roman" w:eastAsia="宋体" w:cs="Times New Roman"/>
      <w:kern w:val="0"/>
      <w:sz w:val="20"/>
      <w:szCs w:val="24"/>
      <w:lang w:val="en-US" w:eastAsia="zh-CN" w:bidi="ar-SA"/>
    </w:rPr>
  </w:style>
  <w:style w:type="character" w:customStyle="1" w:styleId="103">
    <w:name w:val="正文文本字符"/>
    <w:uiPriority w:val="0"/>
    <w:rPr>
      <w:rFonts w:ascii="Times New Roman" w:hAnsi="Times New Roman" w:eastAsia="宋体" w:cs="Times New Roman"/>
      <w:kern w:val="0"/>
      <w:sz w:val="20"/>
      <w:szCs w:val="24"/>
      <w:lang w:val="en-US" w:eastAsia="zh-CN" w:bidi="ar-SA"/>
    </w:rPr>
  </w:style>
  <w:style w:type="character" w:customStyle="1" w:styleId="104">
    <w:name w:val="正文文本 字符"/>
    <w:basedOn w:val="43"/>
    <w:semiHidden/>
    <w:qFormat/>
    <w:uiPriority w:val="99"/>
    <w:rPr>
      <w:rFonts w:asciiTheme="minorHAnsi" w:hAnsiTheme="minorHAnsi" w:eastAsiaTheme="minorEastAsia" w:cstheme="minorBidi"/>
      <w:kern w:val="2"/>
      <w:sz w:val="21"/>
      <w:szCs w:val="22"/>
      <w:lang w:val="en-US" w:eastAsia="zh-CN" w:bidi="ar-SA"/>
    </w:rPr>
  </w:style>
  <w:style w:type="character" w:customStyle="1" w:styleId="105">
    <w:name w:val="正文文本 字符1"/>
    <w:link w:val="15"/>
    <w:uiPriority w:val="0"/>
    <w:rPr>
      <w:rFonts w:ascii="Calibri" w:hAnsi="Calibri" w:eastAsia="宋体" w:cs="Times New Roman"/>
      <w:kern w:val="2"/>
      <w:sz w:val="24"/>
      <w:szCs w:val="24"/>
      <w:lang w:val="en-US" w:eastAsia="zh-CN" w:bidi="ar-SA"/>
    </w:rPr>
  </w:style>
  <w:style w:type="character" w:customStyle="1" w:styleId="106">
    <w:name w:val="Char Char2"/>
    <w:uiPriority w:val="0"/>
    <w:rPr>
      <w:rFonts w:eastAsia="宋体" w:asciiTheme="minorHAnsi" w:hAnsiTheme="minorHAnsi" w:cstheme="minorBidi"/>
      <w:kern w:val="2"/>
      <w:sz w:val="18"/>
      <w:szCs w:val="18"/>
      <w:lang w:val="en-US" w:eastAsia="zh-CN" w:bidi="ar-SA"/>
    </w:rPr>
  </w:style>
  <w:style w:type="character" w:customStyle="1" w:styleId="107">
    <w:name w:val="font01"/>
    <w:qFormat/>
    <w:uiPriority w:val="0"/>
    <w:rPr>
      <w:rFonts w:hint="eastAsia" w:ascii="宋体" w:hAnsi="宋体" w:eastAsia="宋体" w:cs="宋体"/>
      <w:color w:val="000000"/>
      <w:kern w:val="2"/>
      <w:sz w:val="21"/>
      <w:szCs w:val="21"/>
      <w:u w:val="none"/>
      <w:lang w:val="en-US" w:eastAsia="zh-CN" w:bidi="ar-SA"/>
    </w:rPr>
  </w:style>
  <w:style w:type="character" w:customStyle="1" w:styleId="108">
    <w:name w:val="正文文本缩进 2 字符1"/>
    <w:link w:val="30"/>
    <w:qFormat/>
    <w:uiPriority w:val="0"/>
    <w:rPr>
      <w:rFonts w:ascii="Times New Roman" w:hAnsi="Times New Roman" w:eastAsia="宋体" w:cs="Times New Roman"/>
      <w:kern w:val="0"/>
      <w:sz w:val="20"/>
      <w:szCs w:val="22"/>
      <w:lang w:val="en-US" w:eastAsia="zh-CN" w:bidi="ar-SA"/>
    </w:rPr>
  </w:style>
  <w:style w:type="character" w:customStyle="1" w:styleId="109">
    <w:name w:val="正文文本缩进 2 字符"/>
    <w:basedOn w:val="43"/>
    <w:semiHidden/>
    <w:qFormat/>
    <w:uiPriority w:val="99"/>
    <w:rPr>
      <w:rFonts w:asciiTheme="minorHAnsi" w:hAnsiTheme="minorHAnsi" w:eastAsiaTheme="minorEastAsia" w:cstheme="minorBidi"/>
      <w:kern w:val="2"/>
      <w:sz w:val="21"/>
      <w:szCs w:val="22"/>
      <w:lang w:val="en-US" w:eastAsia="zh-CN" w:bidi="ar-SA"/>
    </w:rPr>
  </w:style>
  <w:style w:type="character" w:customStyle="1" w:styleId="110">
    <w:name w:val="批注主题 字符1"/>
    <w:link w:val="12"/>
    <w:semiHidden/>
    <w:qFormat/>
    <w:uiPriority w:val="0"/>
    <w:rPr>
      <w:rFonts w:ascii="Times New Roman" w:hAnsi="Times New Roman" w:eastAsia="宋体" w:cs="Times New Roman"/>
      <w:b/>
      <w:bCs/>
      <w:kern w:val="0"/>
      <w:sz w:val="20"/>
      <w:szCs w:val="22"/>
      <w:lang w:val="en-US" w:eastAsia="zh-CN" w:bidi="ar-SA"/>
    </w:rPr>
  </w:style>
  <w:style w:type="character" w:customStyle="1" w:styleId="111">
    <w:name w:val="批注文字 字符"/>
    <w:basedOn w:val="43"/>
    <w:link w:val="13"/>
    <w:semiHidden/>
    <w:qFormat/>
    <w:uiPriority w:val="99"/>
    <w:rPr>
      <w:rFonts w:asciiTheme="minorHAnsi" w:hAnsiTheme="minorHAnsi" w:eastAsiaTheme="minorEastAsia" w:cstheme="minorBidi"/>
      <w:kern w:val="2"/>
      <w:sz w:val="21"/>
      <w:szCs w:val="22"/>
      <w:lang w:val="en-US" w:eastAsia="zh-CN" w:bidi="ar-SA"/>
    </w:rPr>
  </w:style>
  <w:style w:type="character" w:customStyle="1" w:styleId="112">
    <w:name w:val="批注主题 字符"/>
    <w:basedOn w:val="111"/>
    <w:semiHidden/>
    <w:qFormat/>
    <w:uiPriority w:val="99"/>
    <w:rPr>
      <w:rFonts w:asciiTheme="minorHAnsi" w:hAnsiTheme="minorHAnsi" w:eastAsiaTheme="minorEastAsia" w:cstheme="minorBidi"/>
      <w:b/>
      <w:bCs/>
      <w:kern w:val="2"/>
      <w:sz w:val="21"/>
      <w:szCs w:val="22"/>
      <w:lang w:val="en-US" w:eastAsia="zh-CN" w:bidi="ar-SA"/>
    </w:rPr>
  </w:style>
  <w:style w:type="character" w:customStyle="1" w:styleId="113">
    <w:name w:val="批注文字 Char"/>
    <w:qFormat/>
    <w:uiPriority w:val="0"/>
    <w:rPr>
      <w:rFonts w:asciiTheme="minorHAnsi" w:hAnsiTheme="minorHAnsi" w:eastAsiaTheme="minorEastAsia" w:cstheme="minorBidi"/>
      <w:kern w:val="2"/>
      <w:sz w:val="24"/>
      <w:szCs w:val="24"/>
      <w:lang w:val="en-US" w:eastAsia="zh-CN" w:bidi="ar-SA"/>
    </w:rPr>
  </w:style>
  <w:style w:type="character" w:customStyle="1" w:styleId="114">
    <w:name w:val="标题 字符1"/>
    <w:link w:val="42"/>
    <w:qFormat/>
    <w:uiPriority w:val="0"/>
    <w:rPr>
      <w:rFonts w:ascii="Cambria" w:hAnsi="Cambria" w:eastAsia="黑体" w:cs="Times New Roman"/>
      <w:b/>
      <w:bCs/>
      <w:kern w:val="0"/>
      <w:sz w:val="32"/>
      <w:szCs w:val="32"/>
      <w:lang w:val="en-US" w:eastAsia="zh-CN" w:bidi="ar-SA"/>
    </w:rPr>
  </w:style>
  <w:style w:type="character" w:customStyle="1" w:styleId="115">
    <w:name w:val="标题 字符"/>
    <w:basedOn w:val="43"/>
    <w:qFormat/>
    <w:uiPriority w:val="10"/>
    <w:rPr>
      <w:rFonts w:asciiTheme="majorHAnsi" w:hAnsiTheme="majorHAnsi" w:eastAsiaTheme="majorEastAsia" w:cstheme="majorBidi"/>
      <w:b/>
      <w:bCs/>
      <w:kern w:val="2"/>
      <w:sz w:val="32"/>
      <w:szCs w:val="32"/>
      <w:lang w:val="en-US" w:eastAsia="zh-CN" w:bidi="ar-SA"/>
    </w:rPr>
  </w:style>
  <w:style w:type="paragraph" w:customStyle="1" w:styleId="116">
    <w:name w:val="样式1"/>
    <w:basedOn w:val="5"/>
    <w:qFormat/>
    <w:uiPriority w:val="0"/>
    <w:pPr>
      <w:tabs>
        <w:tab w:val="left" w:pos="864"/>
      </w:tabs>
      <w:spacing w:before="120" w:after="120" w:line="360" w:lineRule="auto"/>
      <w:ind w:left="864" w:hanging="864"/>
    </w:pPr>
    <w:rPr>
      <w:b w:val="0"/>
      <w:bCs w:val="0"/>
    </w:rPr>
  </w:style>
  <w:style w:type="paragraph" w:customStyle="1" w:styleId="117">
    <w:name w:val="Char Char Char1 Char Char Char Char"/>
    <w:basedOn w:val="1"/>
    <w:qFormat/>
    <w:uiPriority w:val="0"/>
    <w:rPr>
      <w:rFonts w:ascii="Times New Roman" w:hAnsi="Times New Roman" w:eastAsia="宋体" w:cs="Times New Roman"/>
      <w:szCs w:val="24"/>
    </w:rPr>
  </w:style>
  <w:style w:type="paragraph" w:customStyle="1" w:styleId="118">
    <w:name w:val="Char Char Char Char Char Char"/>
    <w:basedOn w:val="1"/>
    <w:qFormat/>
    <w:uiPriority w:val="0"/>
    <w:rPr>
      <w:rFonts w:ascii="Times New Roman" w:hAnsi="Times New Roman" w:eastAsia="宋体" w:cs="Times New Roman"/>
      <w:szCs w:val="24"/>
    </w:rPr>
  </w:style>
  <w:style w:type="character" w:customStyle="1" w:styleId="119">
    <w:name w:val="批注框文本 Char1"/>
    <w:semiHidden/>
    <w:qFormat/>
    <w:uiPriority w:val="99"/>
    <w:rPr>
      <w:rFonts w:asciiTheme="minorHAnsi" w:hAnsiTheme="minorHAnsi" w:eastAsiaTheme="minorEastAsia" w:cstheme="minorBidi"/>
      <w:kern w:val="2"/>
      <w:sz w:val="18"/>
      <w:szCs w:val="18"/>
      <w:lang w:val="en-US" w:eastAsia="zh-CN" w:bidi="ar-SA"/>
    </w:rPr>
  </w:style>
  <w:style w:type="character" w:customStyle="1" w:styleId="120">
    <w:name w:val="日期 Char1"/>
    <w:semiHidden/>
    <w:qFormat/>
    <w:uiPriority w:val="99"/>
    <w:rPr>
      <w:rFonts w:asciiTheme="minorHAnsi" w:hAnsiTheme="minorHAnsi" w:eastAsiaTheme="minorEastAsia" w:cstheme="minorBidi"/>
      <w:kern w:val="2"/>
      <w:sz w:val="24"/>
      <w:szCs w:val="24"/>
      <w:lang w:val="en-US" w:eastAsia="zh-CN" w:bidi="ar-SA"/>
    </w:rPr>
  </w:style>
  <w:style w:type="character" w:customStyle="1" w:styleId="121">
    <w:name w:val="纯文本 Char1"/>
    <w:semiHidden/>
    <w:qFormat/>
    <w:uiPriority w:val="99"/>
    <w:rPr>
      <w:rFonts w:ascii="宋体" w:hAnsi="Courier New" w:eastAsia="宋体" w:cs="Courier New"/>
      <w:kern w:val="2"/>
      <w:sz w:val="21"/>
      <w:szCs w:val="21"/>
      <w:lang w:val="en-US" w:eastAsia="zh-CN" w:bidi="ar-SA"/>
    </w:rPr>
  </w:style>
  <w:style w:type="character" w:customStyle="1" w:styleId="122">
    <w:name w:val="批注主题 Char1"/>
    <w:semiHidden/>
    <w:qFormat/>
    <w:uiPriority w:val="99"/>
    <w:rPr>
      <w:rFonts w:asciiTheme="minorHAnsi" w:hAnsiTheme="minorHAnsi" w:eastAsiaTheme="minorEastAsia" w:cstheme="minorBidi"/>
      <w:b/>
      <w:bCs/>
      <w:kern w:val="2"/>
      <w:sz w:val="24"/>
      <w:szCs w:val="24"/>
      <w:lang w:val="en-US" w:eastAsia="zh-CN" w:bidi="ar-SA"/>
    </w:rPr>
  </w:style>
  <w:style w:type="paragraph" w:customStyle="1" w:styleId="123">
    <w:name w:val="Char Char Char Char"/>
    <w:basedOn w:val="1"/>
    <w:qFormat/>
    <w:uiPriority w:val="0"/>
    <w:rPr>
      <w:rFonts w:ascii="Times New Roman" w:hAnsi="Times New Roman" w:eastAsia="宋体" w:cs="Times New Roman"/>
      <w:szCs w:val="24"/>
    </w:rPr>
  </w:style>
  <w:style w:type="character" w:customStyle="1" w:styleId="124">
    <w:name w:val="正文首行缩进 Char1"/>
    <w:basedOn w:val="105"/>
    <w:semiHidden/>
    <w:qFormat/>
    <w:uiPriority w:val="99"/>
    <w:rPr>
      <w:rFonts w:ascii="Calibri" w:hAnsi="Calibri" w:eastAsia="宋体" w:cs="Times New Roman"/>
      <w:kern w:val="2"/>
      <w:sz w:val="24"/>
      <w:szCs w:val="24"/>
      <w:lang w:val="en-US" w:eastAsia="zh-CN" w:bidi="ar-SA"/>
    </w:rPr>
  </w:style>
  <w:style w:type="character" w:customStyle="1" w:styleId="125">
    <w:name w:val="正文文本缩进 3 Char1"/>
    <w:semiHidden/>
    <w:qFormat/>
    <w:uiPriority w:val="99"/>
    <w:rPr>
      <w:rFonts w:asciiTheme="minorHAnsi" w:hAnsiTheme="minorHAnsi" w:eastAsiaTheme="minorEastAsia" w:cstheme="minorBidi"/>
      <w:kern w:val="2"/>
      <w:sz w:val="16"/>
      <w:szCs w:val="16"/>
      <w:lang w:val="en-US" w:eastAsia="zh-CN" w:bidi="ar-SA"/>
    </w:rPr>
  </w:style>
  <w:style w:type="paragraph" w:customStyle="1" w:styleId="126">
    <w:name w:val="p0"/>
    <w:basedOn w:val="1"/>
    <w:qFormat/>
    <w:uiPriority w:val="0"/>
    <w:pPr>
      <w:widowControl/>
    </w:pPr>
    <w:rPr>
      <w:rFonts w:ascii="Times New Roman" w:hAnsi="Times New Roman" w:eastAsia="宋体" w:cs="Times New Roman"/>
      <w:kern w:val="0"/>
      <w:szCs w:val="21"/>
    </w:rPr>
  </w:style>
  <w:style w:type="character" w:customStyle="1" w:styleId="127">
    <w:name w:val="文档结构图 Char1"/>
    <w:semiHidden/>
    <w:qFormat/>
    <w:uiPriority w:val="99"/>
    <w:rPr>
      <w:rFonts w:ascii="宋体" w:eastAsia="宋体" w:hAnsiTheme="minorHAnsi" w:cstheme="minorBidi"/>
      <w:kern w:val="2"/>
      <w:sz w:val="18"/>
      <w:szCs w:val="18"/>
      <w:lang w:val="en-US" w:eastAsia="zh-CN" w:bidi="ar-SA"/>
    </w:rPr>
  </w:style>
  <w:style w:type="character" w:customStyle="1" w:styleId="128">
    <w:name w:val="正文文本 3 Char1"/>
    <w:semiHidden/>
    <w:qFormat/>
    <w:uiPriority w:val="99"/>
    <w:rPr>
      <w:rFonts w:asciiTheme="minorHAnsi" w:hAnsiTheme="minorHAnsi" w:eastAsiaTheme="minorEastAsia" w:cstheme="minorBidi"/>
      <w:kern w:val="2"/>
      <w:sz w:val="16"/>
      <w:szCs w:val="16"/>
      <w:lang w:val="en-US" w:eastAsia="zh-CN" w:bidi="ar-SA"/>
    </w:rPr>
  </w:style>
  <w:style w:type="character" w:customStyle="1" w:styleId="129">
    <w:name w:val="正文文本缩进 Char1"/>
    <w:semiHidden/>
    <w:qFormat/>
    <w:uiPriority w:val="99"/>
    <w:rPr>
      <w:rFonts w:asciiTheme="minorHAnsi" w:hAnsiTheme="minorHAnsi" w:eastAsiaTheme="minorEastAsia" w:cstheme="minorBidi"/>
      <w:kern w:val="2"/>
      <w:sz w:val="24"/>
      <w:szCs w:val="24"/>
      <w:lang w:val="en-US" w:eastAsia="zh-CN" w:bidi="ar-SA"/>
    </w:rPr>
  </w:style>
  <w:style w:type="character" w:customStyle="1" w:styleId="130">
    <w:name w:val="正文文本缩进 2 Char1"/>
    <w:semiHidden/>
    <w:qFormat/>
    <w:uiPriority w:val="99"/>
    <w:rPr>
      <w:rFonts w:asciiTheme="minorHAnsi" w:hAnsiTheme="minorHAnsi" w:eastAsiaTheme="minorEastAsia" w:cstheme="minorBidi"/>
      <w:kern w:val="2"/>
      <w:sz w:val="24"/>
      <w:szCs w:val="24"/>
      <w:lang w:val="en-US" w:eastAsia="zh-CN" w:bidi="ar-SA"/>
    </w:rPr>
  </w:style>
  <w:style w:type="paragraph" w:customStyle="1" w:styleId="131">
    <w:name w:val="Legal 3"/>
    <w:basedOn w:val="132"/>
    <w:next w:val="132"/>
    <w:qFormat/>
    <w:uiPriority w:val="0"/>
  </w:style>
  <w:style w:type="paragraph" w:customStyle="1" w:styleId="1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33">
    <w:name w:val="页脚 Char1"/>
    <w:semiHidden/>
    <w:qFormat/>
    <w:uiPriority w:val="99"/>
    <w:rPr>
      <w:rFonts w:asciiTheme="minorHAnsi" w:hAnsiTheme="minorHAnsi" w:eastAsiaTheme="minorEastAsia" w:cstheme="minorBidi"/>
      <w:kern w:val="2"/>
      <w:sz w:val="18"/>
      <w:szCs w:val="18"/>
      <w:lang w:val="en-US" w:eastAsia="zh-CN" w:bidi="ar-SA"/>
    </w:rPr>
  </w:style>
  <w:style w:type="character" w:customStyle="1" w:styleId="134">
    <w:name w:val="正文首行缩进 2 Char1"/>
    <w:basedOn w:val="129"/>
    <w:semiHidden/>
    <w:qFormat/>
    <w:uiPriority w:val="99"/>
    <w:rPr>
      <w:rFonts w:asciiTheme="minorHAnsi" w:hAnsiTheme="minorHAnsi" w:eastAsiaTheme="minorEastAsia" w:cstheme="minorBidi"/>
      <w:kern w:val="2"/>
      <w:sz w:val="24"/>
      <w:szCs w:val="24"/>
      <w:lang w:val="en-US" w:eastAsia="zh-CN" w:bidi="ar-SA"/>
    </w:rPr>
  </w:style>
  <w:style w:type="character" w:customStyle="1" w:styleId="135">
    <w:name w:val="页眉 Char1"/>
    <w:semiHidden/>
    <w:qFormat/>
    <w:uiPriority w:val="99"/>
    <w:rPr>
      <w:rFonts w:asciiTheme="minorHAnsi" w:hAnsiTheme="minorHAnsi" w:eastAsiaTheme="minorEastAsia" w:cstheme="minorBidi"/>
      <w:kern w:val="2"/>
      <w:sz w:val="18"/>
      <w:szCs w:val="18"/>
      <w:lang w:val="en-US" w:eastAsia="zh-CN" w:bidi="ar-SA"/>
    </w:rPr>
  </w:style>
  <w:style w:type="character" w:customStyle="1" w:styleId="136">
    <w:name w:val="正文文本 2 Char1"/>
    <w:semiHidden/>
    <w:qFormat/>
    <w:uiPriority w:val="99"/>
    <w:rPr>
      <w:rFonts w:asciiTheme="minorHAnsi" w:hAnsiTheme="minorHAnsi" w:eastAsiaTheme="minorEastAsia" w:cstheme="minorBidi"/>
      <w:kern w:val="2"/>
      <w:sz w:val="24"/>
      <w:szCs w:val="24"/>
      <w:lang w:val="en-US" w:eastAsia="zh-CN" w:bidi="ar-SA"/>
    </w:rPr>
  </w:style>
  <w:style w:type="character" w:customStyle="1" w:styleId="137">
    <w:name w:val="标题 Char1"/>
    <w:qFormat/>
    <w:uiPriority w:val="10"/>
    <w:rPr>
      <w:rFonts w:ascii="Cambria" w:hAnsi="Cambria" w:eastAsia="宋体" w:cs="Times New Roman"/>
      <w:b/>
      <w:bCs/>
      <w:kern w:val="2"/>
      <w:sz w:val="32"/>
      <w:szCs w:val="32"/>
      <w:lang w:val="en-US" w:eastAsia="zh-CN" w:bidi="ar-SA"/>
    </w:rPr>
  </w:style>
  <w:style w:type="character" w:customStyle="1" w:styleId="138">
    <w:name w:val="标题字符1"/>
    <w:qFormat/>
    <w:uiPriority w:val="10"/>
    <w:rPr>
      <w:rFonts w:ascii="Cambria" w:hAnsi="Cambria" w:eastAsia="宋体" w:cs="Times New Roman"/>
      <w:b/>
      <w:bCs/>
      <w:kern w:val="2"/>
      <w:sz w:val="32"/>
      <w:szCs w:val="32"/>
      <w:lang w:val="en-US" w:eastAsia="zh-CN" w:bidi="ar-SA"/>
    </w:rPr>
  </w:style>
  <w:style w:type="paragraph" w:customStyle="1" w:styleId="139">
    <w:name w:val="列出段落11"/>
    <w:basedOn w:val="1"/>
    <w:unhideWhenUsed/>
    <w:qFormat/>
    <w:uiPriority w:val="0"/>
    <w:pPr>
      <w:ind w:firstLine="420" w:firstLineChars="200"/>
    </w:pPr>
    <w:rPr>
      <w:rFonts w:ascii="Calibri" w:hAnsi="Calibri" w:eastAsia="宋体" w:cs="Times New Roman"/>
    </w:rPr>
  </w:style>
  <w:style w:type="paragraph" w:customStyle="1" w:styleId="140">
    <w:name w:val="图表标题"/>
    <w:basedOn w:val="1"/>
    <w:next w:val="15"/>
    <w:qFormat/>
    <w:uiPriority w:val="0"/>
    <w:rPr>
      <w:rFonts w:ascii="Times New Roman" w:hAnsi="Times New Roman" w:eastAsia="宋体" w:cs="Times New Roman"/>
      <w:sz w:val="30"/>
      <w:szCs w:val="20"/>
    </w:rPr>
  </w:style>
  <w:style w:type="paragraph" w:customStyle="1" w:styleId="141">
    <w:name w:val="样式 正文文本"/>
    <w:basedOn w:val="1"/>
    <w:qFormat/>
    <w:uiPriority w:val="0"/>
    <w:pPr>
      <w:adjustRightInd w:val="0"/>
      <w:snapToGrid w:val="0"/>
      <w:spacing w:line="400" w:lineRule="exact"/>
      <w:ind w:firstLine="200" w:firstLineChars="200"/>
    </w:pPr>
    <w:rPr>
      <w:rFonts w:ascii="Arial" w:hAnsi="Arial" w:eastAsia="宋体" w:cs="Times New Roman"/>
      <w:color w:val="000000"/>
      <w:szCs w:val="20"/>
    </w:rPr>
  </w:style>
  <w:style w:type="paragraph" w:customStyle="1" w:styleId="142">
    <w:name w:val="Char"/>
    <w:basedOn w:val="1"/>
    <w:qFormat/>
    <w:uiPriority w:val="0"/>
    <w:rPr>
      <w:rFonts w:ascii="仿宋_GB2312" w:hAnsi="Times New Roman" w:eastAsia="仿宋_GB2312" w:cs="Times New Roman"/>
      <w:b/>
      <w:sz w:val="32"/>
      <w:szCs w:val="32"/>
    </w:rPr>
  </w:style>
  <w:style w:type="paragraph" w:customStyle="1" w:styleId="143">
    <w:name w:val="Char4 Char Char Char"/>
    <w:basedOn w:val="21"/>
    <w:qFormat/>
    <w:uiPriority w:val="0"/>
    <w:rPr>
      <w:rFonts w:ascii="Tahoma" w:hAnsi="Tahoma"/>
      <w:sz w:val="24"/>
    </w:rPr>
  </w:style>
  <w:style w:type="paragraph" w:customStyle="1" w:styleId="144">
    <w:name w:val="表内文字"/>
    <w:basedOn w:val="1"/>
    <w:qFormat/>
    <w:uiPriority w:val="0"/>
    <w:pPr>
      <w:widowControl/>
      <w:ind w:firstLine="120" w:firstLineChars="50"/>
    </w:pPr>
    <w:rPr>
      <w:rFonts w:ascii="宋体" w:hAnsi="宋体" w:eastAsia="宋体" w:cs="Times New Roman"/>
      <w:sz w:val="24"/>
      <w:szCs w:val="20"/>
    </w:rPr>
  </w:style>
  <w:style w:type="paragraph" w:customStyle="1" w:styleId="145">
    <w:name w:val="Char Char Char"/>
    <w:basedOn w:val="1"/>
    <w:qFormat/>
    <w:uiPriority w:val="0"/>
    <w:pPr>
      <w:ind w:firstLine="360" w:firstLineChars="150"/>
    </w:pPr>
    <w:rPr>
      <w:rFonts w:ascii="Tahoma" w:hAnsi="Tahoma" w:eastAsia="宋体" w:cs="Times New Roman"/>
      <w:sz w:val="24"/>
      <w:szCs w:val="20"/>
    </w:rPr>
  </w:style>
  <w:style w:type="paragraph" w:customStyle="1" w:styleId="146">
    <w:name w:val="样式 样式1 + 首行缩进:  2 字符"/>
    <w:basedOn w:val="1"/>
    <w:qFormat/>
    <w:uiPriority w:val="0"/>
    <w:pPr>
      <w:spacing w:line="360" w:lineRule="exact"/>
      <w:ind w:firstLine="420" w:firstLineChars="200"/>
    </w:pPr>
    <w:rPr>
      <w:rFonts w:ascii="Arial" w:hAnsi="Arial" w:eastAsia="宋体" w:cs="Times New Roman"/>
      <w:szCs w:val="20"/>
    </w:rPr>
  </w:style>
  <w:style w:type="paragraph" w:customStyle="1" w:styleId="147">
    <w:name w:val="legal 2"/>
    <w:basedOn w:val="132"/>
    <w:next w:val="132"/>
    <w:qFormat/>
    <w:uiPriority w:val="0"/>
    <w:pPr>
      <w:spacing w:after="120"/>
    </w:pPr>
    <w:rPr>
      <w:rFonts w:cs="Times New Roman"/>
      <w:color w:val="auto"/>
    </w:rPr>
  </w:style>
  <w:style w:type="paragraph" w:customStyle="1" w:styleId="148">
    <w:name w:val="列表延续"/>
    <w:basedOn w:val="1"/>
    <w:qFormat/>
    <w:uiPriority w:val="0"/>
    <w:pPr>
      <w:numPr>
        <w:ilvl w:val="8"/>
        <w:numId w:val="4"/>
      </w:numPr>
      <w:adjustRightInd w:val="0"/>
      <w:spacing w:line="360" w:lineRule="auto"/>
      <w:textAlignment w:val="baseline"/>
    </w:pPr>
    <w:rPr>
      <w:rFonts w:ascii="Times New Roman" w:hAnsi="Tms Rmn" w:eastAsia="楷体_GB2312" w:cs="Times New Roman"/>
      <w:kern w:val="28"/>
      <w:sz w:val="28"/>
      <w:szCs w:val="20"/>
    </w:rPr>
  </w:style>
  <w:style w:type="paragraph" w:customStyle="1" w:styleId="149">
    <w:name w:val="Legal 5"/>
    <w:basedOn w:val="132"/>
    <w:next w:val="132"/>
    <w:qFormat/>
    <w:uiPriority w:val="0"/>
    <w:pPr>
      <w:spacing w:after="120"/>
    </w:pPr>
    <w:rPr>
      <w:rFonts w:cs="Times New Roman"/>
      <w:color w:val="auto"/>
    </w:rPr>
  </w:style>
  <w:style w:type="paragraph" w:customStyle="1" w:styleId="150">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1">
    <w:name w:val="Legal 4"/>
    <w:basedOn w:val="132"/>
    <w:next w:val="132"/>
    <w:qFormat/>
    <w:uiPriority w:val="0"/>
    <w:pPr>
      <w:spacing w:after="120"/>
    </w:pPr>
    <w:rPr>
      <w:rFonts w:cs="Times New Roman"/>
      <w:color w:val="auto"/>
    </w:rPr>
  </w:style>
  <w:style w:type="paragraph" w:customStyle="1" w:styleId="152">
    <w:name w:val="_Style 4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3">
    <w:name w:val="正文文字3"/>
    <w:basedOn w:val="15"/>
    <w:qFormat/>
    <w:uiPriority w:val="0"/>
    <w:pPr>
      <w:adjustRightInd w:val="0"/>
      <w:spacing w:after="0" w:line="360" w:lineRule="atLeast"/>
      <w:ind w:left="30" w:leftChars="30" w:right="30" w:rightChars="30"/>
      <w:textAlignment w:val="baseline"/>
    </w:pPr>
    <w:rPr>
      <w:rFonts w:ascii="Times New Roman" w:hAnsi="Times New Roman"/>
      <w:kern w:val="0"/>
      <w:sz w:val="20"/>
      <w:szCs w:val="20"/>
    </w:rPr>
  </w:style>
  <w:style w:type="paragraph" w:customStyle="1" w:styleId="154">
    <w:name w:val="1"/>
    <w:basedOn w:val="1"/>
    <w:qFormat/>
    <w:uiPriority w:val="0"/>
    <w:rPr>
      <w:rFonts w:ascii="仿宋_GB2312" w:hAnsi="Times New Roman" w:eastAsia="仿宋_GB2312" w:cs="Times New Roman"/>
      <w:b/>
      <w:sz w:val="32"/>
      <w:szCs w:val="32"/>
    </w:rPr>
  </w:style>
  <w:style w:type="paragraph" w:customStyle="1" w:styleId="155">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6">
    <w:name w:val="p16"/>
    <w:basedOn w:val="1"/>
    <w:qFormat/>
    <w:uiPriority w:val="0"/>
    <w:pPr>
      <w:widowControl/>
      <w:spacing w:line="360" w:lineRule="auto"/>
      <w:ind w:left="-2" w:firstLine="2"/>
      <w:jc w:val="left"/>
    </w:pPr>
    <w:rPr>
      <w:rFonts w:ascii="宋体" w:hAnsi="宋体" w:eastAsia="宋体" w:cs="宋体"/>
      <w:kern w:val="0"/>
      <w:sz w:val="30"/>
      <w:szCs w:val="30"/>
    </w:rPr>
  </w:style>
  <w:style w:type="paragraph" w:customStyle="1" w:styleId="157">
    <w:name w:val="正文 New"/>
    <w:uiPriority w:val="0"/>
    <w:pPr>
      <w:widowControl w:val="0"/>
      <w:spacing w:line="400" w:lineRule="atLeast"/>
      <w:jc w:val="both"/>
    </w:pPr>
    <w:rPr>
      <w:rFonts w:ascii="Times New Roman" w:hAnsi="Times New Roman" w:eastAsia="仿宋_GB2312" w:cs="Times New Roman"/>
      <w:kern w:val="2"/>
      <w:sz w:val="24"/>
      <w:lang w:val="en-US" w:eastAsia="zh-CN" w:bidi="ar-SA"/>
    </w:rPr>
  </w:style>
  <w:style w:type="paragraph" w:customStyle="1" w:styleId="158">
    <w:name w:val="标准有序列表（L1）"/>
    <w:basedOn w:val="17"/>
    <w:qFormat/>
    <w:uiPriority w:val="0"/>
    <w:pPr>
      <w:tabs>
        <w:tab w:val="left" w:pos="0"/>
      </w:tabs>
      <w:adjustRightInd w:val="0"/>
      <w:snapToGrid w:val="0"/>
      <w:ind w:firstLine="0"/>
      <w:jc w:val="center"/>
    </w:pPr>
    <w:rPr>
      <w:rFonts w:ascii="宋体" w:hAnsi="宋体" w:cs="宋体"/>
      <w:color w:val="000000"/>
      <w:szCs w:val="21"/>
    </w:rPr>
  </w:style>
  <w:style w:type="character" w:customStyle="1" w:styleId="159">
    <w:name w:val="正文文本首行缩进 2 字符"/>
    <w:basedOn w:val="86"/>
    <w:semiHidden/>
    <w:qFormat/>
    <w:uiPriority w:val="99"/>
    <w:rPr>
      <w:rFonts w:asciiTheme="minorHAnsi" w:hAnsiTheme="minorHAnsi" w:eastAsiaTheme="minorEastAsia" w:cstheme="minorBidi"/>
      <w:kern w:val="2"/>
      <w:sz w:val="21"/>
      <w:szCs w:val="22"/>
      <w:lang w:val="en-US" w:eastAsia="zh-CN" w:bidi="ar-SA"/>
    </w:rPr>
  </w:style>
  <w:style w:type="character" w:customStyle="1" w:styleId="160">
    <w:name w:val="正文文本首行缩进 字符"/>
    <w:basedOn w:val="104"/>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45</Pages>
  <Words>4460</Words>
  <Characters>25426</Characters>
  <Lines>211</Lines>
  <Paragraphs>59</Paragraphs>
  <TotalTime>0</TotalTime>
  <ScaleCrop>false</ScaleCrop>
  <LinksUpToDate>false</LinksUpToDate>
  <CharactersWithSpaces>29827</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2018-09-19T02:15:00Z</dcterms:created>
  <dc:creator>张治</dc:creator>
  <cp:lastModifiedBy>贾思勰</cp:lastModifiedBy>
  <dcterms:modified xsi:type="dcterms:W3CDTF">2019-11-19T23:45:52Z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