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eastAsia="黑体" w:cs="Calibri"/>
          <w:b/>
          <w:sz w:val="44"/>
          <w:szCs w:val="44"/>
        </w:rPr>
      </w:pPr>
      <w:r>
        <w:rPr>
          <w:rFonts w:hint="eastAsia" w:eastAsia="黑体" w:cs="Calibri"/>
          <w:b/>
          <w:sz w:val="44"/>
          <w:szCs w:val="44"/>
        </w:rPr>
        <w:t>杭州萧山国际机场宣传显示屏采购及安装项目</w:t>
      </w: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rPr>
          <w:rFonts w:ascii="Calibri" w:hAnsi="Calibri" w:eastAsia="隶书" w:cs="Calibri"/>
          <w:sz w:val="32"/>
        </w:rPr>
      </w:pPr>
    </w:p>
    <w:p>
      <w:pPr>
        <w:pStyle w:val="4"/>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4"/>
        <w:spacing w:line="480" w:lineRule="auto"/>
        <w:jc w:val="center"/>
        <w:rPr>
          <w:rFonts w:ascii="Calibri" w:hAnsi="Calibri" w:eastAsia="黑体" w:cs="Calibri"/>
          <w:sz w:val="32"/>
          <w:szCs w:val="32"/>
        </w:rPr>
      </w:pPr>
      <w:r>
        <w:rPr>
          <w:rFonts w:hint="eastAsia" w:ascii="Calibri" w:hAnsi="Calibri" w:eastAsia="黑体" w:cs="Calibri"/>
          <w:sz w:val="32"/>
          <w:szCs w:val="32"/>
        </w:rPr>
        <w:t>2019年</w:t>
      </w:r>
      <w:r>
        <w:rPr>
          <w:rFonts w:hint="eastAsia" w:ascii="Calibri" w:hAnsi="Calibri" w:eastAsia="黑体" w:cs="Calibri"/>
          <w:sz w:val="32"/>
          <w:szCs w:val="32"/>
          <w:u w:val="single"/>
        </w:rPr>
        <w:t>11</w:t>
      </w:r>
      <w:r>
        <w:rPr>
          <w:rFonts w:ascii="Calibri" w:hAnsi="Calibri" w:eastAsia="黑体" w:cs="Calibri"/>
          <w:sz w:val="32"/>
          <w:szCs w:val="32"/>
        </w:rPr>
        <w:t>月</w:t>
      </w:r>
    </w:p>
    <w:p>
      <w:pPr>
        <w:pStyle w:val="4"/>
        <w:spacing w:line="480" w:lineRule="auto"/>
        <w:rPr>
          <w:rFonts w:ascii="Calibri" w:hAnsi="Calibri" w:eastAsia="黑体" w:cs="Calibri"/>
          <w:sz w:val="32"/>
          <w:szCs w:val="32"/>
        </w:rPr>
      </w:pPr>
    </w:p>
    <w:p>
      <w:pPr>
        <w:pStyle w:val="15"/>
        <w:ind w:firstLine="0" w:firstLineChars="0"/>
        <w:rPr>
          <w:rFonts w:ascii="Calibri" w:hAnsi="Calibri" w:eastAsia="楷体_GB2312" w:cs="Calibri"/>
          <w:kern w:val="0"/>
          <w:sz w:val="24"/>
          <w:szCs w:val="24"/>
          <w:u w:val="single"/>
        </w:rPr>
      </w:pPr>
      <w:bookmarkStart w:id="0" w:name="_Toc349007685"/>
      <w:bookmarkStart w:id="1" w:name="_Toc386363314"/>
      <w:bookmarkStart w:id="2" w:name="_Toc349011855"/>
      <w:bookmarkStart w:id="3" w:name="_Toc386359390"/>
    </w:p>
    <w:p>
      <w:pPr>
        <w:pStyle w:val="15"/>
        <w:ind w:firstLine="0" w:firstLineChars="0"/>
        <w:rPr>
          <w:rFonts w:ascii="Calibri" w:hAnsi="Calibri" w:eastAsia="楷体_GB2312" w:cs="Calibri"/>
          <w:kern w:val="0"/>
          <w:sz w:val="24"/>
          <w:szCs w:val="24"/>
          <w:u w:val="single"/>
        </w:rPr>
      </w:pPr>
    </w:p>
    <w:p>
      <w:pPr>
        <w:pStyle w:val="15"/>
        <w:ind w:firstLine="0" w:firstLineChars="0"/>
        <w:rPr>
          <w:rFonts w:ascii="Calibri" w:hAnsi="Calibri" w:eastAsia="楷体_GB2312" w:cs="Calibri"/>
          <w:kern w:val="0"/>
          <w:sz w:val="24"/>
          <w:szCs w:val="24"/>
          <w:u w:val="single"/>
        </w:rPr>
      </w:pPr>
    </w:p>
    <w:p>
      <w:pPr>
        <w:pStyle w:val="15"/>
        <w:ind w:firstLine="0" w:firstLineChars="0"/>
      </w:pPr>
    </w:p>
    <w:p>
      <w:pPr>
        <w:pStyle w:val="9"/>
        <w:rPr>
          <w:rFonts w:ascii="Calibri" w:hAnsi="Calibri" w:cs="Calibri"/>
          <w:b/>
          <w:sz w:val="44"/>
        </w:rPr>
      </w:pPr>
      <w:bookmarkStart w:id="4" w:name="_Toc444811406"/>
      <w:bookmarkStart w:id="5" w:name="_Toc400369182"/>
      <w:bookmarkStart w:id="6" w:name="_Toc13136"/>
      <w:bookmarkStart w:id="7" w:name="_Toc9351378"/>
      <w:bookmarkStart w:id="8" w:name="_Toc444174976"/>
      <w:bookmarkStart w:id="9" w:name="_Toc448002981"/>
      <w:bookmarkStart w:id="10" w:name="_Toc444173456"/>
      <w:bookmarkStart w:id="11" w:name="_Toc478453289"/>
      <w:r>
        <w:rPr>
          <w:rFonts w:ascii="Calibri" w:cs="Calibri"/>
          <w:b/>
          <w:sz w:val="44"/>
        </w:rPr>
        <w:t>目</w:t>
      </w:r>
      <w:r>
        <w:rPr>
          <w:rFonts w:ascii="Calibri" w:hAnsi="Calibri" w:cs="Calibri"/>
          <w:b/>
          <w:sz w:val="44"/>
        </w:rPr>
        <w:t xml:space="preserve">  </w:t>
      </w:r>
      <w:r>
        <w:rPr>
          <w:rFonts w:ascii="Calibri" w:cs="Calibri"/>
          <w:b/>
          <w:sz w:val="44"/>
        </w:rPr>
        <w:t>录</w:t>
      </w:r>
      <w:bookmarkEnd w:id="0"/>
      <w:bookmarkEnd w:id="1"/>
      <w:bookmarkEnd w:id="2"/>
      <w:bookmarkEnd w:id="3"/>
      <w:bookmarkEnd w:id="4"/>
      <w:bookmarkEnd w:id="5"/>
      <w:bookmarkEnd w:id="6"/>
      <w:bookmarkEnd w:id="7"/>
      <w:bookmarkEnd w:id="8"/>
      <w:bookmarkEnd w:id="9"/>
      <w:bookmarkEnd w:id="10"/>
      <w:bookmarkEnd w:id="11"/>
    </w:p>
    <w:p>
      <w:pPr>
        <w:pStyle w:val="9"/>
        <w:tabs>
          <w:tab w:val="right" w:leader="dot" w:pos="8306"/>
          <w:tab w:val="clear" w:pos="8659"/>
        </w:tabs>
        <w:rPr>
          <w:rFonts w:ascii="Calibri" w:hAnsi="Calibri"/>
          <w:kern w:val="2"/>
          <w:szCs w:val="22"/>
        </w:rPr>
      </w:pPr>
      <w:r>
        <w:rPr>
          <w:rFonts w:hint="eastAsia" w:ascii="黑体" w:hAnsi="黑体" w:eastAsia="黑体" w:cs="Calibri"/>
          <w:sz w:val="22"/>
          <w:szCs w:val="22"/>
        </w:rPr>
        <w:fldChar w:fldCharType="begin"/>
      </w:r>
      <w:r>
        <w:rPr>
          <w:rFonts w:hint="eastAsia" w:ascii="黑体" w:hAnsi="黑体" w:eastAsia="黑体" w:cs="Calibri"/>
          <w:sz w:val="22"/>
          <w:szCs w:val="22"/>
        </w:rPr>
        <w:instrText xml:space="preserve"> TOC \o "1-3" \h \z \u </w:instrText>
      </w:r>
      <w:r>
        <w:rPr>
          <w:rFonts w:hint="eastAsia" w:ascii="黑体" w:hAnsi="黑体" w:eastAsia="黑体" w:cs="Calibri"/>
          <w:sz w:val="22"/>
          <w:szCs w:val="22"/>
        </w:rPr>
        <w:fldChar w:fldCharType="separate"/>
      </w:r>
      <w:r>
        <w:fldChar w:fldCharType="begin"/>
      </w:r>
      <w:r>
        <w:instrText xml:space="preserve"> HYPERLINK \l "_Toc20105" </w:instrText>
      </w:r>
      <w:r>
        <w:fldChar w:fldCharType="separate"/>
      </w:r>
      <w:r>
        <w:rPr>
          <w:rFonts w:ascii="Calibri" w:hAnsi="Calibri" w:eastAsia="黑体" w:cs="Calibri"/>
          <w:kern w:val="0"/>
          <w:szCs w:val="22"/>
        </w:rPr>
        <w:t xml:space="preserve">第一章 </w:t>
      </w:r>
      <w:r>
        <w:rPr>
          <w:rFonts w:hint="eastAsia" w:ascii="Calibri" w:hAnsi="Calibri" w:eastAsia="黑体" w:cs="Calibri"/>
          <w:kern w:val="0"/>
          <w:szCs w:val="22"/>
        </w:rPr>
        <w:t>招标公告</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_Toc20105 </w:instrText>
      </w:r>
      <w:r>
        <w:rPr>
          <w:rFonts w:ascii="Calibri" w:hAnsi="Calibri"/>
          <w:kern w:val="2"/>
          <w:szCs w:val="22"/>
        </w:rPr>
        <w:fldChar w:fldCharType="separate"/>
      </w:r>
      <w:r>
        <w:rPr>
          <w:rFonts w:ascii="Calibri" w:hAnsi="Calibri"/>
          <w:kern w:val="2"/>
          <w:szCs w:val="22"/>
        </w:rPr>
        <w:t>3</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"_Toc22936" </w:instrText>
      </w:r>
      <w:r>
        <w:fldChar w:fldCharType="separate"/>
      </w:r>
      <w:r>
        <w:rPr>
          <w:rFonts w:ascii="Calibri" w:hAnsi="Calibri" w:eastAsia="黑体" w:cs="Calibri"/>
          <w:kern w:val="0"/>
          <w:szCs w:val="22"/>
        </w:rPr>
        <w:t>第二章  投标人须知</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_Toc22936 </w:instrText>
      </w:r>
      <w:r>
        <w:rPr>
          <w:rFonts w:ascii="Calibri" w:hAnsi="Calibri"/>
          <w:kern w:val="2"/>
          <w:szCs w:val="22"/>
        </w:rPr>
        <w:fldChar w:fldCharType="separate"/>
      </w:r>
      <w:r>
        <w:rPr>
          <w:rFonts w:ascii="Calibri" w:hAnsi="Calibri"/>
          <w:kern w:val="2"/>
          <w:szCs w:val="22"/>
        </w:rPr>
        <w:t>5</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"_Toc20012" </w:instrText>
      </w:r>
      <w:r>
        <w:fldChar w:fldCharType="separate"/>
      </w:r>
      <w:r>
        <w:rPr>
          <w:rFonts w:ascii="Calibri" w:hAnsi="Arial" w:eastAsia="黑体" w:cs="Calibri"/>
          <w:kern w:val="2"/>
          <w:szCs w:val="32"/>
        </w:rPr>
        <w:t>投标人须知前附表</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_Toc20012 </w:instrText>
      </w:r>
      <w:r>
        <w:rPr>
          <w:rFonts w:ascii="Calibri" w:hAnsi="Calibri"/>
          <w:kern w:val="2"/>
          <w:szCs w:val="22"/>
        </w:rPr>
        <w:fldChar w:fldCharType="separate"/>
      </w:r>
      <w:r>
        <w:rPr>
          <w:rFonts w:ascii="Calibri" w:hAnsi="Calibri"/>
          <w:kern w:val="2"/>
          <w:szCs w:val="22"/>
        </w:rPr>
        <w:t>5</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"_Toc27483"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三</w:t>
      </w:r>
      <w:r>
        <w:rPr>
          <w:rFonts w:ascii="Calibri" w:hAnsi="Calibri" w:eastAsia="黑体" w:cs="Calibri"/>
          <w:kern w:val="0"/>
          <w:szCs w:val="22"/>
        </w:rPr>
        <w:t>章</w:t>
      </w:r>
      <w:r>
        <w:rPr>
          <w:rFonts w:hint="eastAsia" w:ascii="Calibri" w:hAnsi="Calibri" w:eastAsia="黑体" w:cs="Calibri"/>
          <w:kern w:val="0"/>
          <w:szCs w:val="22"/>
        </w:rPr>
        <w:t xml:space="preserve"> 采购内容、技术标准及要求</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_Toc27483 </w:instrText>
      </w:r>
      <w:r>
        <w:rPr>
          <w:rFonts w:ascii="Calibri" w:hAnsi="Calibri"/>
          <w:kern w:val="2"/>
          <w:szCs w:val="22"/>
        </w:rPr>
        <w:fldChar w:fldCharType="separate"/>
      </w:r>
      <w:r>
        <w:rPr>
          <w:rFonts w:ascii="Calibri" w:hAnsi="Calibri"/>
          <w:kern w:val="2"/>
          <w:szCs w:val="22"/>
        </w:rPr>
        <w:t>14</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"_Toc11897" </w:instrText>
      </w:r>
      <w:r>
        <w:fldChar w:fldCharType="separate"/>
      </w:r>
      <w:r>
        <w:rPr>
          <w:rFonts w:hint="eastAsia" w:ascii="Calibri" w:hAnsi="Calibri" w:eastAsia="黑体" w:cs="Calibri"/>
          <w:kern w:val="0"/>
          <w:szCs w:val="22"/>
        </w:rPr>
        <w:t xml:space="preserve">第四章  </w:t>
      </w:r>
      <w:r>
        <w:rPr>
          <w:rFonts w:ascii="Calibri" w:hAnsi="Calibri" w:eastAsia="黑体" w:cs="Calibri"/>
          <w:kern w:val="0"/>
          <w:szCs w:val="22"/>
        </w:rPr>
        <w:t>合同条款</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_Toc11897 </w:instrText>
      </w:r>
      <w:r>
        <w:rPr>
          <w:rFonts w:ascii="Calibri" w:hAnsi="Calibri"/>
          <w:kern w:val="2"/>
          <w:szCs w:val="22"/>
        </w:rPr>
        <w:fldChar w:fldCharType="separate"/>
      </w:r>
      <w:r>
        <w:rPr>
          <w:rFonts w:ascii="Calibri" w:hAnsi="Calibri"/>
          <w:kern w:val="2"/>
          <w:szCs w:val="22"/>
        </w:rPr>
        <w:t>19</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"_Toc25339"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五</w:t>
      </w:r>
      <w:r>
        <w:rPr>
          <w:rFonts w:ascii="Calibri" w:hAnsi="Calibri" w:eastAsia="黑体" w:cs="Calibri"/>
          <w:kern w:val="0"/>
          <w:szCs w:val="22"/>
        </w:rPr>
        <w:t>章  评标方法及标准</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_Toc25339 </w:instrText>
      </w:r>
      <w:r>
        <w:rPr>
          <w:rFonts w:ascii="Calibri" w:hAnsi="Calibri"/>
          <w:kern w:val="2"/>
          <w:szCs w:val="22"/>
        </w:rPr>
        <w:fldChar w:fldCharType="separate"/>
      </w:r>
      <w:r>
        <w:rPr>
          <w:rFonts w:ascii="Calibri" w:hAnsi="Calibri"/>
          <w:kern w:val="2"/>
          <w:szCs w:val="22"/>
        </w:rPr>
        <w:t>37</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"_Toc14922"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六</w:t>
      </w:r>
      <w:r>
        <w:rPr>
          <w:rFonts w:ascii="Calibri" w:hAnsi="Calibri" w:eastAsia="黑体" w:cs="Calibri"/>
          <w:kern w:val="0"/>
          <w:szCs w:val="22"/>
        </w:rPr>
        <w:t>章  投标文件格式</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_Toc14922 </w:instrText>
      </w:r>
      <w:r>
        <w:rPr>
          <w:rFonts w:ascii="Calibri" w:hAnsi="Calibri"/>
          <w:kern w:val="2"/>
          <w:szCs w:val="22"/>
        </w:rPr>
        <w:fldChar w:fldCharType="separate"/>
      </w:r>
      <w:r>
        <w:rPr>
          <w:rFonts w:ascii="Calibri" w:hAnsi="Calibri"/>
          <w:kern w:val="2"/>
          <w:szCs w:val="22"/>
        </w:rPr>
        <w:t>41</w:t>
      </w:r>
      <w:r>
        <w:rPr>
          <w:rFonts w:ascii="Calibri" w:hAnsi="Calibri"/>
          <w:kern w:val="2"/>
          <w:szCs w:val="22"/>
        </w:rPr>
        <w:fldChar w:fldCharType="end"/>
      </w:r>
      <w:r>
        <w:rPr>
          <w:rFonts w:ascii="Calibri" w:hAnsi="Calibri"/>
          <w:kern w:val="2"/>
          <w:szCs w:val="22"/>
        </w:rPr>
        <w:fldChar w:fldCharType="end"/>
      </w:r>
    </w:p>
    <w:p>
      <w:pPr>
        <w:spacing w:line="480" w:lineRule="auto"/>
        <w:rPr>
          <w:rFonts w:cs="Calibri"/>
          <w:sz w:val="24"/>
        </w:rPr>
      </w:pPr>
      <w:r>
        <w:rPr>
          <w:rFonts w:hint="eastAsia" w:ascii="黑体" w:hAnsi="黑体" w:eastAsia="黑体" w:cs="Calibri"/>
        </w:rPr>
        <w:fldChar w:fldCharType="end"/>
      </w:r>
    </w:p>
    <w:p>
      <w:pPr>
        <w:pStyle w:val="2"/>
        <w:spacing w:before="0" w:after="0" w:line="360" w:lineRule="auto"/>
        <w:jc w:val="center"/>
        <w:rPr>
          <w:rFonts w:ascii="Calibri" w:eastAsia="黑体" w:cs="Calibri"/>
          <w:kern w:val="0"/>
          <w:sz w:val="32"/>
        </w:rPr>
      </w:pPr>
      <w:r>
        <w:rPr>
          <w:rFonts w:ascii="Calibri" w:hAnsi="Calibri" w:cs="Calibri"/>
        </w:rPr>
        <w:br w:type="page"/>
      </w:r>
      <w:bookmarkStart w:id="12" w:name="_Toc14628"/>
      <w:bookmarkStart w:id="13" w:name="_Toc6581"/>
      <w:bookmarkStart w:id="14" w:name="_Toc24932"/>
      <w:bookmarkStart w:id="15" w:name="_Toc24784"/>
      <w:bookmarkStart w:id="16" w:name="_Toc7641"/>
      <w:bookmarkStart w:id="17" w:name="_Toc6832"/>
      <w:bookmarkStart w:id="18" w:name="_Toc18642"/>
      <w:bookmarkStart w:id="19" w:name="_Toc8110"/>
      <w:bookmarkStart w:id="20" w:name="_Toc22293"/>
      <w:bookmarkStart w:id="21" w:name="_Toc20105"/>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276" w:lineRule="auto"/>
        <w:jc w:val="left"/>
        <w:rPr>
          <w:rFonts w:ascii="Arial" w:hAnsi="Arial" w:cs="Arial"/>
          <w:b/>
          <w:bCs/>
          <w:kern w:val="0"/>
          <w:sz w:val="22"/>
        </w:rPr>
      </w:pPr>
      <w:r>
        <w:rPr>
          <w:rFonts w:hint="eastAsia" w:ascii="Arial" w:hAnsi="Arial" w:cs="Arial"/>
          <w:b/>
          <w:bCs/>
          <w:kern w:val="0"/>
          <w:sz w:val="22"/>
        </w:rPr>
        <w:t>一、招标范围及内容</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1.项目概况：</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1)在综合服务保障大楼1号职工食堂一楼大厅、T3航站楼食堂、宿舍员工食堂安装宣传显示大屏。1号职工食堂一楼大厅安装1套面积约为8.64m</w:t>
      </w:r>
      <w:r>
        <w:rPr>
          <w:rFonts w:hint="eastAsia" w:ascii="Arial" w:hAnsi="Arial" w:cs="Arial"/>
          <w:bCs/>
          <w:kern w:val="0"/>
          <w:sz w:val="22"/>
          <w:vertAlign w:val="superscript"/>
        </w:rPr>
        <w:t>2</w:t>
      </w:r>
      <w:r>
        <w:rPr>
          <w:rFonts w:hint="eastAsia" w:ascii="宋体" w:hAnsi="宋体"/>
          <w:sz w:val="24"/>
          <w:szCs w:val="24"/>
        </w:rPr>
        <w:t>（3.63m*2.38m）的</w:t>
      </w:r>
      <w:r>
        <w:rPr>
          <w:rFonts w:hint="eastAsia" w:ascii="Arial" w:hAnsi="Arial" w:cs="Arial"/>
          <w:bCs/>
          <w:kern w:val="0"/>
          <w:sz w:val="22"/>
        </w:rPr>
        <w:t>LED小间距全彩显示大屏和1台控制电脑,原单色LED屏迁移至食堂二楼。T3航站楼、宿舍员工食堂分别安装1台LCD工业液晶显示屏和1台瘦客户机。</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2）工会办公室安装1台发布电脑，信导部安装1台维护电脑。将这2台电脑与3处屏幕组成局域网，通过网络发布宣传视频或图片及进行远程维护。</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3）1号职工食堂一楼大厅原安装的单色LED屏搬迁至二楼，完成安装调试。</w:t>
      </w:r>
    </w:p>
    <w:p>
      <w:pPr>
        <w:widowControl/>
        <w:numPr>
          <w:ilvl w:val="0"/>
          <w:numId w:val="1"/>
        </w:numPr>
        <w:snapToGrid w:val="0"/>
        <w:spacing w:line="276" w:lineRule="auto"/>
        <w:ind w:firstLine="440" w:firstLineChars="200"/>
        <w:jc w:val="left"/>
        <w:rPr>
          <w:rFonts w:ascii="宋体" w:hAnsi="宋体" w:cs="Arial"/>
          <w:kern w:val="0"/>
          <w:sz w:val="22"/>
        </w:rPr>
      </w:pPr>
      <w:r>
        <w:rPr>
          <w:rFonts w:hint="eastAsia" w:ascii="宋体" w:hAnsi="宋体" w:cs="Arial"/>
          <w:kern w:val="0"/>
          <w:sz w:val="22"/>
        </w:rPr>
        <w:t>服务内容包含所有设备采购、运输、安装、调试以及对机场工作人员使用培训等工作。</w:t>
      </w:r>
    </w:p>
    <w:p>
      <w:pPr>
        <w:widowControl/>
        <w:numPr>
          <w:ilvl w:val="0"/>
          <w:numId w:val="1"/>
        </w:numPr>
        <w:snapToGrid w:val="0"/>
        <w:spacing w:line="276" w:lineRule="auto"/>
        <w:ind w:firstLine="440" w:firstLineChars="200"/>
        <w:jc w:val="left"/>
        <w:rPr>
          <w:rFonts w:ascii="宋体" w:hAnsi="宋体" w:cs="Arial"/>
          <w:kern w:val="0"/>
          <w:sz w:val="22"/>
        </w:rPr>
      </w:pPr>
      <w:r>
        <w:rPr>
          <w:rFonts w:hint="eastAsia" w:ascii="宋体" w:hAnsi="宋体" w:cs="Arial"/>
          <w:kern w:val="0"/>
          <w:sz w:val="22"/>
        </w:rPr>
        <w:t>实现功能：T3航站楼和宿舍员工食堂的显示屏以及</w:t>
      </w:r>
      <w:r>
        <w:rPr>
          <w:rFonts w:hint="eastAsia" w:ascii="Arial" w:hAnsi="Arial" w:cs="Arial"/>
          <w:bCs/>
          <w:kern w:val="0"/>
          <w:sz w:val="22"/>
        </w:rPr>
        <w:t>LED小间距全彩显示大屏与</w:t>
      </w:r>
      <w:r>
        <w:rPr>
          <w:rFonts w:hint="eastAsia" w:ascii="宋体" w:hAnsi="宋体" w:cs="Arial"/>
          <w:kern w:val="0"/>
          <w:sz w:val="22"/>
        </w:rPr>
        <w:t>工会办公室和信导部的电脑过网络组成局域网。工会办公室电脑可通过VNC软件管控前端的显示大屏，发布宣传视频或图片。</w:t>
      </w:r>
    </w:p>
    <w:p>
      <w:pPr>
        <w:widowControl/>
        <w:adjustRightInd w:val="0"/>
        <w:snapToGrid w:val="0"/>
        <w:spacing w:line="276" w:lineRule="auto"/>
        <w:ind w:firstLine="440" w:firstLineChars="200"/>
        <w:rPr>
          <w:rFonts w:ascii="宋体" w:hAnsi="宋体" w:cs="Arial"/>
          <w:kern w:val="0"/>
          <w:sz w:val="22"/>
        </w:rPr>
      </w:pPr>
      <w:r>
        <w:rPr>
          <w:rFonts w:hint="eastAsia" w:ascii="Arial" w:hAnsi="Arial" w:cs="Arial"/>
          <w:bCs/>
          <w:kern w:val="0"/>
          <w:sz w:val="22"/>
        </w:rPr>
        <w:t>2</w:t>
      </w:r>
      <w:r>
        <w:rPr>
          <w:rFonts w:ascii="Arial" w:hAnsi="Arial" w:cs="Arial"/>
          <w:bCs/>
          <w:kern w:val="0"/>
          <w:sz w:val="22"/>
        </w:rPr>
        <w:t>.</w:t>
      </w:r>
      <w:r>
        <w:rPr>
          <w:rFonts w:hint="eastAsia" w:ascii="宋体" w:hAnsi="宋体" w:cs="Arial"/>
          <w:kern w:val="0"/>
          <w:sz w:val="22"/>
        </w:rPr>
        <w:t xml:space="preserve"> 招标货物名称、数量及主要技术规格, 详见第三章 “采购内容、技术标准及要求”。</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r>
        <w:rPr>
          <w:rFonts w:hint="eastAsia" w:ascii="宋体" w:hAnsi="宋体" w:cs="Arial"/>
          <w:b/>
          <w:bCs/>
          <w:kern w:val="0"/>
          <w:sz w:val="22"/>
        </w:rPr>
        <w:t xml:space="preserve">  </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具有独立法人资格的制造商或代理商，制造商注册资金不少于人民币300万元或等值外币(按投标截止日当天中国银行公布的外汇牌价的中间价换算)，代理商注册资金不少于人民币300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3）近年（2016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276" w:lineRule="auto"/>
        <w:ind w:firstLine="440" w:firstLineChars="200"/>
        <w:rPr>
          <w:rFonts w:ascii="宋体" w:hAnsi="宋体" w:cs="Arial"/>
          <w:color w:val="FF0000"/>
          <w:kern w:val="0"/>
          <w:sz w:val="22"/>
          <w:u w:val="single"/>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w:t>
      </w:r>
      <w:r>
        <w:rPr>
          <w:rFonts w:ascii="宋体" w:hAnsi="宋体" w:cs="Arial"/>
          <w:kern w:val="0"/>
          <w:sz w:val="22"/>
        </w:rPr>
        <w:t>本项目不接受联合</w:t>
      </w:r>
      <w:r>
        <w:rPr>
          <w:rFonts w:hint="eastAsia" w:ascii="宋体" w:hAnsi="宋体" w:cs="Arial"/>
          <w:kern w:val="0"/>
          <w:sz w:val="22"/>
        </w:rPr>
        <w:t>体</w:t>
      </w:r>
      <w:r>
        <w:rPr>
          <w:rFonts w:ascii="宋体" w:hAnsi="宋体" w:cs="Arial"/>
          <w:kern w:val="0"/>
          <w:sz w:val="22"/>
        </w:rPr>
        <w:t>投标</w:t>
      </w:r>
      <w:r>
        <w:rPr>
          <w:rFonts w:hint="eastAsia" w:ascii="宋体" w:hAnsi="宋体" w:cs="Arial"/>
          <w:kern w:val="0"/>
          <w:sz w:val="22"/>
        </w:rPr>
        <w:t>。</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6</w:t>
      </w:r>
      <w:r>
        <w:rPr>
          <w:rFonts w:hint="eastAsia" w:ascii="宋体" w:hAnsi="宋体" w:cs="Arial"/>
          <w:kern w:val="0"/>
          <w:sz w:val="22"/>
        </w:rPr>
        <w:t>日上午9时00分（北京时间）。投标文件在封口处加盖公章，并派专人于</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6</w:t>
      </w:r>
      <w:r>
        <w:rPr>
          <w:rFonts w:hint="eastAsia" w:ascii="宋体" w:hAnsi="宋体" w:cs="Arial"/>
          <w:kern w:val="0"/>
          <w:sz w:val="22"/>
        </w:rPr>
        <w:t>日上午9时00分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6</w:t>
      </w:r>
      <w:r>
        <w:rPr>
          <w:rFonts w:hint="eastAsia" w:ascii="宋体" w:hAnsi="宋体" w:cs="Arial"/>
          <w:kern w:val="0"/>
          <w:sz w:val="22"/>
        </w:rPr>
        <w:t>日上午9时00分</w:t>
      </w:r>
      <w:r>
        <w:rPr>
          <w:rFonts w:hint="eastAsia" w:ascii="宋体" w:hAnsi="宋体" w:cs="Arial"/>
          <w:kern w:val="0"/>
          <w:sz w:val="22"/>
        </w:rPr>
        <w:t>（北京时间）前投递至杭州萧山国际机场翔越路综合服务楼园区招标中心，逾期无效。</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276" w:lineRule="auto"/>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276" w:lineRule="auto"/>
        <w:ind w:firstLine="440" w:firstLineChars="200"/>
        <w:rPr>
          <w:rFonts w:ascii="宋体" w:hAnsi="宋体"/>
          <w:sz w:val="22"/>
        </w:rPr>
      </w:pPr>
      <w:r>
        <w:rPr>
          <w:rFonts w:hint="eastAsia" w:ascii="宋体" w:hAnsi="宋体"/>
          <w:sz w:val="22"/>
        </w:rPr>
        <w:t xml:space="preserve">投标联系人：贾工       </w:t>
      </w:r>
      <w:r>
        <w:rPr>
          <w:rFonts w:ascii="宋体" w:hAnsi="宋体"/>
          <w:sz w:val="22"/>
        </w:rPr>
        <w:t xml:space="preserve">   </w:t>
      </w:r>
      <w:r>
        <w:rPr>
          <w:rFonts w:hint="eastAsia" w:ascii="宋体" w:hAnsi="宋体"/>
          <w:sz w:val="22"/>
        </w:rPr>
        <w:t>联系电话： 0571-83837612</w:t>
      </w:r>
    </w:p>
    <w:p>
      <w:pPr>
        <w:widowControl/>
        <w:adjustRightInd w:val="0"/>
        <w:snapToGrid w:val="0"/>
        <w:spacing w:line="276" w:lineRule="auto"/>
        <w:ind w:firstLine="440" w:firstLineChars="200"/>
        <w:rPr>
          <w:rFonts w:eastAsia="黑体" w:cs="Calibri"/>
          <w:kern w:val="0"/>
          <w:sz w:val="32"/>
        </w:rPr>
      </w:pPr>
      <w:r>
        <w:rPr>
          <w:rFonts w:hint="eastAsia" w:ascii="宋体" w:hAnsi="宋体"/>
          <w:bCs/>
          <w:sz w:val="22"/>
        </w:rPr>
        <w:t xml:space="preserve">招标监督人：阮工        </w:t>
      </w:r>
      <w:r>
        <w:rPr>
          <w:rFonts w:ascii="宋体" w:hAnsi="宋体"/>
          <w:bCs/>
          <w:sz w:val="22"/>
        </w:rPr>
        <w:t xml:space="preserve">  </w:t>
      </w:r>
      <w:r>
        <w:rPr>
          <w:rFonts w:hint="eastAsia" w:ascii="宋体" w:hAnsi="宋体"/>
          <w:bCs/>
          <w:sz w:val="22"/>
        </w:rPr>
        <w:t>联系电话：0</w:t>
      </w:r>
      <w:r>
        <w:rPr>
          <w:rFonts w:ascii="宋体" w:hAnsi="宋体"/>
          <w:bCs/>
          <w:sz w:val="22"/>
        </w:rPr>
        <w:t>571-86662133</w:t>
      </w: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rPr>
          <w:rFonts w:eastAsia="黑体" w:cs="Calibri"/>
          <w:kern w:val="0"/>
          <w:sz w:val="32"/>
        </w:rPr>
      </w:pPr>
    </w:p>
    <w:p>
      <w:pPr>
        <w:pStyle w:val="2"/>
        <w:spacing w:before="0" w:after="0" w:line="360" w:lineRule="auto"/>
        <w:jc w:val="center"/>
        <w:rPr>
          <w:rFonts w:ascii="Calibri" w:hAnsi="Calibri" w:eastAsia="黑体" w:cs="Calibri"/>
          <w:kern w:val="0"/>
          <w:sz w:val="32"/>
        </w:rPr>
      </w:pPr>
      <w:bookmarkStart w:id="24" w:name="_Toc22936"/>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22"/>
      <w:bookmarkEnd w:id="23"/>
      <w:bookmarkEnd w:id="24"/>
      <w:bookmarkStart w:id="25" w:name="_Toc143421654"/>
    </w:p>
    <w:p>
      <w:pPr>
        <w:pStyle w:val="16"/>
        <w:jc w:val="center"/>
        <w:rPr>
          <w:rFonts w:ascii="Calibri" w:hAnsi="Calibri" w:eastAsia="黑体" w:cs="Calibri"/>
          <w:kern w:val="2"/>
          <w:sz w:val="28"/>
          <w:szCs w:val="32"/>
        </w:rPr>
      </w:pPr>
      <w:bookmarkStart w:id="26" w:name="_Toc444174979"/>
      <w:bookmarkStart w:id="27" w:name="_Toc444811409"/>
      <w:bookmarkStart w:id="28" w:name="_Toc448002984"/>
      <w:bookmarkStart w:id="29" w:name="_Toc386363317"/>
      <w:bookmarkStart w:id="30" w:name="_Toc386359393"/>
      <w:bookmarkStart w:id="31" w:name="_Toc444173459"/>
      <w:bookmarkStart w:id="32" w:name="_Toc349011858"/>
      <w:bookmarkStart w:id="33" w:name="_Toc400369185"/>
      <w:bookmarkStart w:id="34" w:name="_Toc349007688"/>
      <w:bookmarkStart w:id="35" w:name="_Toc9351381"/>
      <w:bookmarkStart w:id="36" w:name="_Toc11881"/>
      <w:bookmarkStart w:id="37" w:name="_Toc20012"/>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bookmarkEnd w:id="36"/>
      <w:bookmarkEnd w:id="37"/>
      <w:bookmarkStart w:id="38" w:name="_Toc11067"/>
      <w:bookmarkStart w:id="39" w:name="_Toc143421656"/>
      <w:r>
        <w:rPr>
          <w:rFonts w:ascii="Calibri" w:hAnsi="Calibri" w:eastAsia="黑体" w:cs="Calibri"/>
          <w:kern w:val="2"/>
          <w:sz w:val="28"/>
          <w:szCs w:val="32"/>
        </w:rPr>
        <w:t xml:space="preserve"> </w:t>
      </w:r>
    </w:p>
    <w:tbl>
      <w:tblPr>
        <w:tblStyle w:val="14"/>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杭州萧山国际机场宣传显示屏采购及安装项目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交货</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7"/>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采购内容、技术标准及要求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供货期</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合同签订后</w:t>
            </w:r>
            <w:r>
              <w:rPr>
                <w:rFonts w:hint="eastAsia" w:ascii="宋体" w:hAnsi="宋体"/>
                <w:b/>
                <w:sz w:val="22"/>
                <w:u w:val="single"/>
              </w:rPr>
              <w:t xml:space="preserve"> 90 </w:t>
            </w:r>
            <w:r>
              <w:rPr>
                <w:rFonts w:hint="eastAsia" w:ascii="宋体" w:hAnsi="宋体"/>
                <w:b/>
                <w:sz w:val="22"/>
              </w:rPr>
              <w:t>日历天</w:t>
            </w:r>
            <w:r>
              <w:rPr>
                <w:rFonts w:hint="eastAsia" w:ascii="宋体" w:hAnsi="宋体" w:cs="Calibri"/>
                <w:b/>
                <w:kern w:val="0"/>
                <w:sz w:val="22"/>
              </w:rPr>
              <w:t>内（含安装调试）。</w:t>
            </w:r>
          </w:p>
          <w:p>
            <w:pPr>
              <w:autoSpaceDE w:val="0"/>
              <w:autoSpaceDN w:val="0"/>
              <w:adjustRightInd w:val="0"/>
              <w:snapToGrid w:val="0"/>
              <w:rPr>
                <w:rFonts w:ascii="宋体" w:hAnsi="宋体" w:cs="Calibri"/>
                <w:kern w:val="0"/>
                <w:sz w:val="22"/>
              </w:rPr>
            </w:pPr>
            <w:r>
              <w:rPr>
                <w:rFonts w:hint="eastAsia" w:ascii="宋体" w:hAnsi="宋体" w:cs="Calibri"/>
                <w:kern w:val="0"/>
                <w:sz w:val="22"/>
              </w:rPr>
              <w:t>投标人须在投标文件中提供最快交货时间和详细的供货计划。投标人可根据自身经验、技术水平及管理能力自报竞争性</w:t>
            </w:r>
            <w:r>
              <w:rPr>
                <w:rFonts w:ascii="宋体" w:hAnsi="宋体" w:cs="Calibri"/>
                <w:kern w:val="0"/>
                <w:sz w:val="22"/>
              </w:rPr>
              <w:t>供货期</w:t>
            </w:r>
            <w:r>
              <w:rPr>
                <w:rFonts w:hint="eastAsia" w:ascii="宋体" w:hAnsi="宋体" w:cs="Calibri"/>
                <w:kern w:val="0"/>
                <w:sz w:val="22"/>
              </w:rPr>
              <w:t>，但不得超过招标人明确的计划</w:t>
            </w:r>
            <w:r>
              <w:rPr>
                <w:rFonts w:ascii="宋体" w:hAnsi="宋体" w:cs="Calibri"/>
                <w:kern w:val="0"/>
                <w:sz w:val="22"/>
              </w:rPr>
              <w:t>供货期</w:t>
            </w:r>
            <w:r>
              <w:rPr>
                <w:rFonts w:hint="eastAsia" w:ascii="宋体" w:hAnsi="宋体" w:cs="Calibri"/>
                <w:kern w:val="0"/>
                <w:sz w:val="22"/>
              </w:rPr>
              <w:t>。一旦中标，该</w:t>
            </w:r>
            <w:r>
              <w:rPr>
                <w:rFonts w:ascii="宋体" w:hAnsi="宋体" w:cs="Calibri"/>
                <w:kern w:val="0"/>
                <w:sz w:val="22"/>
              </w:rPr>
              <w:t>供货期</w:t>
            </w:r>
            <w:r>
              <w:rPr>
                <w:rFonts w:hint="eastAsia" w:ascii="宋体" w:hAnsi="宋体" w:cs="Calibri"/>
                <w:kern w:val="0"/>
                <w:sz w:val="22"/>
              </w:rPr>
              <w:t>即为合同</w:t>
            </w:r>
            <w:r>
              <w:rPr>
                <w:rFonts w:ascii="宋体" w:hAnsi="宋体" w:cs="Calibri"/>
                <w:kern w:val="0"/>
                <w:sz w:val="22"/>
              </w:rPr>
              <w:t>供货期</w:t>
            </w:r>
            <w:r>
              <w:rPr>
                <w:rFonts w:hint="eastAsia" w:ascii="宋体" w:hAnsi="宋体" w:cs="Calibri"/>
                <w:kern w:val="0"/>
                <w:sz w:val="22"/>
              </w:rPr>
              <w:t>。整个项目</w:t>
            </w:r>
            <w:r>
              <w:rPr>
                <w:rFonts w:ascii="宋体" w:hAnsi="宋体" w:cs="Calibri"/>
                <w:kern w:val="0"/>
                <w:sz w:val="22"/>
              </w:rPr>
              <w:t>供货期</w:t>
            </w:r>
            <w:r>
              <w:rPr>
                <w:rFonts w:hint="eastAsia" w:ascii="宋体" w:hAnsi="宋体" w:cs="Calibri"/>
                <w:kern w:val="0"/>
                <w:sz w:val="22"/>
              </w:rPr>
              <w:t>安排应服从招标人要求。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行业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2" w:char="0052"/>
            </w:r>
            <w:r>
              <w:rPr>
                <w:rFonts w:ascii="宋体" w:hAnsi="宋体" w:cs="Calibri"/>
                <w:kern w:val="0"/>
                <w:sz w:val="22"/>
              </w:rPr>
              <w:t>组织，踏勘时间：</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12</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日上午9时00分</w:t>
            </w:r>
          </w:p>
          <w:p>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hint="eastAsia" w:ascii="宋体" w:hAnsi="宋体" w:cs="Calibri"/>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2019年</w:t>
            </w:r>
            <w:r>
              <w:rPr>
                <w:rFonts w:hint="eastAsia" w:ascii="宋体" w:hAnsi="宋体" w:cs="Calibri"/>
                <w:kern w:val="0"/>
                <w:sz w:val="22"/>
                <w:lang w:val="en-US" w:eastAsia="zh-CN"/>
              </w:rPr>
              <w:t>12</w:t>
            </w:r>
            <w:r>
              <w:rPr>
                <w:rFonts w:hint="eastAsia" w:ascii="宋体" w:hAnsi="宋体" w:cs="Calibri"/>
                <w:kern w:val="0"/>
                <w:sz w:val="22"/>
              </w:rPr>
              <w:t>月</w:t>
            </w:r>
            <w:r>
              <w:rPr>
                <w:rFonts w:hint="eastAsia" w:ascii="宋体" w:hAnsi="宋体" w:cs="Calibri"/>
                <w:kern w:val="0"/>
                <w:sz w:val="22"/>
                <w:lang w:val="en-US" w:eastAsia="zh-CN"/>
              </w:rPr>
              <w:t>30</w:t>
            </w:r>
            <w:r>
              <w:rPr>
                <w:rFonts w:hint="eastAsia" w:ascii="宋体" w:hAnsi="宋体" w:cs="Calibri"/>
                <w:kern w:val="0"/>
                <w:sz w:val="22"/>
              </w:rPr>
              <w:t>日11：30前，以书面加盖公章的形式通过E-mail或传真提交给招标人（投标联系人:贾工，电话0571-</w:t>
            </w:r>
            <w:r>
              <w:rPr>
                <w:rFonts w:hint="eastAsia" w:ascii="宋体" w:hAnsi="宋体"/>
                <w:sz w:val="22"/>
              </w:rPr>
              <w:t>83837612</w:t>
            </w:r>
            <w:r>
              <w:rPr>
                <w:rFonts w:hint="eastAsia" w:ascii="宋体" w:hAnsi="宋体" w:cs="Calibri"/>
                <w:kern w:val="0"/>
                <w:sz w:val="22"/>
              </w:rPr>
              <w:t>；传真：0571-</w:t>
            </w:r>
            <w:r>
              <w:rPr>
                <w:rFonts w:hint="eastAsia" w:ascii="宋体" w:hAnsi="宋体"/>
                <w:sz w:val="22"/>
              </w:rPr>
              <w:t>83837612</w:t>
            </w:r>
            <w:r>
              <w:rPr>
                <w:rFonts w:hint="eastAsia" w:ascii="宋体" w:hAnsi="宋体" w:cs="Calibri"/>
                <w:kern w:val="0"/>
                <w:sz w:val="22"/>
              </w:rPr>
              <w:t>；电子邮箱：zbzx@hzairport.com）投标人必须在规定时间前提出对招标文件的疑问，否则招标人有权拒绝接收和拒绝回答未在截止时间前提出的疑问</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6</w:t>
            </w:r>
            <w:r>
              <w:rPr>
                <w:rFonts w:hint="eastAsia" w:ascii="宋体" w:hAnsi="宋体" w:cs="Arial"/>
                <w:kern w:val="0"/>
                <w:sz w:val="22"/>
              </w:rPr>
              <w:t>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杭州萧山国际机场会议设备采购安装</w:t>
            </w:r>
            <w:r>
              <w:rPr>
                <w:rFonts w:ascii="宋体" w:hAnsi="宋体" w:cs="Calibri"/>
                <w:kern w:val="0"/>
                <w:sz w:val="22"/>
                <w:u w:val="single"/>
              </w:rPr>
              <w:t>项目</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6</w:t>
            </w:r>
            <w:r>
              <w:rPr>
                <w:rFonts w:hint="eastAsia" w:ascii="宋体" w:hAnsi="宋体" w:cs="Arial"/>
                <w:kern w:val="0"/>
                <w:sz w:val="22"/>
              </w:rPr>
              <w:t>日上午9时00分</w:t>
            </w:r>
            <w:bookmarkStart w:id="134" w:name="_GoBack"/>
            <w:bookmarkEnd w:id="134"/>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（4）密封情况检查：由投标人或者其集体推选的代表检查投标文件的密封情况。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（5）开标顺序：按照后送达先开的顺序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合同总价的</w:t>
            </w:r>
            <w:r>
              <w:rPr>
                <w:rFonts w:hint="eastAsia" w:ascii="宋体" w:hAnsi="宋体"/>
                <w:b/>
                <w:bCs/>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11"/>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11"/>
              <w:rPr>
                <w:rFonts w:ascii="宋体" w:hAnsi="宋体"/>
                <w:color w:val="auto"/>
                <w:sz w:val="22"/>
                <w:szCs w:val="22"/>
              </w:rPr>
            </w:pPr>
            <w:r>
              <w:rPr>
                <w:rFonts w:hint="eastAsia" w:ascii="宋体" w:hAnsi="宋体"/>
                <w:color w:val="auto"/>
                <w:sz w:val="22"/>
                <w:szCs w:val="22"/>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spacing w:line="276" w:lineRule="auto"/>
        <w:rPr>
          <w:rFonts w:ascii="宋体" w:hAnsi="宋体" w:cs="Calibri"/>
          <w:b/>
          <w:bCs/>
          <w:kern w:val="0"/>
          <w:sz w:val="22"/>
        </w:rPr>
      </w:pPr>
      <w:r>
        <w:rPr>
          <w:b/>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 项目概况</w:t>
      </w:r>
    </w:p>
    <w:p>
      <w:pPr>
        <w:adjustRightInd w:val="0"/>
        <w:snapToGrid w:val="0"/>
        <w:spacing w:line="276" w:lineRule="auto"/>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276" w:lineRule="auto"/>
        <w:ind w:firstLine="44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交货</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r>
        <w:rPr>
          <w:rFonts w:hint="eastAsia" w:ascii="宋体" w:hAnsi="宋体" w:cs="Calibri"/>
          <w:b/>
          <w:bCs/>
          <w:kern w:val="0"/>
          <w:sz w:val="22"/>
        </w:rPr>
        <w:t>内容</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供货</w:t>
      </w:r>
      <w:r>
        <w:rPr>
          <w:rFonts w:ascii="宋体" w:hAnsi="宋体" w:cs="Calibri"/>
          <w:b/>
          <w:bCs/>
          <w:kern w:val="0"/>
          <w:sz w:val="22"/>
        </w:rPr>
        <w:t>期</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p>
    <w:p>
      <w:pPr>
        <w:adjustRightInd w:val="0"/>
        <w:snapToGrid w:val="0"/>
        <w:spacing w:line="276" w:lineRule="auto"/>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2.招标文件</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2.1 招标文件的组成</w:t>
      </w:r>
    </w:p>
    <w:p>
      <w:pPr>
        <w:adjustRightInd w:val="0"/>
        <w:snapToGrid w:val="0"/>
        <w:spacing w:line="276" w:lineRule="auto"/>
        <w:ind w:firstLine="440"/>
        <w:rPr>
          <w:rFonts w:ascii="宋体" w:hAnsi="宋体" w:cs="Calibri"/>
          <w:kern w:val="0"/>
          <w:sz w:val="22"/>
        </w:rPr>
      </w:pPr>
      <w:r>
        <w:rPr>
          <w:rFonts w:ascii="宋体" w:hAnsi="宋体" w:cs="Calibri"/>
          <w:kern w:val="0"/>
          <w:sz w:val="22"/>
        </w:rPr>
        <w:t>本招标文件包括：</w:t>
      </w:r>
    </w:p>
    <w:p>
      <w:pPr>
        <w:adjustRightInd w:val="0"/>
        <w:snapToGrid w:val="0"/>
        <w:spacing w:line="276" w:lineRule="auto"/>
        <w:ind w:firstLine="440"/>
        <w:rPr>
          <w:rFonts w:ascii="宋体" w:hAnsi="宋体" w:cs="Calibri"/>
          <w:kern w:val="0"/>
          <w:sz w:val="22"/>
        </w:rPr>
      </w:pPr>
      <w:r>
        <w:rPr>
          <w:rFonts w:ascii="宋体" w:hAnsi="宋体" w:cs="Calibri"/>
          <w:kern w:val="0"/>
          <w:sz w:val="22"/>
        </w:rPr>
        <w:t>（1）招标公告</w:t>
      </w:r>
    </w:p>
    <w:p>
      <w:pPr>
        <w:adjustRightInd w:val="0"/>
        <w:snapToGrid w:val="0"/>
        <w:spacing w:line="276" w:lineRule="auto"/>
        <w:ind w:firstLine="440"/>
        <w:rPr>
          <w:rFonts w:ascii="宋体" w:hAnsi="宋体" w:cs="Calibri"/>
          <w:kern w:val="0"/>
          <w:sz w:val="22"/>
        </w:rPr>
      </w:pPr>
      <w:r>
        <w:rPr>
          <w:rFonts w:ascii="宋体" w:hAnsi="宋体" w:cs="Calibri"/>
          <w:kern w:val="0"/>
          <w:sz w:val="22"/>
        </w:rPr>
        <w:t>（2）投标人须知</w:t>
      </w:r>
    </w:p>
    <w:p>
      <w:pPr>
        <w:adjustRightInd w:val="0"/>
        <w:snapToGrid w:val="0"/>
        <w:spacing w:line="276" w:lineRule="auto"/>
        <w:ind w:firstLine="440"/>
        <w:rPr>
          <w:rFonts w:ascii="宋体" w:hAnsi="宋体" w:cs="Calibri"/>
          <w:kern w:val="0"/>
          <w:sz w:val="22"/>
        </w:rPr>
      </w:pPr>
      <w:r>
        <w:rPr>
          <w:rFonts w:ascii="宋体" w:hAnsi="宋体" w:cs="Calibri"/>
          <w:kern w:val="0"/>
          <w:sz w:val="22"/>
        </w:rPr>
        <w:t>（3）货物需求一览表及技术规格</w:t>
      </w:r>
    </w:p>
    <w:p>
      <w:pPr>
        <w:adjustRightInd w:val="0"/>
        <w:snapToGrid w:val="0"/>
        <w:spacing w:line="276" w:lineRule="auto"/>
        <w:ind w:firstLine="440"/>
        <w:rPr>
          <w:rFonts w:ascii="宋体" w:hAnsi="宋体" w:cs="Calibri"/>
          <w:kern w:val="0"/>
          <w:sz w:val="22"/>
        </w:rPr>
      </w:pPr>
      <w:r>
        <w:rPr>
          <w:rFonts w:ascii="宋体" w:hAnsi="宋体" w:cs="Calibri"/>
          <w:kern w:val="0"/>
          <w:sz w:val="22"/>
        </w:rPr>
        <w:t>（4）合同条款</w:t>
      </w:r>
    </w:p>
    <w:p>
      <w:pPr>
        <w:adjustRightInd w:val="0"/>
        <w:snapToGrid w:val="0"/>
        <w:spacing w:line="276" w:lineRule="auto"/>
        <w:ind w:firstLine="440"/>
        <w:rPr>
          <w:rFonts w:ascii="宋体" w:hAnsi="宋体" w:cs="Calibri"/>
          <w:kern w:val="0"/>
          <w:sz w:val="22"/>
        </w:rPr>
      </w:pPr>
      <w:r>
        <w:rPr>
          <w:rFonts w:ascii="宋体" w:hAnsi="宋体" w:cs="Calibri"/>
          <w:kern w:val="0"/>
          <w:sz w:val="22"/>
        </w:rPr>
        <w:t>（5）评标办法</w:t>
      </w:r>
      <w:r>
        <w:rPr>
          <w:rFonts w:hint="eastAsia" w:ascii="宋体" w:hAnsi="宋体" w:cs="Calibri"/>
          <w:kern w:val="0"/>
          <w:sz w:val="22"/>
        </w:rPr>
        <w:t>及标准</w:t>
      </w:r>
    </w:p>
    <w:p>
      <w:pPr>
        <w:adjustRightInd w:val="0"/>
        <w:snapToGrid w:val="0"/>
        <w:spacing w:line="276" w:lineRule="auto"/>
        <w:ind w:firstLine="440"/>
        <w:rPr>
          <w:rFonts w:ascii="宋体" w:hAnsi="宋体" w:cs="Calibri"/>
          <w:kern w:val="0"/>
          <w:sz w:val="22"/>
        </w:rPr>
      </w:pPr>
      <w:r>
        <w:rPr>
          <w:rFonts w:ascii="宋体" w:hAnsi="宋体" w:cs="Calibri"/>
          <w:kern w:val="0"/>
          <w:sz w:val="22"/>
        </w:rPr>
        <w:t>（6）投标文件格式</w:t>
      </w:r>
    </w:p>
    <w:p>
      <w:pPr>
        <w:adjustRightInd w:val="0"/>
        <w:snapToGrid w:val="0"/>
        <w:spacing w:line="276" w:lineRule="auto"/>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2.2 招标文件的澄清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2.2.2</w:t>
      </w:r>
      <w:r>
        <w:rPr>
          <w:rFonts w:hint="eastAsia" w:ascii="宋体" w:hAnsi="宋体" w:cs="Calibri"/>
          <w:color w:val="000000"/>
          <w:sz w:val="22"/>
        </w:rPr>
        <w:t>招标人将视情况采用补充公告的方式予以澄清。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2.3 招标文件的修改</w:t>
      </w:r>
    </w:p>
    <w:p>
      <w:pPr>
        <w:adjustRightInd w:val="0"/>
        <w:snapToGrid w:val="0"/>
        <w:spacing w:line="276" w:lineRule="auto"/>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3.投标文件</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3.1 投标文件的语言和计量单位</w:t>
      </w:r>
    </w:p>
    <w:p>
      <w:pPr>
        <w:adjustRightInd w:val="0"/>
        <w:snapToGrid w:val="0"/>
        <w:spacing w:line="276" w:lineRule="auto"/>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276" w:lineRule="auto"/>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276" w:lineRule="auto"/>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276" w:lineRule="auto"/>
        <w:ind w:firstLine="440"/>
        <w:rPr>
          <w:rFonts w:ascii="宋体" w:hAnsi="宋体" w:cs="Calibri"/>
          <w:kern w:val="0"/>
          <w:sz w:val="22"/>
        </w:rPr>
      </w:pPr>
      <w:r>
        <w:rPr>
          <w:rFonts w:ascii="宋体" w:hAnsi="宋体" w:cs="Calibri"/>
          <w:kern w:val="0"/>
          <w:sz w:val="22"/>
        </w:rPr>
        <w:t>3.1.4招标文件中所指的“合同”除特别说明外，指 “销售</w:t>
      </w:r>
      <w:r>
        <w:rPr>
          <w:rFonts w:hint="eastAsia" w:ascii="宋体" w:hAnsi="宋体" w:cs="Calibri"/>
          <w:kern w:val="0"/>
          <w:sz w:val="22"/>
        </w:rPr>
        <w:t>（供货）</w:t>
      </w:r>
      <w:r>
        <w:rPr>
          <w:rFonts w:ascii="宋体" w:hAnsi="宋体" w:cs="Calibri"/>
          <w:kern w:val="0"/>
          <w:sz w:val="22"/>
        </w:rPr>
        <w:t>合同”。</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3.2 投标文件的组成</w:t>
      </w:r>
    </w:p>
    <w:p>
      <w:pPr>
        <w:adjustRightInd w:val="0"/>
        <w:snapToGrid w:val="0"/>
        <w:spacing w:line="276" w:lineRule="auto"/>
        <w:ind w:firstLine="440"/>
        <w:rPr>
          <w:rFonts w:ascii="宋体" w:hAnsi="宋体" w:cs="Calibri"/>
          <w:sz w:val="22"/>
        </w:rPr>
      </w:pPr>
      <w:r>
        <w:rPr>
          <w:rFonts w:ascii="宋体" w:hAnsi="宋体" w:cs="Calibri"/>
          <w:sz w:val="22"/>
        </w:rPr>
        <w:t>3.2.1投标函；</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w:t>
      </w:r>
      <w:r>
        <w:rPr>
          <w:rFonts w:ascii="宋体" w:hAnsi="宋体" w:cs="Calibri"/>
          <w:color w:val="000000"/>
          <w:sz w:val="22"/>
        </w:rPr>
        <w:t xml:space="preserve"> 投标报价表；</w:t>
      </w:r>
    </w:p>
    <w:p>
      <w:pPr>
        <w:adjustRightInd w:val="0"/>
        <w:snapToGrid w:val="0"/>
        <w:spacing w:line="276" w:lineRule="auto"/>
        <w:ind w:firstLine="440"/>
        <w:rPr>
          <w:rFonts w:ascii="宋体" w:hAnsi="宋体" w:cs="Calibri"/>
          <w:sz w:val="22"/>
        </w:rPr>
      </w:pPr>
      <w:r>
        <w:rPr>
          <w:rFonts w:ascii="宋体" w:hAnsi="宋体" w:cs="Calibri"/>
          <w:sz w:val="22"/>
        </w:rPr>
        <w:t>3.2.5投标人资格证明文件：</w:t>
      </w:r>
    </w:p>
    <w:p>
      <w:pPr>
        <w:adjustRightInd w:val="0"/>
        <w:snapToGrid w:val="0"/>
        <w:spacing w:line="276" w:lineRule="auto"/>
        <w:ind w:firstLine="440"/>
        <w:rPr>
          <w:rFonts w:ascii="宋体" w:hAnsi="宋体" w:cs="Calibri"/>
          <w:sz w:val="22"/>
        </w:rPr>
      </w:pPr>
      <w:r>
        <w:rPr>
          <w:rFonts w:hint="eastAsia" w:ascii="宋体" w:hAnsi="宋体" w:cs="Calibri"/>
          <w:sz w:val="22"/>
        </w:rPr>
        <w:t>（1）投标人一般情况及有关证明投标人法律地位的文件（附营业执照、税务登记证、相关产品质量认证证书、相关产品鉴定证书等）。</w:t>
      </w:r>
    </w:p>
    <w:p>
      <w:pPr>
        <w:adjustRightInd w:val="0"/>
        <w:snapToGrid w:val="0"/>
        <w:spacing w:line="276" w:lineRule="auto"/>
        <w:ind w:firstLine="44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276" w:lineRule="auto"/>
        <w:ind w:firstLine="440"/>
        <w:rPr>
          <w:rFonts w:ascii="宋体" w:hAns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）制造商资格声明。</w:t>
      </w:r>
    </w:p>
    <w:p>
      <w:pPr>
        <w:adjustRightInd w:val="0"/>
        <w:snapToGrid w:val="0"/>
        <w:spacing w:line="276" w:lineRule="auto"/>
        <w:ind w:firstLine="440"/>
        <w:rPr>
          <w:rFonts w:ascii="宋体" w:hAns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）设备制造商的授权书（代理商投标时提供）</w:t>
      </w:r>
    </w:p>
    <w:p>
      <w:pPr>
        <w:adjustRightInd w:val="0"/>
        <w:snapToGrid w:val="0"/>
        <w:spacing w:line="276" w:lineRule="auto"/>
        <w:ind w:firstLine="44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）投标产品近三年（合同</w:t>
      </w:r>
      <w:r>
        <w:rPr>
          <w:rFonts w:ascii="宋体" w:hAnsi="宋体" w:cs="Calibri"/>
          <w:sz w:val="22"/>
        </w:rPr>
        <w:t>签订时间</w:t>
      </w:r>
      <w:r>
        <w:rPr>
          <w:rFonts w:hint="eastAsia" w:ascii="宋体" w:hAnsi="宋体" w:cs="Calibri"/>
          <w:sz w:val="22"/>
        </w:rPr>
        <w:t>或</w:t>
      </w:r>
      <w:r>
        <w:rPr>
          <w:rFonts w:ascii="宋体" w:hAnsi="宋体" w:cs="Calibri"/>
          <w:sz w:val="22"/>
        </w:rPr>
        <w:t>部分</w:t>
      </w:r>
      <w:r>
        <w:rPr>
          <w:rFonts w:hint="eastAsia" w:ascii="宋体" w:hAnsi="宋体" w:cs="Calibri"/>
          <w:sz w:val="22"/>
        </w:rPr>
        <w:t>供货期在2016年1月1日至</w:t>
      </w:r>
      <w:r>
        <w:rPr>
          <w:rFonts w:ascii="宋体" w:hAnsi="宋体" w:cs="Calibri"/>
          <w:sz w:val="22"/>
        </w:rPr>
        <w:t>投标截止日</w:t>
      </w:r>
      <w:r>
        <w:rPr>
          <w:rFonts w:hint="eastAsia" w:ascii="宋体" w:hAnsi="宋体" w:cs="Calibri"/>
          <w:sz w:val="22"/>
        </w:rPr>
        <w:t>）的销售业绩一览表（附业绩的合同）。</w:t>
      </w:r>
    </w:p>
    <w:p>
      <w:pPr>
        <w:adjustRightInd w:val="0"/>
        <w:snapToGrid w:val="0"/>
        <w:spacing w:line="276" w:lineRule="auto"/>
        <w:ind w:firstLine="440"/>
        <w:rPr>
          <w:rFonts w:ascii="宋体" w:hAnsi="宋体" w:cs="宋体"/>
          <w:sz w:val="22"/>
        </w:rPr>
      </w:pPr>
      <w:r>
        <w:rPr>
          <w:rFonts w:ascii="宋体" w:hAnsi="宋体" w:cs="Calibri"/>
          <w:sz w:val="22"/>
        </w:rPr>
        <w:t>3.2.6</w:t>
      </w:r>
      <w:r>
        <w:rPr>
          <w:rFonts w:hint="eastAsia" w:ascii="宋体" w:hAnsi="宋体" w:cs="宋体"/>
          <w:sz w:val="22"/>
        </w:rPr>
        <w:t>技术规格偏离表；</w:t>
      </w:r>
    </w:p>
    <w:p>
      <w:pPr>
        <w:adjustRightInd w:val="0"/>
        <w:snapToGrid w:val="0"/>
        <w:spacing w:line="276" w:lineRule="auto"/>
        <w:ind w:firstLine="440"/>
        <w:rPr>
          <w:rFonts w:ascii="宋体" w:hAnsi="宋体" w:cs="Calibri"/>
          <w:sz w:val="22"/>
        </w:rPr>
      </w:pPr>
      <w:r>
        <w:rPr>
          <w:rFonts w:hint="eastAsia" w:ascii="宋体" w:hAnsi="宋体" w:cs="宋体"/>
          <w:sz w:val="22"/>
        </w:rPr>
        <w:t>3.2.7 商务条款响应偏离表；</w:t>
      </w:r>
    </w:p>
    <w:p>
      <w:pPr>
        <w:adjustRightInd w:val="0"/>
        <w:snapToGrid w:val="0"/>
        <w:spacing w:line="276" w:lineRule="auto"/>
        <w:ind w:firstLine="440"/>
        <w:rPr>
          <w:rFonts w:ascii="宋体" w:hAnsi="宋体" w:cs="宋体"/>
          <w:sz w:val="22"/>
        </w:rPr>
      </w:pPr>
      <w:r>
        <w:rPr>
          <w:rFonts w:hint="eastAsia" w:ascii="宋体" w:hAnsi="宋体" w:cs="宋体"/>
          <w:sz w:val="22"/>
        </w:rPr>
        <w:t>3.2.8系统设备供货范围（包括设备数量、型号规格、产地、品牌），进口零部件详细清单（需说明产地、品牌）；</w:t>
      </w:r>
    </w:p>
    <w:p>
      <w:pPr>
        <w:adjustRightInd w:val="0"/>
        <w:snapToGrid w:val="0"/>
        <w:spacing w:line="276" w:lineRule="auto"/>
        <w:ind w:firstLine="440"/>
        <w:rPr>
          <w:rFonts w:ascii="宋体" w:hAnsi="宋体" w:cs="宋体"/>
          <w:sz w:val="22"/>
        </w:rPr>
      </w:pPr>
      <w:r>
        <w:rPr>
          <w:rFonts w:hint="eastAsia" w:ascii="宋体" w:hAnsi="宋体" w:cs="宋体"/>
          <w:sz w:val="22"/>
        </w:rPr>
        <w:t>3.2.9技术参数、结构及性能特点等产品技术规格书</w:t>
      </w:r>
      <w:r>
        <w:rPr>
          <w:rFonts w:hint="eastAsia" w:ascii="宋体" w:hAnsi="宋体" w:cs="Calibri"/>
          <w:sz w:val="22"/>
        </w:rPr>
        <w:t>（含外观彩色图片）</w:t>
      </w:r>
      <w:r>
        <w:rPr>
          <w:rFonts w:hint="eastAsia" w:ascii="宋体" w:hAnsi="宋体" w:cs="宋体"/>
          <w:sz w:val="22"/>
        </w:rPr>
        <w:t>；</w:t>
      </w:r>
    </w:p>
    <w:p>
      <w:pPr>
        <w:adjustRightInd w:val="0"/>
        <w:snapToGrid w:val="0"/>
        <w:spacing w:line="276" w:lineRule="auto"/>
        <w:ind w:firstLine="440"/>
        <w:rPr>
          <w:rFonts w:ascii="宋体" w:hAnsi="宋体" w:cs="宋体"/>
          <w:sz w:val="22"/>
        </w:rPr>
      </w:pPr>
      <w:r>
        <w:rPr>
          <w:rFonts w:hint="eastAsia" w:ascii="宋体" w:hAnsi="宋体" w:cs="宋体"/>
          <w:sz w:val="22"/>
        </w:rPr>
        <w:t>3.2.10主要原材料及部件性能和生产厂家；</w:t>
      </w:r>
    </w:p>
    <w:p>
      <w:pPr>
        <w:adjustRightInd w:val="0"/>
        <w:snapToGrid w:val="0"/>
        <w:spacing w:line="276" w:lineRule="auto"/>
        <w:ind w:firstLine="440"/>
        <w:rPr>
          <w:rFonts w:ascii="宋体" w:hAnsi="宋体" w:cs="宋体"/>
          <w:sz w:val="22"/>
        </w:rPr>
      </w:pPr>
      <w:r>
        <w:rPr>
          <w:rFonts w:hint="eastAsia" w:ascii="宋体" w:hAnsi="宋体" w:cs="宋体"/>
          <w:sz w:val="22"/>
        </w:rPr>
        <w:t>3.2.11产品制造、安装、验收标准和验收方法；</w:t>
      </w:r>
    </w:p>
    <w:p>
      <w:pPr>
        <w:adjustRightInd w:val="0"/>
        <w:snapToGrid w:val="0"/>
        <w:spacing w:line="276" w:lineRule="auto"/>
        <w:ind w:firstLine="440"/>
        <w:rPr>
          <w:rFonts w:ascii="宋体" w:hAnsi="宋体" w:cs="宋体"/>
          <w:sz w:val="22"/>
        </w:rPr>
      </w:pPr>
      <w:r>
        <w:rPr>
          <w:rFonts w:hint="eastAsia" w:ascii="宋体" w:hAnsi="宋体" w:cs="宋体"/>
          <w:sz w:val="22"/>
        </w:rPr>
        <w:t>3.2.12现场指导、调试；</w:t>
      </w:r>
    </w:p>
    <w:p>
      <w:pPr>
        <w:adjustRightInd w:val="0"/>
        <w:snapToGrid w:val="0"/>
        <w:spacing w:line="276" w:lineRule="auto"/>
        <w:ind w:firstLine="440"/>
        <w:rPr>
          <w:rFonts w:ascii="宋体" w:hAnsi="宋体" w:cs="宋体"/>
          <w:sz w:val="22"/>
        </w:rPr>
      </w:pPr>
      <w:r>
        <w:rPr>
          <w:rFonts w:hint="eastAsia" w:ascii="宋体" w:hAnsi="宋体" w:cs="宋体"/>
          <w:sz w:val="22"/>
        </w:rPr>
        <w:t>3.2.13</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276" w:lineRule="auto"/>
        <w:ind w:firstLine="440"/>
        <w:rPr>
          <w:rFonts w:ascii="宋体" w:hAnsi="宋体" w:cs="宋体"/>
          <w:sz w:val="22"/>
        </w:rPr>
      </w:pPr>
      <w:r>
        <w:rPr>
          <w:rFonts w:hint="eastAsia" w:ascii="宋体" w:hAnsi="宋体" w:cs="宋体"/>
          <w:sz w:val="22"/>
        </w:rPr>
        <w:t>3.2.14提供详细的培训计划，包括培训内容、培训时间、培训人数等；</w:t>
      </w:r>
    </w:p>
    <w:p>
      <w:pPr>
        <w:adjustRightInd w:val="0"/>
        <w:snapToGrid w:val="0"/>
        <w:spacing w:line="276" w:lineRule="auto"/>
        <w:ind w:firstLine="440"/>
        <w:rPr>
          <w:rFonts w:ascii="宋体" w:hAnsi="宋体" w:cs="宋体"/>
          <w:sz w:val="22"/>
        </w:rPr>
      </w:pPr>
      <w:r>
        <w:rPr>
          <w:rFonts w:hint="eastAsia" w:ascii="宋体" w:hAnsi="宋体" w:cs="宋体"/>
          <w:sz w:val="22"/>
        </w:rPr>
        <w:t>3.2.15关于质量保证期的说明；</w:t>
      </w:r>
    </w:p>
    <w:p>
      <w:pPr>
        <w:adjustRightInd w:val="0"/>
        <w:snapToGrid w:val="0"/>
        <w:spacing w:line="276" w:lineRule="auto"/>
        <w:ind w:firstLine="440"/>
        <w:rPr>
          <w:rFonts w:ascii="宋体" w:hAnsi="宋体" w:cs="宋体"/>
          <w:sz w:val="22"/>
        </w:rPr>
      </w:pPr>
      <w:r>
        <w:rPr>
          <w:rFonts w:hint="eastAsia" w:ascii="宋体" w:hAnsi="宋体" w:cs="宋体"/>
          <w:sz w:val="22"/>
        </w:rPr>
        <w:t>3.2.16优惠条件：投标人承诺给予用户的其他优惠条款，包括付款条件、培训服务、质量保证期等方面的优惠；</w:t>
      </w:r>
    </w:p>
    <w:p>
      <w:pPr>
        <w:adjustRightInd w:val="0"/>
        <w:snapToGrid w:val="0"/>
        <w:spacing w:line="276" w:lineRule="auto"/>
        <w:ind w:firstLine="440"/>
        <w:rPr>
          <w:rFonts w:ascii="宋体" w:hAnsi="宋体" w:cs="宋体"/>
          <w:sz w:val="22"/>
        </w:rPr>
      </w:pPr>
      <w:r>
        <w:rPr>
          <w:rFonts w:hint="eastAsia" w:ascii="宋体" w:hAnsi="宋体" w:cs="宋体"/>
          <w:sz w:val="22"/>
        </w:rPr>
        <w:t>3.2.17</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3.3 投标报价</w:t>
      </w:r>
    </w:p>
    <w:p>
      <w:pPr>
        <w:adjustRightInd w:val="0"/>
        <w:snapToGrid w:val="0"/>
        <w:spacing w:line="276" w:lineRule="auto"/>
        <w:ind w:firstLine="440"/>
        <w:rPr>
          <w:rFonts w:ascii="宋体" w:hAnsi="宋体" w:cs="Calibri"/>
          <w:sz w:val="22"/>
        </w:rPr>
      </w:pPr>
      <w:r>
        <w:rPr>
          <w:rFonts w:ascii="宋体" w:hAnsi="宋体" w:cs="Calibri"/>
          <w:sz w:val="22"/>
        </w:rPr>
        <w:t>3.3.1</w:t>
      </w:r>
      <w:r>
        <w:rPr>
          <w:rFonts w:hint="eastAsia" w:ascii="宋体" w:hAnsi="宋体" w:cs="宋体"/>
          <w:sz w:val="22"/>
        </w:rPr>
        <w:t>投标人递交的投标函及投标报价表中的投标总价必须一致。</w:t>
      </w:r>
      <w:r>
        <w:rPr>
          <w:rFonts w:ascii="宋体" w:hAnsi="宋体" w:cs="Calibri"/>
          <w:sz w:val="22"/>
        </w:rPr>
        <w:t>投标人对该项目只允许有一个总报价，招标人不接受任何有选择的报价及修正报价；</w:t>
      </w:r>
    </w:p>
    <w:p>
      <w:pPr>
        <w:adjustRightInd w:val="0"/>
        <w:snapToGrid w:val="0"/>
        <w:spacing w:line="276" w:lineRule="auto"/>
        <w:ind w:firstLine="440"/>
        <w:rPr>
          <w:rFonts w:ascii="宋体" w:hAnsi="宋体" w:cs="宋体"/>
          <w:bCs/>
          <w:sz w:val="22"/>
        </w:rPr>
      </w:pPr>
      <w:r>
        <w:rPr>
          <w:rFonts w:ascii="宋体" w:hAnsi="宋体" w:cs="Calibri"/>
          <w:sz w:val="22"/>
        </w:rPr>
        <w:t>3.3.</w:t>
      </w:r>
      <w:r>
        <w:rPr>
          <w:rFonts w:hint="eastAsia" w:ascii="宋体" w:hAnsi="宋体" w:cs="Calibri"/>
          <w:sz w:val="22"/>
        </w:rPr>
        <w:t>2</w:t>
      </w:r>
      <w:r>
        <w:rPr>
          <w:rFonts w:hint="eastAsia" w:ascii="宋体" w:hAnsi="宋体" w:cs="宋体"/>
          <w:sz w:val="22"/>
        </w:rPr>
        <w:t>投标人所报投标总价应为投标人为完成本项目所发生的一切费用（包含并不限于货物</w:t>
      </w:r>
      <w:r>
        <w:rPr>
          <w:rFonts w:ascii="宋体" w:hAnsi="宋体" w:cs="宋体"/>
          <w:sz w:val="22"/>
        </w:rPr>
        <w:t>的</w:t>
      </w:r>
      <w:r>
        <w:rPr>
          <w:rFonts w:hint="eastAsia" w:ascii="宋体" w:hAnsi="宋体" w:cs="宋体"/>
          <w:sz w:val="22"/>
        </w:rPr>
        <w:t>供货、运输（包括送至招标人指定地点卸车）、包装费、保险费、税费、验收、技术培训及售后服务等）</w:t>
      </w:r>
      <w:r>
        <w:rPr>
          <w:rFonts w:ascii="宋体" w:hAnsi="宋体" w:cs="宋体"/>
          <w:sz w:val="22"/>
        </w:rPr>
        <w:t>，包括</w:t>
      </w:r>
      <w:r>
        <w:rPr>
          <w:rFonts w:hint="eastAsia" w:ascii="宋体" w:hAnsi="宋体" w:cs="宋体"/>
          <w:sz w:val="22"/>
        </w:rPr>
        <w:t>货物供货</w:t>
      </w:r>
      <w:r>
        <w:rPr>
          <w:rFonts w:ascii="宋体" w:hAnsi="宋体" w:cs="宋体"/>
          <w:sz w:val="22"/>
        </w:rPr>
        <w:t>及相关服务等全过程产生的所有成本和费用以及一切税费</w:t>
      </w:r>
      <w:r>
        <w:rPr>
          <w:rFonts w:ascii="宋体" w:hAnsi="宋体" w:cs="Calibri"/>
          <w:sz w:val="22"/>
        </w:rPr>
        <w:t>；</w:t>
      </w:r>
      <w:r>
        <w:rPr>
          <w:rFonts w:ascii="宋体" w:hAnsi="宋体" w:cs="宋体"/>
          <w:bCs/>
          <w:sz w:val="22"/>
        </w:rPr>
        <w:t xml:space="preserve"> </w:t>
      </w:r>
    </w:p>
    <w:p>
      <w:pPr>
        <w:adjustRightInd w:val="0"/>
        <w:snapToGrid w:val="0"/>
        <w:spacing w:line="276" w:lineRule="auto"/>
        <w:ind w:firstLine="440"/>
        <w:rPr>
          <w:rFonts w:ascii="宋体" w:hAnsi="宋体" w:cs="宋体"/>
          <w:sz w:val="22"/>
        </w:rPr>
      </w:pPr>
      <w:r>
        <w:rPr>
          <w:rFonts w:ascii="宋体" w:hAnsi="宋体" w:cs="Calibri"/>
          <w:sz w:val="22"/>
        </w:rPr>
        <w:t>3.3.</w:t>
      </w:r>
      <w:r>
        <w:rPr>
          <w:rFonts w:hint="eastAsia" w:ascii="宋体" w:hAnsi="宋体" w:cs="Calibri"/>
          <w:sz w:val="22"/>
        </w:rPr>
        <w:t>3</w:t>
      </w:r>
      <w:r>
        <w:rPr>
          <w:rFonts w:hint="eastAsia" w:ascii="宋体" w:hAnsi="宋体" w:cs="宋体"/>
          <w:sz w:val="22"/>
        </w:rPr>
        <w:t>投标人应按“投标报价表”的要求报价，在投标报价表上写明拟提供货物的单价和总价；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4</w:t>
      </w:r>
      <w:r>
        <w:rPr>
          <w:rFonts w:hint="eastAsia" w:ascii="宋体" w:hAnsi="宋体" w:cs="宋体"/>
          <w:sz w:val="22"/>
        </w:rPr>
        <w:t>如果投标人认为为圆满完成本项目还有其他需要单独计价的配合工作，则应列明具体的细目和金额。所有与本项目有关的未列入“投标报价表”的工作内容，均被认为已经包含在其他细目及投标总价中。</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5投标人(如中标)在投标文件中提供的货物清单和报价将是签订合同的唯一依据，其报价在本次投标有效期内不能发生改变（</w:t>
      </w:r>
      <w:r>
        <w:rPr>
          <w:rFonts w:hint="eastAsia" w:ascii="宋体" w:hAnsi="宋体" w:cs="宋体"/>
          <w:sz w:val="22"/>
        </w:rPr>
        <w:t>招标人变更除外）</w:t>
      </w:r>
      <w:r>
        <w:rPr>
          <w:rFonts w:hint="eastAsia" w:ascii="宋体" w:hAnsi="宋体" w:cs="Calibri"/>
          <w:sz w:val="22"/>
        </w:rPr>
        <w:t>。如有改变，招标人将拒绝与其签订合同。</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6投标人对每种货物只允许有一个报价。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7招标人不接受任何折扣优惠报价，不接受任何赠送和选择性报价。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8所有根据合同或其它原因应由投标人支付的税款和其它应交纳的费用都要包括在投标人提交的投标价格中。</w:t>
      </w:r>
    </w:p>
    <w:p>
      <w:pPr>
        <w:adjustRightInd w:val="0"/>
        <w:snapToGrid w:val="0"/>
        <w:spacing w:line="276" w:lineRule="auto"/>
        <w:ind w:firstLine="440"/>
        <w:rPr>
          <w:rFonts w:ascii="宋体" w:hAnsi="宋体" w:cs="Calibri"/>
          <w:sz w:val="22"/>
        </w:rPr>
      </w:pPr>
      <w:r>
        <w:rPr>
          <w:rFonts w:hint="eastAsia" w:ascii="宋体" w:hAnsi="宋体" w:cs="Calibri"/>
          <w:sz w:val="22"/>
        </w:rPr>
        <w:t>3.3.9其它须在报价中考虑的因素：</w:t>
      </w:r>
    </w:p>
    <w:p>
      <w:pPr>
        <w:adjustRightInd w:val="0"/>
        <w:snapToGrid w:val="0"/>
        <w:spacing w:line="276" w:lineRule="auto"/>
        <w:ind w:firstLine="440"/>
        <w:rPr>
          <w:rFonts w:ascii="宋体" w:hAnsi="宋体" w:cs="Calibri"/>
          <w:sz w:val="22"/>
        </w:rPr>
      </w:pPr>
      <w:r>
        <w:rPr>
          <w:rFonts w:hint="eastAsia" w:ascii="宋体" w:hAnsi="宋体" w:cs="Calibri"/>
          <w:sz w:val="22"/>
        </w:rPr>
        <w:t>（1）本项目在安装期间，应注意保护好招标人现有成品，如有损坏，须无条件修复至招标人满意，各投标人须自行考虑相关费用并计入投标总价且一次性包干。</w:t>
      </w:r>
    </w:p>
    <w:p>
      <w:pPr>
        <w:adjustRightInd w:val="0"/>
        <w:snapToGrid w:val="0"/>
        <w:spacing w:line="276" w:lineRule="auto"/>
        <w:ind w:firstLine="440"/>
        <w:rPr>
          <w:rFonts w:ascii="宋体" w:hAnsi="宋体" w:cs="Calibri"/>
          <w:sz w:val="22"/>
        </w:rPr>
      </w:pPr>
      <w:r>
        <w:rPr>
          <w:rFonts w:hint="eastAsia" w:ascii="宋体" w:hAnsi="宋体" w:cs="Calibri"/>
          <w:sz w:val="22"/>
        </w:rPr>
        <w:t>（2）交付验收前产品的保护费由投标人自行考虑并计入总价。</w:t>
      </w:r>
    </w:p>
    <w:p>
      <w:pPr>
        <w:adjustRightInd w:val="0"/>
        <w:snapToGrid w:val="0"/>
        <w:spacing w:line="276" w:lineRule="auto"/>
        <w:ind w:firstLine="440"/>
        <w:rPr>
          <w:rFonts w:ascii="宋体" w:hAnsi="宋体" w:cs="Calibri"/>
          <w:sz w:val="22"/>
        </w:rPr>
      </w:pPr>
      <w:r>
        <w:rPr>
          <w:rFonts w:hint="eastAsia" w:ascii="宋体" w:hAnsi="宋体" w:cs="Calibri"/>
          <w:sz w:val="22"/>
        </w:rPr>
        <w:t>（3）投标人安装过程中需自行负责现场人员生命、财产安全，自行解决与现场人员的劳务关系纠纷，可能产生的费用计入投标总价。</w:t>
      </w:r>
    </w:p>
    <w:p>
      <w:pPr>
        <w:adjustRightInd w:val="0"/>
        <w:snapToGrid w:val="0"/>
        <w:spacing w:line="276" w:lineRule="auto"/>
        <w:ind w:firstLine="440"/>
        <w:rPr>
          <w:rFonts w:ascii="宋体" w:hAnsi="宋体" w:cs="Calibri"/>
          <w:sz w:val="22"/>
        </w:rPr>
      </w:pPr>
      <w:r>
        <w:rPr>
          <w:rFonts w:hint="eastAsia" w:ascii="宋体" w:hAnsi="宋体" w:cs="Calibri"/>
          <w:sz w:val="22"/>
        </w:rPr>
        <w:t>3.3.10</w:t>
      </w:r>
      <w:r>
        <w:rPr>
          <w:rFonts w:hint="eastAsia" w:ascii="宋体" w:hAnsi="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b/>
          <w:color w:val="000000"/>
          <w:kern w:val="0"/>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3.4 投标有效期</w:t>
      </w:r>
    </w:p>
    <w:p>
      <w:pPr>
        <w:adjustRightInd w:val="0"/>
        <w:snapToGrid w:val="0"/>
        <w:spacing w:line="276" w:lineRule="auto"/>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276" w:lineRule="auto"/>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3.5 投标保证金</w:t>
      </w:r>
      <w:r>
        <w:rPr>
          <w:rFonts w:hint="eastAsia" w:ascii="宋体" w:hAnsi="宋体" w:cs="Calibri"/>
          <w:b/>
          <w:bCs/>
          <w:kern w:val="0"/>
          <w:sz w:val="22"/>
        </w:rPr>
        <w:t>（如有）</w:t>
      </w:r>
    </w:p>
    <w:p>
      <w:pPr>
        <w:adjustRightInd w:val="0"/>
        <w:snapToGrid w:val="0"/>
        <w:spacing w:line="276" w:lineRule="auto"/>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276" w:lineRule="auto"/>
        <w:ind w:firstLine="440"/>
        <w:rPr>
          <w:rFonts w:ascii="宋体" w:hAnsi="宋体" w:cs="Calibri"/>
          <w:kern w:val="0"/>
          <w:sz w:val="22"/>
        </w:rPr>
      </w:pPr>
      <w:r>
        <w:rPr>
          <w:rFonts w:ascii="宋体" w:hAnsi="宋体" w:cs="Calibri"/>
          <w:kern w:val="0"/>
          <w:sz w:val="22"/>
        </w:rPr>
        <w:t>3.5.2招标人与中标人签订合同书后5日内，应当向未中标的投标人和中标人退还投标保证金。</w:t>
      </w:r>
    </w:p>
    <w:p>
      <w:pPr>
        <w:adjustRightInd w:val="0"/>
        <w:snapToGrid w:val="0"/>
        <w:spacing w:line="276" w:lineRule="auto"/>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276" w:lineRule="auto"/>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276" w:lineRule="auto"/>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276" w:lineRule="auto"/>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3.6 投标文件的编制</w:t>
      </w:r>
    </w:p>
    <w:p>
      <w:pPr>
        <w:adjustRightInd w:val="0"/>
        <w:snapToGrid w:val="0"/>
        <w:spacing w:line="276" w:lineRule="auto"/>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供货期</w:t>
      </w:r>
      <w:r>
        <w:rPr>
          <w:rFonts w:ascii="宋体" w:hAnsi="宋体" w:cs="Calibri"/>
          <w:sz w:val="22"/>
        </w:rPr>
        <w:t>在满足招标文件实质性要求的基础上，可以提出比招标文件要求更有利于招标人的承诺。</w:t>
      </w:r>
    </w:p>
    <w:p>
      <w:pPr>
        <w:adjustRightInd w:val="0"/>
        <w:snapToGrid w:val="0"/>
        <w:spacing w:line="276" w:lineRule="auto"/>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供货期</w:t>
      </w:r>
      <w:r>
        <w:rPr>
          <w:rFonts w:ascii="宋体" w:hAnsi="宋体" w:cs="Calibri"/>
          <w:kern w:val="0"/>
          <w:sz w:val="22"/>
        </w:rPr>
        <w:t>、投标有效期、招标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276" w:lineRule="auto"/>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276" w:lineRule="auto"/>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276" w:lineRule="auto"/>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4.投标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4.1 投标文件的密封和标识</w:t>
      </w:r>
    </w:p>
    <w:p>
      <w:pPr>
        <w:adjustRightInd w:val="0"/>
        <w:snapToGrid w:val="0"/>
        <w:spacing w:line="276" w:lineRule="auto"/>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276" w:lineRule="auto"/>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276" w:lineRule="auto"/>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276" w:lineRule="auto"/>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 xml:space="preserve">4.2 投标文件的递交 </w:t>
      </w:r>
    </w:p>
    <w:p>
      <w:pPr>
        <w:autoSpaceDE w:val="0"/>
        <w:autoSpaceDN w:val="0"/>
        <w:adjustRightInd w:val="0"/>
        <w:snapToGrid w:val="0"/>
        <w:spacing w:line="276" w:lineRule="auto"/>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276" w:lineRule="auto"/>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276" w:lineRule="auto"/>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276" w:lineRule="auto"/>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4.3 投标文件的修改和撤回</w:t>
      </w:r>
    </w:p>
    <w:p>
      <w:pPr>
        <w:adjustRightInd w:val="0"/>
        <w:snapToGrid w:val="0"/>
        <w:spacing w:line="276" w:lineRule="auto"/>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276" w:lineRule="auto"/>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276" w:lineRule="auto"/>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5.开标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5.1 开标时间和地点</w:t>
      </w:r>
    </w:p>
    <w:p>
      <w:pPr>
        <w:adjustRightInd w:val="0"/>
        <w:snapToGrid w:val="0"/>
        <w:spacing w:line="276" w:lineRule="auto"/>
        <w:ind w:firstLine="440"/>
        <w:rPr>
          <w:rFonts w:ascii="宋体" w:hAnsi="宋体" w:cs="Calibri"/>
          <w:sz w:val="22"/>
        </w:rPr>
      </w:pPr>
      <w:r>
        <w:rPr>
          <w:rFonts w:ascii="宋体" w:hAnsi="宋体" w:cs="Calibri"/>
          <w:sz w:val="22"/>
        </w:rPr>
        <w:t>5.1.1</w:t>
      </w:r>
      <w:r>
        <w:rPr>
          <w:rFonts w:hint="eastAsia" w:ascii="宋体" w:hAnsi="宋体" w:cs="Calibri"/>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276" w:lineRule="auto"/>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276" w:lineRule="auto"/>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276" w:lineRule="auto"/>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5.2 开标程序</w:t>
      </w:r>
    </w:p>
    <w:p>
      <w:pPr>
        <w:adjustRightInd w:val="0"/>
        <w:snapToGrid w:val="0"/>
        <w:spacing w:line="276" w:lineRule="auto"/>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276" w:lineRule="auto"/>
        <w:ind w:firstLine="440"/>
        <w:rPr>
          <w:rFonts w:ascii="宋体" w:hAnsi="宋体" w:cs="Calibri"/>
          <w:kern w:val="0"/>
          <w:sz w:val="22"/>
        </w:rPr>
      </w:pPr>
      <w:r>
        <w:rPr>
          <w:rFonts w:ascii="宋体" w:hAnsi="宋体" w:cs="Calibri"/>
          <w:kern w:val="0"/>
          <w:sz w:val="22"/>
        </w:rPr>
        <w:t>（1）宣布开标纪律；</w:t>
      </w:r>
    </w:p>
    <w:p>
      <w:pPr>
        <w:adjustRightInd w:val="0"/>
        <w:snapToGrid w:val="0"/>
        <w:spacing w:line="276" w:lineRule="auto"/>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276" w:lineRule="auto"/>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276" w:lineRule="auto"/>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276" w:lineRule="auto"/>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276" w:lineRule="auto"/>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供货期</w:t>
      </w:r>
      <w:r>
        <w:rPr>
          <w:rFonts w:ascii="宋体" w:hAnsi="宋体" w:cs="Calibri"/>
          <w:sz w:val="22"/>
        </w:rPr>
        <w:t>及其他内容，并记录在案；</w:t>
      </w:r>
    </w:p>
    <w:p>
      <w:pPr>
        <w:adjustRightInd w:val="0"/>
        <w:snapToGrid w:val="0"/>
        <w:spacing w:line="276" w:lineRule="auto"/>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276" w:lineRule="auto"/>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6.评标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6.1 评标委员会</w:t>
      </w:r>
    </w:p>
    <w:p>
      <w:pPr>
        <w:adjustRightInd w:val="0"/>
        <w:snapToGrid w:val="0"/>
        <w:spacing w:line="276" w:lineRule="auto"/>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276" w:lineRule="auto"/>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276" w:lineRule="auto"/>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276" w:lineRule="auto"/>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276" w:lineRule="auto"/>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276" w:lineRule="auto"/>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6.2 评标原则</w:t>
      </w:r>
    </w:p>
    <w:p>
      <w:pPr>
        <w:adjustRightInd w:val="0"/>
        <w:snapToGrid w:val="0"/>
        <w:spacing w:line="276" w:lineRule="auto"/>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6.3 评标</w:t>
      </w:r>
    </w:p>
    <w:p>
      <w:pPr>
        <w:adjustRightInd w:val="0"/>
        <w:snapToGrid w:val="0"/>
        <w:spacing w:line="276" w:lineRule="auto"/>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五</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7.合同授予</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7.1 定标方式</w:t>
      </w:r>
    </w:p>
    <w:p>
      <w:pPr>
        <w:adjustRightInd w:val="0"/>
        <w:snapToGrid w:val="0"/>
        <w:spacing w:line="276" w:lineRule="auto"/>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7.2 中标通知</w:t>
      </w:r>
    </w:p>
    <w:p>
      <w:pPr>
        <w:adjustRightInd w:val="0"/>
        <w:snapToGrid w:val="0"/>
        <w:spacing w:line="276" w:lineRule="auto"/>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7.3 履约</w:t>
      </w:r>
      <w:r>
        <w:rPr>
          <w:rFonts w:hint="eastAsia" w:ascii="宋体" w:hAnsi="宋体" w:cs="Calibri"/>
          <w:b/>
          <w:bCs/>
          <w:kern w:val="0"/>
          <w:sz w:val="22"/>
        </w:rPr>
        <w:t>保证金</w:t>
      </w:r>
    </w:p>
    <w:p>
      <w:pPr>
        <w:adjustRightInd w:val="0"/>
        <w:snapToGrid w:val="0"/>
        <w:spacing w:line="276" w:lineRule="auto"/>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276" w:lineRule="auto"/>
        <w:ind w:firstLine="44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7.4 签订合同</w:t>
      </w:r>
    </w:p>
    <w:p>
      <w:pPr>
        <w:adjustRightInd w:val="0"/>
        <w:snapToGrid w:val="0"/>
        <w:spacing w:line="276" w:lineRule="auto"/>
        <w:ind w:firstLine="440"/>
        <w:rPr>
          <w:rFonts w:ascii="宋体" w:hAnsi="宋体" w:cs="Calibri"/>
          <w:kern w:val="0"/>
          <w:sz w:val="22"/>
        </w:rPr>
      </w:pPr>
      <w:r>
        <w:rPr>
          <w:rFonts w:ascii="宋体" w:hAnsi="宋体" w:cs="Calibri"/>
          <w:sz w:val="22"/>
        </w:rPr>
        <w:t>7</w:t>
      </w:r>
      <w:r>
        <w:rPr>
          <w:rFonts w:ascii="宋体" w:hAnsi="宋体" w:cs="Calibri"/>
          <w:kern w:val="0"/>
          <w:sz w:val="22"/>
        </w:rPr>
        <w:t>.4.1招标人和中标人应当自中标通知书发出之日起30个工作日内订立书面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276" w:lineRule="auto"/>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276" w:lineRule="auto"/>
        <w:ind w:firstLine="440" w:firstLineChars="200"/>
        <w:rPr>
          <w:rFonts w:ascii="宋体" w:hAnsi="宋体" w:cs="Calibri"/>
          <w:b/>
          <w:color w:val="000000"/>
          <w:kern w:val="0"/>
          <w:sz w:val="22"/>
        </w:rPr>
      </w:pPr>
      <w:r>
        <w:rPr>
          <w:rFonts w:hint="eastAsia" w:ascii="宋体" w:hAnsi="宋体" w:cs="Calibri"/>
          <w:color w:val="000000"/>
          <w:kern w:val="0"/>
          <w:sz w:val="22"/>
        </w:rPr>
        <w:t xml:space="preserve">7.4.3 </w:t>
      </w:r>
      <w:r>
        <w:rPr>
          <w:rFonts w:hint="eastAsia" w:ascii="宋体" w:hAnsi="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276" w:lineRule="auto"/>
        <w:ind w:firstLine="440"/>
        <w:rPr>
          <w:rFonts w:ascii="宋体" w:hAnsi="宋体" w:cs="Calibri"/>
          <w:kern w:val="0"/>
          <w:sz w:val="22"/>
        </w:rPr>
      </w:pPr>
      <w:r>
        <w:rPr>
          <w:rFonts w:hint="eastAsia" w:ascii="宋体" w:hAnsi="宋体" w:cs="Calibri"/>
          <w:color w:val="000000"/>
          <w:kern w:val="0"/>
          <w:sz w:val="22"/>
        </w:rPr>
        <w:t xml:space="preserve">7.4.4 </w:t>
      </w:r>
      <w:r>
        <w:rPr>
          <w:rFonts w:hint="eastAsia" w:ascii="宋体" w:hAnsi="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8.重新招标和不再招标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8.1 重新招标</w:t>
      </w:r>
    </w:p>
    <w:p>
      <w:pPr>
        <w:adjustRightInd w:val="0"/>
        <w:snapToGrid w:val="0"/>
        <w:spacing w:line="276" w:lineRule="auto"/>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276" w:lineRule="auto"/>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276" w:lineRule="auto"/>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276" w:lineRule="auto"/>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8.2 不再招标</w:t>
      </w:r>
    </w:p>
    <w:p>
      <w:pPr>
        <w:adjustRightInd w:val="0"/>
        <w:snapToGrid w:val="0"/>
        <w:spacing w:line="276" w:lineRule="auto"/>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9.纪律和监督</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9.1 对招标人的纪律要求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9.2 对投标人的纪律要求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276" w:lineRule="auto"/>
        <w:ind w:firstLine="440"/>
        <w:rPr>
          <w:rFonts w:ascii="宋体" w:hAnsi="宋体" w:cs="Calibri"/>
          <w:b/>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9.3 对评标委员会成员的纪律要求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9.4 对评标活动有关的工作人员的纪律要求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9.5 投诉</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10. 需要补充的其他内容</w:t>
      </w:r>
    </w:p>
    <w:p>
      <w:pPr>
        <w:autoSpaceDE w:val="0"/>
        <w:autoSpaceDN w:val="0"/>
        <w:adjustRightInd w:val="0"/>
        <w:snapToGrid w:val="0"/>
        <w:spacing w:line="276" w:lineRule="auto"/>
        <w:ind w:firstLine="440"/>
        <w:jc w:val="left"/>
        <w:rPr>
          <w:rFonts w:ascii="宋体" w:hAnsi="宋体" w:cs="Calibri"/>
          <w:sz w:val="22"/>
        </w:rPr>
      </w:pPr>
      <w:r>
        <w:rPr>
          <w:rFonts w:ascii="宋体" w:hAnsi="宋体" w:cs="Calibri"/>
          <w:color w:val="000000"/>
          <w:sz w:val="22"/>
        </w:rPr>
        <w:t>需要补充的其他内容：见投标人须知前附表。</w:t>
      </w:r>
      <w:bookmarkEnd w:id="38"/>
      <w:bookmarkEnd w:id="39"/>
    </w:p>
    <w:p>
      <w:pPr>
        <w:autoSpaceDE w:val="0"/>
        <w:autoSpaceDN w:val="0"/>
        <w:adjustRightInd w:val="0"/>
        <w:snapToGrid w:val="0"/>
        <w:spacing w:line="360" w:lineRule="exact"/>
        <w:rPr>
          <w:rFonts w:ascii="宋体" w:hAnsi="宋体"/>
          <w:sz w:val="22"/>
        </w:rPr>
        <w:sectPr>
          <w:pgSz w:w="11906" w:h="16838"/>
          <w:pgMar w:top="1440" w:right="1080" w:bottom="1440" w:left="1080" w:header="851" w:footer="992" w:gutter="0"/>
          <w:cols w:space="425" w:num="1"/>
          <w:docGrid w:type="lines" w:linePitch="312" w:charSpace="0"/>
        </w:sectPr>
      </w:pPr>
    </w:p>
    <w:p>
      <w:pPr>
        <w:pStyle w:val="2"/>
        <w:spacing w:before="0" w:after="0" w:line="360" w:lineRule="auto"/>
        <w:jc w:val="center"/>
        <w:rPr>
          <w:rFonts w:ascii="Calibri" w:hAnsi="Calibri" w:eastAsia="黑体" w:cs="Calibri"/>
          <w:kern w:val="0"/>
          <w:sz w:val="32"/>
        </w:rPr>
      </w:pPr>
      <w:bookmarkStart w:id="40" w:name="_Toc213036227"/>
      <w:bookmarkStart w:id="41" w:name="_Toc223327527"/>
      <w:bookmarkStart w:id="42" w:name="_Toc27483"/>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章</w:t>
      </w:r>
      <w:bookmarkEnd w:id="40"/>
      <w:bookmarkEnd w:id="41"/>
      <w:r>
        <w:rPr>
          <w:rFonts w:hint="eastAsia" w:ascii="Calibri" w:hAnsi="Calibri" w:eastAsia="黑体" w:cs="Calibri"/>
          <w:kern w:val="0"/>
          <w:sz w:val="32"/>
        </w:rPr>
        <w:t xml:space="preserve"> 采购内容、技术标准及要求</w:t>
      </w:r>
      <w:bookmarkEnd w:id="42"/>
    </w:p>
    <w:p>
      <w:pPr>
        <w:widowControl/>
        <w:jc w:val="left"/>
        <w:rPr>
          <w:rFonts w:ascii="宋体" w:hAnsi="宋体" w:cs="Calibri"/>
          <w:b/>
          <w:kern w:val="0"/>
          <w:sz w:val="22"/>
        </w:rPr>
      </w:pPr>
      <w:r>
        <w:rPr>
          <w:rFonts w:hint="eastAsia" w:ascii="宋体" w:hAnsi="宋体" w:cs="Calibri"/>
          <w:b/>
          <w:kern w:val="0"/>
          <w:sz w:val="22"/>
        </w:rPr>
        <w:t>一、采购内容、技术标准</w:t>
      </w:r>
    </w:p>
    <w:p>
      <w:pPr>
        <w:widowControl/>
        <w:ind w:firstLine="441"/>
        <w:jc w:val="left"/>
        <w:rPr>
          <w:rFonts w:ascii="宋体" w:hAnsi="宋体" w:cs="Calibri"/>
          <w:kern w:val="0"/>
          <w:sz w:val="22"/>
        </w:rPr>
      </w:pPr>
      <w:r>
        <w:rPr>
          <w:rFonts w:hint="eastAsia" w:ascii="宋体" w:hAnsi="宋体" w:cs="Calibri"/>
          <w:kern w:val="0"/>
          <w:sz w:val="22"/>
        </w:rPr>
        <w:t>表一：采购清单及要求</w:t>
      </w:r>
    </w:p>
    <w:tbl>
      <w:tblPr>
        <w:tblStyle w:val="14"/>
        <w:tblW w:w="9496" w:type="dxa"/>
        <w:tblInd w:w="0" w:type="dxa"/>
        <w:tblLayout w:type="fixed"/>
        <w:tblCellMar>
          <w:top w:w="0" w:type="dxa"/>
          <w:left w:w="0" w:type="dxa"/>
          <w:bottom w:w="0" w:type="dxa"/>
          <w:right w:w="0" w:type="dxa"/>
        </w:tblCellMar>
      </w:tblPr>
      <w:tblGrid>
        <w:gridCol w:w="274"/>
        <w:gridCol w:w="730"/>
        <w:gridCol w:w="710"/>
        <w:gridCol w:w="5144"/>
        <w:gridCol w:w="863"/>
        <w:gridCol w:w="447"/>
        <w:gridCol w:w="375"/>
        <w:gridCol w:w="953"/>
      </w:tblGrid>
      <w:tr>
        <w:tblPrEx>
          <w:tblLayout w:type="fixed"/>
          <w:tblCellMar>
            <w:top w:w="0" w:type="dxa"/>
            <w:left w:w="0" w:type="dxa"/>
            <w:bottom w:w="0" w:type="dxa"/>
            <w:right w:w="0"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设备名称</w:t>
            </w: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主要配置及要求</w:t>
            </w:r>
          </w:p>
        </w:tc>
        <w:tc>
          <w:tcPr>
            <w:tcW w:w="8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推荐品牌</w:t>
            </w:r>
          </w:p>
        </w:tc>
        <w:tc>
          <w:tcPr>
            <w:tcW w:w="4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w:t>
            </w:r>
          </w:p>
        </w:tc>
        <w:tc>
          <w:tcPr>
            <w:tcW w:w="3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单位</w:t>
            </w:r>
          </w:p>
        </w:tc>
        <w:tc>
          <w:tcPr>
            <w:tcW w:w="9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tblPrEx>
          <w:tblLayout w:type="fixed"/>
          <w:tblCellMar>
            <w:top w:w="0" w:type="dxa"/>
            <w:left w:w="0" w:type="dxa"/>
            <w:bottom w:w="0" w:type="dxa"/>
            <w:right w:w="0" w:type="dxa"/>
          </w:tblCellMar>
        </w:tblPrEx>
        <w:trPr>
          <w:trHeight w:val="90" w:hRule="atLeast"/>
        </w:trPr>
        <w:tc>
          <w:tcPr>
            <w:tcW w:w="27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p>
            <w:pPr>
              <w:widowControl/>
              <w:jc w:val="center"/>
              <w:textAlignment w:val="center"/>
              <w:rPr>
                <w:rFonts w:ascii="宋体" w:hAnsi="宋体" w:cs="宋体"/>
                <w:color w:val="000000"/>
                <w:szCs w:val="21"/>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LED显示大屏</w:t>
            </w:r>
          </w:p>
        </w:tc>
        <w:tc>
          <w:tcPr>
            <w:tcW w:w="7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LED显示模块</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ascii="宋体" w:hAnsi="宋体" w:cs="Calibri"/>
                <w:kern w:val="0"/>
                <w:sz w:val="22"/>
              </w:rPr>
              <w:t>★</w:t>
            </w:r>
            <w:r>
              <w:rPr>
                <w:rFonts w:hint="eastAsia" w:ascii="宋体" w:hAnsi="宋体" w:cs="宋体"/>
                <w:color w:val="000000"/>
                <w:kern w:val="0"/>
                <w:sz w:val="20"/>
                <w:szCs w:val="20"/>
                <w:lang w:bidi="ar"/>
              </w:rPr>
              <w:t>1. LED像素点间距≤1.9mm;灰度等级16bit；</w:t>
            </w:r>
            <w:r>
              <w:rPr>
                <w:rFonts w:hint="eastAsia" w:ascii="宋体" w:hAnsi="宋体" w:cs="宋体"/>
                <w:color w:val="000000"/>
                <w:kern w:val="0"/>
                <w:sz w:val="20"/>
                <w:szCs w:val="20"/>
                <w:lang w:bidi="ar"/>
              </w:rPr>
              <w:br w:type="textWrapping"/>
            </w:r>
            <w:r>
              <w:rPr>
                <w:rFonts w:ascii="宋体" w:hAnsi="宋体" w:cs="Calibri"/>
                <w:kern w:val="0"/>
                <w:sz w:val="22"/>
              </w:rPr>
              <w:t>★</w:t>
            </w:r>
            <w:r>
              <w:rPr>
                <w:rFonts w:hint="eastAsia" w:ascii="宋体" w:hAnsi="宋体" w:cs="宋体"/>
                <w:color w:val="000000"/>
                <w:kern w:val="0"/>
                <w:sz w:val="20"/>
                <w:szCs w:val="20"/>
                <w:lang w:bidi="ar"/>
              </w:rPr>
              <w:t>2. 前维护（LED模块从显示正面拆卸）；</w:t>
            </w:r>
            <w:r>
              <w:rPr>
                <w:rFonts w:hint="eastAsia" w:ascii="宋体" w:hAnsi="宋体" w:cs="宋体"/>
                <w:color w:val="000000"/>
                <w:kern w:val="0"/>
                <w:sz w:val="20"/>
                <w:szCs w:val="20"/>
                <w:lang w:bidi="ar"/>
              </w:rPr>
              <w:br w:type="textWrapping"/>
            </w:r>
            <w:r>
              <w:rPr>
                <w:rFonts w:ascii="宋体" w:hAnsi="宋体" w:cs="Calibri"/>
                <w:kern w:val="0"/>
                <w:sz w:val="22"/>
              </w:rPr>
              <w:t>★</w:t>
            </w:r>
            <w:r>
              <w:rPr>
                <w:rFonts w:hint="eastAsia" w:ascii="宋体" w:hAnsi="宋体" w:cs="宋体"/>
                <w:color w:val="000000"/>
                <w:kern w:val="0"/>
                <w:sz w:val="20"/>
                <w:szCs w:val="20"/>
                <w:lang w:bidi="ar"/>
              </w:rPr>
              <w:t>3. 有效显示面积尺寸不小于8.64㎡，不大于10㎡，长度不小于3.63m，宽度不小于2.38m；投标方也可根据自身产品尺寸进行拼接，但是由于留好空间，设计显示尺寸长和宽均不得偏差超过3MM；</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w:t>
            </w:r>
            <w:r>
              <w:rPr>
                <w:rFonts w:hint="eastAsia" w:ascii="宋体" w:hAnsi="宋体" w:cs="宋体"/>
                <w:color w:val="FF0000"/>
                <w:kern w:val="0"/>
                <w:sz w:val="20"/>
                <w:szCs w:val="20"/>
                <w:lang w:bidi="ar"/>
              </w:rPr>
              <w:t xml:space="preserve"> </w:t>
            </w:r>
            <w:r>
              <w:rPr>
                <w:rFonts w:hint="eastAsia" w:ascii="宋体" w:hAnsi="宋体" w:cs="宋体"/>
                <w:kern w:val="0"/>
                <w:sz w:val="20"/>
                <w:szCs w:val="20"/>
                <w:lang w:bidi="ar"/>
              </w:rPr>
              <w:t>屏幕白平衡亮度≥1800</w:t>
            </w:r>
            <w:r>
              <w:rPr>
                <w:rFonts w:hint="eastAsia" w:ascii="Arial" w:hAnsi="Arial" w:cs="Arial"/>
                <w:kern w:val="0"/>
                <w:sz w:val="20"/>
                <w:szCs w:val="20"/>
                <w:lang w:bidi="ar"/>
              </w:rPr>
              <w:t>cd/㎡</w:t>
            </w:r>
            <w:r>
              <w:rPr>
                <w:rFonts w:hint="eastAsia" w:ascii="宋体" w:hAnsi="宋体" w:cs="宋体"/>
                <w:kern w:val="0"/>
                <w:sz w:val="20"/>
                <w:szCs w:val="20"/>
                <w:lang w:bidi="ar"/>
              </w:rPr>
              <w:t>，发光像素点中心距偏差＜3%；</w:t>
            </w:r>
            <w:r>
              <w:rPr>
                <w:rFonts w:hint="eastAsia" w:ascii="宋体" w:hAnsi="宋体" w:cs="宋体"/>
                <w:color w:val="FF0000"/>
                <w:kern w:val="0"/>
                <w:sz w:val="20"/>
                <w:szCs w:val="20"/>
                <w:lang w:bidi="ar"/>
              </w:rPr>
              <w:br w:type="textWrapping"/>
            </w:r>
            <w:r>
              <w:rPr>
                <w:rFonts w:hint="eastAsia" w:ascii="宋体" w:hAnsi="宋体" w:cs="宋体"/>
                <w:color w:val="000000"/>
                <w:kern w:val="0"/>
                <w:sz w:val="20"/>
                <w:szCs w:val="20"/>
                <w:lang w:bidi="ar"/>
              </w:rPr>
              <w:t>5. 像素密度≥279947点/m²；</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 具有动态节能技术，降低屏体功耗；</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 对比度：≥7000:1；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 采用高端驱动芯片，刷新率不低于3840Hz；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 画面帧频：50/60 Hz；色温3000K－10000K可调；</w:t>
            </w:r>
            <w:r>
              <w:rPr>
                <w:rFonts w:hint="eastAsia" w:ascii="宋体" w:hAnsi="宋体" w:cs="宋体"/>
                <w:color w:val="000000"/>
                <w:kern w:val="0"/>
                <w:sz w:val="20"/>
                <w:szCs w:val="20"/>
                <w:lang w:bidi="ar"/>
              </w:rPr>
              <w:br w:type="textWrapping"/>
            </w:r>
            <w:r>
              <w:rPr>
                <w:rFonts w:hint="eastAsia" w:ascii="宋体" w:hAnsi="宋体" w:cs="Calibri"/>
                <w:kern w:val="0"/>
                <w:sz w:val="22"/>
              </w:rPr>
              <w:t>10</w:t>
            </w:r>
            <w:r>
              <w:rPr>
                <w:rFonts w:hint="eastAsia" w:ascii="宋体" w:hAnsi="宋体" w:cs="宋体"/>
                <w:color w:val="000000"/>
                <w:kern w:val="0"/>
                <w:sz w:val="20"/>
                <w:szCs w:val="20"/>
                <w:lang w:bidi="ar"/>
              </w:rPr>
              <w:t>. 视角：水平视角＞160度，垂直视角＞140度；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 驱动方式：恒流驱动，电源适应性在AC110－240V(50-60HZ)；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 投标产品需具有自检技术,远程监控,自动gamma矫正技术,动态节能、降低功耗,通过高低温工作、存储测试；</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 平均无故障工作时间MTBF≥50，000小时；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 屏体工作噪音﹤1.1m的范围内：噪声≤8dB（A）；</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 支持屏体拼缝亮线、暗线校正；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 防尘等级IP5X,提供产品性能测试报告：投标产品需提供第三方专项防尘IP5X测试报告；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 产品具有LED单点自检，通讯检测，电源检测，温度监控等自检技术；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 投标产品需提供PCB和塑料面板阻燃测试报告、符合盐雾10级检测报告；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 显示屏注册商标必须和产品LOGO相一致,不接受OEM产品；</w:t>
            </w:r>
          </w:p>
        </w:tc>
        <w:tc>
          <w:tcPr>
            <w:tcW w:w="863"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可接受标准化产品品牌为：利亚德、洛普、上海三思同等或以上档次品牌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含安装、调试和培训，需要敷设电缆和通信线。</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安装环境：LED大屏安装一楼屋檐下方，距离室外间距约7米，距地面高度约3米，朝西安装，LED显示会受到太阳西晒影响</w:t>
            </w:r>
            <w:r>
              <w:rPr>
                <w:rFonts w:hint="eastAsia" w:ascii="宋体" w:hAnsi="宋体" w:cs="宋体"/>
                <w:kern w:val="0"/>
                <w:sz w:val="20"/>
                <w:szCs w:val="20"/>
                <w:lang w:bidi="ar"/>
              </w:rPr>
              <w:t>。</w:t>
            </w: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发送卡</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专用发送卡</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接收卡</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专用接收卡</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120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智能配电控制箱</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1.规格10KW；                                                   2.配电柜具备过压、过流、欠压、短路、断路以及漏电保护措施；配电柜内装有漏电保护开关、空气开关、熔断器、延时启动接触器、电源防雷器等，配电柜门上还装有旋钮开关和指示灯等；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3.可通过PLC实现远程开关控制,与显示屏同一品牌；</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48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视频处理器</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1.本显示屏分辨率为：长1920点*高1260点、2419200点像素分辨率； 2.具有分屏显示功能，可自由定义长宽比例；</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控制显示软件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与大屏配套使用，用于控制显示大屏内容；</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LED显示屏框架结构</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优质镀锌方管，显示屏专用铝型材及常规包边；</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3200" w:hRule="atLeast"/>
        </w:trPr>
        <w:tc>
          <w:tcPr>
            <w:tcW w:w="27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w:t>
            </w:r>
          </w:p>
          <w:p>
            <w:pPr>
              <w:widowControl/>
              <w:jc w:val="center"/>
              <w:textAlignment w:val="center"/>
              <w:rPr>
                <w:rFonts w:ascii="宋体" w:hAnsi="宋体" w:cs="宋体"/>
                <w:color w:val="000000"/>
                <w:szCs w:val="21"/>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LCD工业液晶显示屏</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LCD工业液晶显示屏</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ascii="宋体" w:hAnsi="宋体" w:cs="Calibri"/>
                <w:kern w:val="0"/>
                <w:sz w:val="22"/>
              </w:rPr>
              <w:t>★</w:t>
            </w:r>
            <w:r>
              <w:rPr>
                <w:rFonts w:hint="eastAsia" w:ascii="宋体" w:hAnsi="宋体" w:cs="宋体"/>
                <w:color w:val="000000"/>
                <w:kern w:val="0"/>
                <w:sz w:val="20"/>
                <w:szCs w:val="20"/>
                <w:lang w:bidi="ar"/>
              </w:rPr>
              <w:t>1.尺寸≥65英寸，屏幕分辨率≥1920×1080；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2.亮度：650cd/m2且对比度：≥6000:1；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3.支持多种接口：DVI、VGA、HDMI等；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4.水平/垂直视角≥178º；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5.支持横向和纵向方式安装；支持横向、纵向浏览图片和文字显示；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6.菜单语言：支持中文；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7.串口支持：支持RS232远程控制；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8.坏点：达到ISO 13406-2坏点等级Ⅱ；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9.平均无故障时间≥50000小时；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10.通过CCC认证，提供证书复印件；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11.能够通过遥控器从屏幕正面控制屏幕开关、参数设置；          12.外壳颜色：与框架选用色系相协调；                         13.安装方式：支架安装；</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可接受标准化产品品牌为：数源、LG、富士通同等或以上档次品牌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含安装、调试，需要敷设电源线和通信线</w:t>
            </w:r>
          </w:p>
        </w:tc>
      </w:tr>
      <w:tr>
        <w:tblPrEx>
          <w:tblLayout w:type="fixed"/>
          <w:tblCellMar>
            <w:top w:w="0" w:type="dxa"/>
            <w:left w:w="0" w:type="dxa"/>
            <w:bottom w:w="0" w:type="dxa"/>
            <w:right w:w="0" w:type="dxa"/>
          </w:tblCellMar>
        </w:tblPrEx>
        <w:trPr>
          <w:trHeight w:val="892" w:hRule="atLeast"/>
        </w:trPr>
        <w:tc>
          <w:tcPr>
            <w:tcW w:w="274"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LCD工业液晶显示屏支架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0"/>
                <w:numId w:val="2"/>
              </w:numPr>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T3航站楼食堂采用落地支架，定制及常规包边,落地高度不低于1.5m；                               </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2.员工宿舍食堂采用吊装支架，定制，长度1.5m；</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76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瘦客户机</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jc w:val="left"/>
              <w:rPr>
                <w:rFonts w:ascii="宋体" w:hAnsi="宋体" w:cs="宋体"/>
                <w:color w:val="000000"/>
                <w:kern w:val="0"/>
                <w:sz w:val="20"/>
                <w:szCs w:val="20"/>
                <w:lang w:bidi="ar"/>
              </w:rPr>
            </w:pPr>
            <w:r>
              <w:rPr>
                <w:rFonts w:hint="eastAsia" w:ascii="宋体" w:hAnsi="宋体" w:cs="宋体"/>
                <w:color w:val="000000"/>
                <w:kern w:val="0"/>
                <w:sz w:val="20"/>
                <w:szCs w:val="20"/>
                <w:lang w:bidi="ar"/>
              </w:rPr>
              <w:t>1.采用AMD四核2.0GHz处理器及以上的知名品牌机，基于标准配置；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2.内存4GB DDR4 SDRAM及以上，最大支持不低于 8GB；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3.内部存储不小于32G；</w:t>
            </w:r>
          </w:p>
          <w:p>
            <w:pPr>
              <w:jc w:val="left"/>
              <w:rPr>
                <w:rFonts w:ascii="宋体" w:hAnsi="宋体" w:cs="宋体"/>
                <w:color w:val="000000"/>
                <w:kern w:val="0"/>
                <w:sz w:val="20"/>
                <w:szCs w:val="20"/>
                <w:lang w:bidi="ar"/>
              </w:rPr>
            </w:pPr>
            <w:r>
              <w:rPr>
                <w:rFonts w:hint="eastAsia" w:ascii="宋体" w:hAnsi="宋体" w:cs="宋体"/>
                <w:color w:val="000000"/>
                <w:kern w:val="0"/>
                <w:sz w:val="20"/>
                <w:szCs w:val="20"/>
                <w:lang w:bidi="ar"/>
              </w:rPr>
              <w:t>4.Radeon R6E及以上显卡配置</w:t>
            </w:r>
          </w:p>
          <w:p>
            <w:pPr>
              <w:jc w:val="left"/>
              <w:rPr>
                <w:rFonts w:ascii="宋体" w:hAnsi="宋体" w:cs="宋体"/>
                <w:color w:val="000000"/>
                <w:szCs w:val="21"/>
              </w:rPr>
            </w:pPr>
            <w:r>
              <w:rPr>
                <w:rFonts w:hint="eastAsia" w:ascii="宋体" w:hAnsi="宋体" w:cs="宋体"/>
                <w:color w:val="000000"/>
                <w:kern w:val="0"/>
                <w:sz w:val="20"/>
                <w:szCs w:val="20"/>
                <w:lang w:bidi="ar"/>
              </w:rPr>
              <w:t>5.Windows 7商业版及以上操作系统；</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6.前置：2个USB3.0；后置：2个USB2.0；2个DP；1个串口；1个VGA；2个PS/2(键盘和鼠标)；</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可接受标准化产品品牌为：HP、DELL、联想同等或以上档次品牌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与LCD工业液晶屏配套使用</w:t>
            </w:r>
          </w:p>
        </w:tc>
      </w:tr>
      <w:tr>
        <w:tblPrEx>
          <w:tblLayout w:type="fixed"/>
          <w:tblCellMar>
            <w:top w:w="0" w:type="dxa"/>
            <w:left w:w="0" w:type="dxa"/>
            <w:bottom w:w="0" w:type="dxa"/>
            <w:right w:w="0" w:type="dxa"/>
          </w:tblCellMar>
        </w:tblPrEx>
        <w:trPr>
          <w:trHeight w:val="232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电脑</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1.采用英特尔I5四核3.0GHz处理器及以上的知名品牌机，基于标准配置；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2.内存4GB DDR3 SDRAM及以上，最大支持不低于 8GB；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3.500G 7200RPM SATA III硬盘及以上；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4.键盘鼠标、21英寸或更大现实尺寸的宽屏液晶显示器，物理分辨率不低于1920*1080；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5.Windows 10及以上操作系统；</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6.总线插槽：2个及以上PCI插槽，2个DIMM插槽，至少1个VGA、一个HDMI接口；</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1台安装于工会办公室、1台安装于信导部、1台与全彩LED大屏配套使用</w:t>
            </w:r>
          </w:p>
        </w:tc>
      </w:tr>
      <w:tr>
        <w:tblPrEx>
          <w:tblLayout w:type="fixed"/>
          <w:tblCellMar>
            <w:top w:w="0" w:type="dxa"/>
            <w:left w:w="0" w:type="dxa"/>
            <w:bottom w:w="0" w:type="dxa"/>
            <w:right w:w="0" w:type="dxa"/>
          </w:tblCellMar>
        </w:tblPrEx>
        <w:trPr>
          <w:trHeight w:val="444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24电口交换机</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1.10/100/1000 Base-T电口 24个</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2.100/1000 Base-X SFP光口 4个</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3.交换容量 ≥256Gbps</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4.包转发率 ≥42Mps</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5.MAC地址表 支持静态MAC地址</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6.VLAN 支持基于端口的VLAN</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7.支持基于MAC的VLAN</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8.支持基于协议的VLAN</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9.支持VLAN映射</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10.路由协议 支持路由接口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11.支持IPv4路由，RIP等三层动态路由协议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12.支持IPv6静态路由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13.IPv6单播路由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14.管理和维护 支持命令行接口（CLI）配置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15.支持Telnet远程配置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16.支持通过Console口配置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17.支持Ping、Tracert</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18.支持Telnet远程维护</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可接受标准化产品品牌为：华三、华为、思科同等或以上档次品牌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9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光收发器</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1.支持IEEE802.3u及IEEE802.3协议，10Base-TX,100Base-TX及100BaseFX标准；</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2.收发器支持10/100M全/半双工自适应以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3.连接口： 10/100Base-TX:一个UTP RJ45连接口； 10/100Base-FX：一个ST、SC、FC连接口</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可接受的标准化产品品牌为：雷贝、瑞斯康达、烽火等同等或以上档次品牌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9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外框美化装饰</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0"/>
                <w:szCs w:val="20"/>
                <w:lang w:bidi="ar"/>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对外框进行美化装饰，例如机场logo，工会名称等，具体按照用户要求。</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54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辅材</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LED全彩大屏和单色LED大屏的进线电缆线、排线、5V线，磁柱，卡托，等配套设备；其他包括：网络跳线、光纤跳线、插线板、光纤、光纤熔接盒、电源空开等。</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LED全彩大屏的显示模块（最小显示模块单元）</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快</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原单色LED屏拆装</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1号职工食堂一楼大厅原安装的单色LED屏，迁移至食堂二楼（甲方指定地点），需要重新敷设电缆和通信线</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bl>
    <w:p>
      <w:pPr>
        <w:pStyle w:val="5"/>
        <w:spacing w:after="0" w:line="240" w:lineRule="auto"/>
        <w:ind w:left="0" w:leftChars="0"/>
        <w:jc w:val="left"/>
        <w:rPr>
          <w:rFonts w:ascii="宋体" w:hAnsi="宋体" w:cs="Arial"/>
          <w:b/>
          <w:bCs/>
          <w:sz w:val="22"/>
          <w:szCs w:val="22"/>
        </w:rPr>
      </w:pPr>
      <w:r>
        <w:rPr>
          <w:rFonts w:hint="eastAsia" w:ascii="宋体" w:hAnsi="宋体" w:cs="Arial"/>
          <w:b/>
          <w:bCs/>
          <w:sz w:val="22"/>
          <w:szCs w:val="22"/>
        </w:rPr>
        <w:t>注：投标人负责将上述设备进行安装调试，满足招标人的使用需求。</w:t>
      </w:r>
    </w:p>
    <w:p>
      <w:pPr>
        <w:spacing w:line="420" w:lineRule="exact"/>
      </w:pPr>
      <w:r>
        <w:rPr>
          <w:rFonts w:hint="eastAsia"/>
        </w:rPr>
        <w:t>说明：</w:t>
      </w:r>
    </w:p>
    <w:p>
      <w:pPr>
        <w:widowControl/>
        <w:spacing w:line="420" w:lineRule="exact"/>
        <w:ind w:firstLine="440" w:firstLineChars="200"/>
        <w:jc w:val="left"/>
        <w:rPr>
          <w:rFonts w:ascii="宋体" w:hAnsi="宋体" w:cs="Calibri"/>
          <w:kern w:val="0"/>
          <w:sz w:val="22"/>
        </w:rPr>
      </w:pPr>
      <w:r>
        <w:rPr>
          <w:rFonts w:hint="eastAsia" w:ascii="宋体" w:hAnsi="宋体" w:cs="Calibri"/>
          <w:kern w:val="0"/>
          <w:sz w:val="22"/>
        </w:rPr>
        <w:t>1.报价时，投标人必须对表一中参数及相关条款作一一实质性响应，并详细列出响应的具体内容。报价投标人必须响应并承诺项目本招标文件中所附合同主要条款。</w:t>
      </w:r>
    </w:p>
    <w:p>
      <w:pPr>
        <w:widowControl/>
        <w:spacing w:line="420" w:lineRule="exact"/>
        <w:ind w:firstLine="440" w:firstLineChars="200"/>
        <w:jc w:val="left"/>
        <w:rPr>
          <w:rFonts w:ascii="宋体" w:hAnsi="宋体" w:cs="Calibri"/>
          <w:kern w:val="0"/>
          <w:sz w:val="22"/>
        </w:rPr>
      </w:pPr>
      <w:r>
        <w:rPr>
          <w:rFonts w:hint="eastAsia" w:ascii="宋体" w:hAnsi="宋体" w:cs="Calibri"/>
          <w:kern w:val="0"/>
          <w:sz w:val="22"/>
        </w:rPr>
        <w:t>2.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招标人有权拒绝并提交相关监督部门处理。</w:t>
      </w:r>
    </w:p>
    <w:p>
      <w:pPr>
        <w:widowControl/>
        <w:spacing w:line="420" w:lineRule="exact"/>
        <w:ind w:firstLine="440" w:firstLineChars="200"/>
        <w:jc w:val="left"/>
        <w:rPr>
          <w:rFonts w:ascii="宋体" w:hAnsi="宋体" w:cs="Calibri"/>
          <w:kern w:val="0"/>
          <w:sz w:val="22"/>
        </w:rPr>
      </w:pPr>
      <w:r>
        <w:rPr>
          <w:rFonts w:hint="eastAsia" w:ascii="宋体" w:hAnsi="宋体" w:cs="Calibri"/>
          <w:kern w:val="0"/>
          <w:sz w:val="22"/>
        </w:rPr>
        <w:t>3.</w:t>
      </w:r>
      <w:r>
        <w:rPr>
          <w:rFonts w:hint="eastAsia" w:ascii="Arial" w:hAnsi="Arial" w:cs="Arial"/>
          <w:bCs/>
          <w:kern w:val="0"/>
          <w:sz w:val="22"/>
        </w:rPr>
        <w:t>LED大屏显示要求及安装环境：大屏显示功能分为视频图像屏和文字滚动屏两部分，总面积为8.64㎡。视频图像显示屏分辨率为高清1920*1080，画面比例16:9，尺寸为3.63m*2.04m，面积7.4㎡；文字滚动屏分辨率为1920*1080，尺寸为3.63m*0.34m，面积 1.24㎡；环境：LED大屏安装综合服务保障大楼一楼屋檐下方，距离室外间距约7米，距地面高度约3米，朝西安装，LED显示会受到太阳西晒影响，对于大屏的屏幕白平衡亮度要求相对较高。</w:t>
      </w:r>
    </w:p>
    <w:p>
      <w:pPr>
        <w:widowControl/>
        <w:spacing w:line="420" w:lineRule="exact"/>
        <w:ind w:firstLine="440" w:firstLineChars="200"/>
        <w:jc w:val="left"/>
        <w:rPr>
          <w:rFonts w:ascii="Arial" w:hAnsi="Arial" w:cs="Arial"/>
          <w:bCs/>
          <w:kern w:val="0"/>
          <w:sz w:val="22"/>
        </w:rPr>
      </w:pPr>
      <w:r>
        <w:rPr>
          <w:rFonts w:hint="eastAsia" w:ascii="Arial" w:hAnsi="Arial" w:cs="Arial"/>
          <w:bCs/>
          <w:kern w:val="0"/>
          <w:sz w:val="22"/>
        </w:rPr>
        <w:t>4. 综合服务保障大楼1号职工食堂一楼大厅原安装的单色LED屏，品牌型号为奥彩P4，面积大小约为8平方，迁移至食堂二楼（甲方指定地点），同时完成该屏的安装调试工作，投标方需充分考虑LED大屏迁移的安装方案和费用。</w:t>
      </w:r>
      <w:r>
        <w:rPr>
          <w:rFonts w:hint="eastAsia" w:ascii="Arial" w:hAnsi="Arial" w:cs="Arial"/>
          <w:b/>
          <w:kern w:val="0"/>
          <w:sz w:val="22"/>
        </w:rPr>
        <w:t>如果在原LED屏迁移过程中大屏出现损坏，由投标方负责维修</w:t>
      </w:r>
      <w:r>
        <w:rPr>
          <w:rFonts w:hint="eastAsia" w:ascii="Arial" w:hAnsi="Arial" w:cs="Arial"/>
          <w:bCs/>
          <w:kern w:val="0"/>
          <w:sz w:val="22"/>
        </w:rPr>
        <w:t>。</w:t>
      </w:r>
    </w:p>
    <w:p>
      <w:pPr>
        <w:widowControl/>
        <w:spacing w:line="420" w:lineRule="exact"/>
        <w:ind w:firstLine="440" w:firstLineChars="200"/>
        <w:jc w:val="left"/>
        <w:rPr>
          <w:rFonts w:ascii="Arial" w:hAnsi="Arial" w:cs="Arial"/>
          <w:bCs/>
          <w:kern w:val="0"/>
          <w:sz w:val="22"/>
        </w:rPr>
      </w:pPr>
      <w:r>
        <w:rPr>
          <w:rFonts w:hint="eastAsia" w:ascii="Arial" w:hAnsi="Arial" w:cs="Arial"/>
          <w:bCs/>
          <w:kern w:val="0"/>
          <w:sz w:val="22"/>
        </w:rPr>
        <w:t>5.LED全彩大屏和原LED单色大屏的电缆采购和敷设由投标人负责，费用包含在总价中。</w:t>
      </w:r>
    </w:p>
    <w:p>
      <w:pPr>
        <w:widowControl/>
        <w:spacing w:line="420" w:lineRule="exact"/>
        <w:ind w:firstLine="440" w:firstLineChars="200"/>
        <w:jc w:val="left"/>
        <w:rPr>
          <w:rFonts w:ascii="Arial" w:hAnsi="Arial" w:cs="Arial"/>
          <w:bCs/>
          <w:kern w:val="0"/>
          <w:sz w:val="22"/>
        </w:rPr>
      </w:pPr>
      <w:r>
        <w:rPr>
          <w:rFonts w:hint="eastAsia" w:ascii="Arial" w:hAnsi="Arial" w:cs="Arial"/>
          <w:bCs/>
          <w:kern w:val="0"/>
          <w:sz w:val="22"/>
        </w:rPr>
        <w:t>6.投标人负责对上述设备进行安装和调试，满足招标人的使用需求。</w:t>
      </w:r>
    </w:p>
    <w:p>
      <w:pPr>
        <w:widowControl/>
        <w:spacing w:line="420" w:lineRule="exact"/>
        <w:ind w:firstLine="440" w:firstLineChars="200"/>
        <w:jc w:val="left"/>
        <w:rPr>
          <w:rFonts w:ascii="宋体" w:hAnsi="宋体" w:cs="Arial"/>
          <w:b/>
          <w:kern w:val="0"/>
          <w:sz w:val="22"/>
        </w:rPr>
      </w:pPr>
      <w:r>
        <w:rPr>
          <w:rFonts w:hint="eastAsia" w:ascii="Arial" w:hAnsi="Arial" w:cs="Arial"/>
          <w:bCs/>
          <w:kern w:val="0"/>
          <w:sz w:val="22"/>
        </w:rPr>
        <w:t>7.上述设备实现的功能：</w:t>
      </w:r>
      <w:r>
        <w:rPr>
          <w:rFonts w:hint="eastAsia" w:ascii="宋体" w:hAnsi="宋体" w:cs="Arial"/>
          <w:kern w:val="0"/>
          <w:sz w:val="22"/>
        </w:rPr>
        <w:t>T3航站楼和宿舍员工食堂的显示屏以及</w:t>
      </w:r>
      <w:r>
        <w:rPr>
          <w:rFonts w:hint="eastAsia" w:ascii="Arial" w:hAnsi="Arial" w:cs="Arial"/>
          <w:bCs/>
          <w:kern w:val="0"/>
          <w:sz w:val="22"/>
        </w:rPr>
        <w:t>LED全彩显示大屏连接的PC瘦客户机和工会办公室电脑、信导部电脑通过网络组成局域网，工会办公室电脑通过网络可以管控前端的显示大屏，发布宣传视频或图片，设备中需要有屏控软件，大屏显示功能分为视频图像屏和文字滚动屏两部分；原单色LED屏实现原有的功能。</w:t>
      </w:r>
      <w:r>
        <w:rPr>
          <w:rFonts w:hint="eastAsia" w:cs="Arial"/>
          <w:sz w:val="22"/>
        </w:rPr>
        <w:t>若投标人认为实现上述功能必须新增其他设施设备和辅材，投标人可另附页列明；若投标人未列出其他设施设备和辅材的，默认为投标人免费提供。</w:t>
      </w:r>
    </w:p>
    <w:p>
      <w:pPr>
        <w:widowControl/>
        <w:spacing w:line="420" w:lineRule="exact"/>
        <w:jc w:val="left"/>
        <w:rPr>
          <w:rFonts w:ascii="宋体" w:hAnsi="宋体" w:cs="Arial"/>
          <w:b/>
          <w:kern w:val="0"/>
          <w:sz w:val="22"/>
        </w:rPr>
      </w:pPr>
      <w:r>
        <w:rPr>
          <w:rFonts w:hint="eastAsia" w:ascii="宋体" w:hAnsi="宋体" w:cs="Arial"/>
          <w:b/>
          <w:kern w:val="0"/>
          <w:sz w:val="22"/>
        </w:rPr>
        <w:t>二、技术标准</w:t>
      </w:r>
    </w:p>
    <w:p>
      <w:pPr>
        <w:spacing w:line="420" w:lineRule="exact"/>
        <w:ind w:firstLine="221" w:firstLineChars="100"/>
        <w:rPr>
          <w:b/>
          <w:sz w:val="22"/>
        </w:rPr>
      </w:pPr>
      <w:bookmarkStart w:id="43" w:name="_Toc235935832"/>
      <w:bookmarkStart w:id="44" w:name="_Toc231525930"/>
      <w:bookmarkStart w:id="45" w:name="_Toc102303570"/>
      <w:bookmarkStart w:id="46" w:name="_Toc116787113"/>
      <w:bookmarkStart w:id="47" w:name="_Toc238303094"/>
      <w:bookmarkStart w:id="48" w:name="_Toc102199407"/>
      <w:bookmarkStart w:id="49" w:name="_Toc101234990"/>
      <w:bookmarkStart w:id="50" w:name="_Toc117568328"/>
      <w:bookmarkStart w:id="51" w:name="_Toc117568148"/>
      <w:bookmarkStart w:id="52" w:name="_Toc101930247"/>
      <w:bookmarkStart w:id="53" w:name="_Toc101930138"/>
      <w:bookmarkStart w:id="54" w:name="_Toc116788526"/>
      <w:bookmarkStart w:id="55" w:name="_Toc245984379"/>
      <w:bookmarkStart w:id="56" w:name="_Toc116529750"/>
      <w:bookmarkStart w:id="57" w:name="_Toc116788719"/>
      <w:bookmarkStart w:id="58" w:name="_Toc102198654"/>
      <w:bookmarkStart w:id="59" w:name="_Toc116375173"/>
      <w:bookmarkStart w:id="60" w:name="_Toc118514199"/>
      <w:bookmarkStart w:id="61" w:name="_Toc101081878"/>
      <w:bookmarkStart w:id="62" w:name="_Toc128470690"/>
      <w:bookmarkStart w:id="63" w:name="_Toc116529965"/>
      <w:bookmarkStart w:id="64" w:name="_Toc231524238"/>
      <w:r>
        <w:rPr>
          <w:b/>
          <w:sz w:val="22"/>
        </w:rPr>
        <w:t>2.1标准与规范</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snapToGrid w:val="0"/>
        <w:spacing w:line="420" w:lineRule="exact"/>
        <w:ind w:firstLine="440" w:firstLineChars="200"/>
        <w:rPr>
          <w:sz w:val="22"/>
        </w:rPr>
      </w:pPr>
      <w:r>
        <w:rPr>
          <w:rFonts w:hAnsi="宋体"/>
          <w:sz w:val="22"/>
        </w:rPr>
        <w:t>除特别声明，投标人使用的标准和规范必须是最新的国际和国家标准。</w:t>
      </w:r>
    </w:p>
    <w:p>
      <w:pPr>
        <w:pStyle w:val="21"/>
        <w:snapToGrid w:val="0"/>
        <w:spacing w:line="420" w:lineRule="exact"/>
        <w:ind w:hanging="1920"/>
        <w:rPr>
          <w:color w:val="auto"/>
          <w:sz w:val="22"/>
        </w:rPr>
      </w:pPr>
      <w:r>
        <w:rPr>
          <w:rFonts w:hAnsi="宋体"/>
          <w:color w:val="auto"/>
          <w:sz w:val="22"/>
        </w:rPr>
        <w:t>。</w:t>
      </w:r>
      <w:r>
        <w:rPr>
          <w:color w:val="auto"/>
          <w:sz w:val="22"/>
        </w:rPr>
        <w:t xml:space="preserve">   </w:t>
      </w:r>
      <w:r>
        <w:rPr>
          <w:rFonts w:hint="eastAsia"/>
          <w:color w:val="auto"/>
          <w:sz w:val="22"/>
        </w:rPr>
        <w:t xml:space="preserve">                 </w:t>
      </w:r>
      <w:r>
        <w:rPr>
          <w:rFonts w:hAnsi="宋体"/>
          <w:color w:val="auto"/>
          <w:sz w:val="22"/>
        </w:rPr>
        <w:t>本项目建设应遵循的标准和规范包括：</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民用建筑电气设计规范</w:t>
      </w:r>
      <w:r>
        <w:rPr>
          <w:color w:val="auto"/>
          <w:sz w:val="22"/>
        </w:rPr>
        <w:t>JGJ/T16-92</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电气装置安装工程施工及验收规范</w:t>
      </w:r>
      <w:r>
        <w:rPr>
          <w:color w:val="auto"/>
          <w:sz w:val="22"/>
        </w:rPr>
        <w:t>GBJ232-82</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电气装置安装工程电气设备交接实验标准</w:t>
      </w:r>
      <w:r>
        <w:rPr>
          <w:color w:val="auto"/>
          <w:sz w:val="22"/>
        </w:rPr>
        <w:t>GB50150-91</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国际民航公约附件</w:t>
      </w:r>
      <w:r>
        <w:rPr>
          <w:color w:val="auto"/>
          <w:sz w:val="22"/>
        </w:rPr>
        <w:t>14</w:t>
      </w:r>
      <w:r>
        <w:rPr>
          <w:rFonts w:hAnsi="宋体"/>
          <w:color w:val="auto"/>
          <w:sz w:val="22"/>
        </w:rPr>
        <w:t>《机场》的标准和建议措施</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中华人民共和国民用航空行业标准</w:t>
      </w:r>
      <w:r>
        <w:rPr>
          <w:color w:val="auto"/>
          <w:sz w:val="22"/>
        </w:rPr>
        <w:t>—</w:t>
      </w:r>
      <w:r>
        <w:rPr>
          <w:rFonts w:hAnsi="宋体"/>
          <w:color w:val="auto"/>
          <w:sz w:val="22"/>
        </w:rPr>
        <w:t>民用航空运输机场安全保卫设施建设标准</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电气指标标准</w:t>
      </w:r>
      <w:r>
        <w:rPr>
          <w:color w:val="auto"/>
          <w:sz w:val="22"/>
        </w:rPr>
        <w:t>ELA-422ELA-485</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中华人民共和国公共安全行业标准</w:t>
      </w:r>
      <w:r>
        <w:rPr>
          <w:color w:val="auto"/>
          <w:sz w:val="22"/>
        </w:rPr>
        <w:t>GA/T75-94</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商用建筑物布线标准</w:t>
      </w:r>
      <w:r>
        <w:rPr>
          <w:color w:val="auto"/>
          <w:sz w:val="22"/>
        </w:rPr>
        <w:t>EIA/TIA568B</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国际标准</w:t>
      </w:r>
      <w:r>
        <w:rPr>
          <w:color w:val="auto"/>
          <w:sz w:val="22"/>
        </w:rPr>
        <w:t>ISO/IEC11801</w:t>
      </w:r>
      <w:r>
        <w:rPr>
          <w:rFonts w:hAnsi="宋体"/>
          <w:color w:val="auto"/>
          <w:sz w:val="22"/>
        </w:rPr>
        <w:t>：</w:t>
      </w:r>
      <w:r>
        <w:rPr>
          <w:color w:val="auto"/>
          <w:sz w:val="22"/>
        </w:rPr>
        <w:t>2002</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国际标准</w:t>
      </w:r>
      <w:r>
        <w:rPr>
          <w:color w:val="auto"/>
          <w:sz w:val="22"/>
        </w:rPr>
        <w:t>ISO 14165-114</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民用建筑线缆标准</w:t>
      </w:r>
      <w:r>
        <w:rPr>
          <w:color w:val="auto"/>
          <w:sz w:val="22"/>
        </w:rPr>
        <w:t>EIA/TIA586</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民用建筑通信管理标准</w:t>
      </w:r>
      <w:r>
        <w:rPr>
          <w:color w:val="auto"/>
          <w:sz w:val="22"/>
        </w:rPr>
        <w:t>EIA/TIA606</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民用建筑通信接地标准</w:t>
      </w:r>
      <w:r>
        <w:rPr>
          <w:color w:val="auto"/>
          <w:sz w:val="22"/>
        </w:rPr>
        <w:t>EIA/TIA607</w:t>
      </w:r>
    </w:p>
    <w:p>
      <w:pPr>
        <w:pStyle w:val="21"/>
        <w:numPr>
          <w:ilvl w:val="0"/>
          <w:numId w:val="3"/>
        </w:numPr>
        <w:tabs>
          <w:tab w:val="left" w:pos="-1800"/>
        </w:tabs>
        <w:snapToGrid w:val="0"/>
        <w:spacing w:before="96" w:beforeLines="40" w:line="420" w:lineRule="exact"/>
        <w:ind w:left="720"/>
        <w:jc w:val="left"/>
        <w:rPr>
          <w:color w:val="auto"/>
          <w:sz w:val="22"/>
        </w:rPr>
      </w:pPr>
      <w:r>
        <w:rPr>
          <w:color w:val="auto"/>
          <w:sz w:val="22"/>
        </w:rPr>
        <w:t xml:space="preserve">GB/T 50314—2000 </w:t>
      </w:r>
      <w:r>
        <w:rPr>
          <w:rFonts w:hAnsi="宋体"/>
          <w:color w:val="auto"/>
          <w:sz w:val="22"/>
        </w:rPr>
        <w:t>智能建筑设计标准</w:t>
      </w:r>
    </w:p>
    <w:p>
      <w:pPr>
        <w:pStyle w:val="21"/>
        <w:numPr>
          <w:ilvl w:val="0"/>
          <w:numId w:val="3"/>
        </w:numPr>
        <w:tabs>
          <w:tab w:val="left" w:pos="-1800"/>
        </w:tabs>
        <w:snapToGrid w:val="0"/>
        <w:spacing w:before="96" w:beforeLines="40" w:line="420" w:lineRule="exact"/>
        <w:ind w:left="720"/>
        <w:jc w:val="left"/>
        <w:rPr>
          <w:color w:val="auto"/>
          <w:sz w:val="22"/>
        </w:rPr>
      </w:pPr>
      <w:r>
        <w:rPr>
          <w:color w:val="auto"/>
          <w:sz w:val="22"/>
        </w:rPr>
        <w:t xml:space="preserve">GB50339—2003  </w:t>
      </w:r>
      <w:r>
        <w:rPr>
          <w:rFonts w:hAnsi="宋体"/>
          <w:color w:val="auto"/>
          <w:sz w:val="22"/>
        </w:rPr>
        <w:t>智能建筑工程质量验收规范</w:t>
      </w:r>
    </w:p>
    <w:p>
      <w:pPr>
        <w:pStyle w:val="21"/>
        <w:numPr>
          <w:ilvl w:val="0"/>
          <w:numId w:val="3"/>
        </w:numPr>
        <w:tabs>
          <w:tab w:val="left" w:pos="-1800"/>
        </w:tabs>
        <w:snapToGrid w:val="0"/>
        <w:spacing w:before="96" w:beforeLines="40" w:line="420" w:lineRule="exact"/>
        <w:ind w:left="720"/>
        <w:jc w:val="left"/>
        <w:rPr>
          <w:color w:val="auto"/>
          <w:sz w:val="22"/>
        </w:rPr>
      </w:pPr>
      <w:r>
        <w:rPr>
          <w:color w:val="auto"/>
          <w:sz w:val="22"/>
        </w:rPr>
        <w:t xml:space="preserve">GB 50343—2004  </w:t>
      </w:r>
      <w:r>
        <w:rPr>
          <w:rFonts w:hAnsi="宋体"/>
          <w:color w:val="auto"/>
          <w:sz w:val="22"/>
        </w:rPr>
        <w:t>建筑物信息系统防雷技术规范</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电磁学规范：</w:t>
      </w:r>
      <w:r>
        <w:rPr>
          <w:color w:val="auto"/>
          <w:sz w:val="22"/>
        </w:rPr>
        <w:t xml:space="preserve">FCC Class B </w:t>
      </w:r>
      <w:r>
        <w:rPr>
          <w:rFonts w:hAnsi="宋体"/>
          <w:color w:val="auto"/>
          <w:sz w:val="22"/>
        </w:rPr>
        <w:t>或</w:t>
      </w:r>
      <w:r>
        <w:rPr>
          <w:color w:val="auto"/>
          <w:sz w:val="22"/>
        </w:rPr>
        <w:t xml:space="preserve"> CISPR 22 Class B   </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安全规范：</w:t>
      </w:r>
      <w:r>
        <w:rPr>
          <w:color w:val="auto"/>
          <w:sz w:val="22"/>
        </w:rPr>
        <w:t>UL Listed</w:t>
      </w:r>
      <w:r>
        <w:rPr>
          <w:rFonts w:hAnsi="宋体"/>
          <w:color w:val="auto"/>
          <w:sz w:val="22"/>
        </w:rPr>
        <w:t>（美国）</w:t>
      </w:r>
      <w:r>
        <w:rPr>
          <w:color w:val="auto"/>
          <w:sz w:val="22"/>
        </w:rPr>
        <w:t xml:space="preserve"> </w:t>
      </w:r>
      <w:r>
        <w:rPr>
          <w:rFonts w:hAnsi="宋体"/>
          <w:color w:val="auto"/>
          <w:sz w:val="22"/>
        </w:rPr>
        <w:t>或</w:t>
      </w:r>
      <w:r>
        <w:rPr>
          <w:color w:val="auto"/>
          <w:sz w:val="22"/>
        </w:rPr>
        <w:t xml:space="preserve"> EN 60950 </w:t>
      </w:r>
      <w:r>
        <w:rPr>
          <w:rFonts w:hAnsi="宋体"/>
          <w:color w:val="auto"/>
          <w:sz w:val="22"/>
        </w:rPr>
        <w:t>（国际）</w:t>
      </w:r>
    </w:p>
    <w:p>
      <w:pPr>
        <w:spacing w:line="420" w:lineRule="exact"/>
        <w:rPr>
          <w:b/>
          <w:sz w:val="22"/>
        </w:rPr>
      </w:pPr>
      <w:bookmarkStart w:id="65" w:name="_Toc101081879"/>
      <w:bookmarkStart w:id="66" w:name="_Toc231525931"/>
      <w:bookmarkStart w:id="67" w:name="_Toc116375174"/>
      <w:bookmarkStart w:id="68" w:name="_Toc102198655"/>
      <w:bookmarkStart w:id="69" w:name="_Toc116788720"/>
      <w:bookmarkStart w:id="70" w:name="_Toc116788527"/>
      <w:bookmarkStart w:id="71" w:name="_Toc101234991"/>
      <w:bookmarkStart w:id="72" w:name="_Toc116787114"/>
      <w:bookmarkStart w:id="73" w:name="_Toc231524239"/>
      <w:bookmarkStart w:id="74" w:name="_Toc238303095"/>
      <w:bookmarkStart w:id="75" w:name="_Toc117568329"/>
      <w:bookmarkStart w:id="76" w:name="_Toc128470691"/>
      <w:bookmarkStart w:id="77" w:name="_Toc117568149"/>
      <w:bookmarkStart w:id="78" w:name="_Toc101930139"/>
      <w:bookmarkStart w:id="79" w:name="_Toc235935833"/>
      <w:bookmarkStart w:id="80" w:name="_Toc102199408"/>
      <w:bookmarkStart w:id="81" w:name="_Toc101930248"/>
      <w:bookmarkStart w:id="82" w:name="_Toc116529751"/>
      <w:bookmarkStart w:id="83" w:name="_Toc118514200"/>
      <w:bookmarkStart w:id="84" w:name="_Toc245984380"/>
      <w:bookmarkStart w:id="85" w:name="_Toc116529966"/>
      <w:bookmarkStart w:id="86" w:name="_Toc102303571"/>
      <w:r>
        <w:rPr>
          <w:rFonts w:hint="eastAsia"/>
          <w:b/>
          <w:sz w:val="22"/>
        </w:rPr>
        <w:t>2.2</w:t>
      </w:r>
      <w:r>
        <w:rPr>
          <w:b/>
          <w:sz w:val="22"/>
        </w:rPr>
        <w:t>计量单位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b/>
          <w:sz w:val="22"/>
        </w:rPr>
        <w:t xml:space="preserve"> </w:t>
      </w:r>
    </w:p>
    <w:p>
      <w:pPr>
        <w:snapToGrid w:val="0"/>
        <w:spacing w:line="420" w:lineRule="exact"/>
        <w:ind w:firstLine="440" w:firstLineChars="200"/>
        <w:rPr>
          <w:b/>
          <w:sz w:val="22"/>
        </w:rPr>
      </w:pPr>
      <w:r>
        <w:rPr>
          <w:rFonts w:hAnsi="宋体"/>
          <w:sz w:val="22"/>
        </w:rPr>
        <w:t>除本技术规范另有规定，以中华人民共和国法定计量单位作为计量单位，不在法定计量单位范围内的，将使用国际计量单位和国家选定的其它计量单位。</w:t>
      </w:r>
      <w:bookmarkStart w:id="87" w:name="_Toc238303096"/>
      <w:bookmarkStart w:id="88" w:name="_Toc231525932"/>
      <w:bookmarkStart w:id="89" w:name="_Toc235935834"/>
      <w:bookmarkStart w:id="90" w:name="_Toc231524240"/>
      <w:bookmarkStart w:id="91" w:name="_Toc224714092"/>
      <w:bookmarkStart w:id="92" w:name="_Toc245984381"/>
    </w:p>
    <w:p>
      <w:pPr>
        <w:numPr>
          <w:ilvl w:val="1"/>
          <w:numId w:val="4"/>
        </w:numPr>
        <w:spacing w:line="420" w:lineRule="exact"/>
        <w:ind w:hanging="495"/>
        <w:rPr>
          <w:rFonts w:ascii="Times New Roman" w:hAnsi="宋体"/>
          <w:b/>
          <w:kern w:val="0"/>
          <w:sz w:val="22"/>
        </w:rPr>
      </w:pPr>
      <w:r>
        <w:rPr>
          <w:rFonts w:ascii="Times New Roman" w:hAnsi="宋体"/>
          <w:b/>
          <w:kern w:val="0"/>
          <w:sz w:val="22"/>
        </w:rPr>
        <w:t>接地要求</w:t>
      </w:r>
      <w:bookmarkEnd w:id="87"/>
      <w:bookmarkEnd w:id="88"/>
      <w:bookmarkEnd w:id="89"/>
      <w:bookmarkEnd w:id="90"/>
      <w:bookmarkEnd w:id="91"/>
      <w:bookmarkEnd w:id="92"/>
      <w:bookmarkStart w:id="93" w:name="_Toc231524241"/>
    </w:p>
    <w:p>
      <w:pPr>
        <w:spacing w:line="420" w:lineRule="exact"/>
        <w:ind w:left="495"/>
        <w:rPr>
          <w:rFonts w:hAnsi="宋体"/>
          <w:sz w:val="22"/>
        </w:rPr>
      </w:pPr>
      <w:r>
        <w:rPr>
          <w:rFonts w:hint="eastAsia" w:ascii="Times New Roman" w:hAnsi="宋体"/>
          <w:b/>
          <w:kern w:val="0"/>
          <w:sz w:val="22"/>
        </w:rPr>
        <w:t>2.3.1</w:t>
      </w:r>
      <w:r>
        <w:rPr>
          <w:rFonts w:hAnsi="宋体"/>
          <w:sz w:val="22"/>
        </w:rPr>
        <w:t>投标人须保证所提供的设备能可靠接地。</w:t>
      </w:r>
      <w:bookmarkEnd w:id="93"/>
      <w:bookmarkStart w:id="94" w:name="_Toc231524242"/>
    </w:p>
    <w:p>
      <w:pPr>
        <w:spacing w:line="420" w:lineRule="exact"/>
        <w:ind w:left="495"/>
        <w:rPr>
          <w:rFonts w:hAnsi="宋体"/>
          <w:sz w:val="22"/>
        </w:rPr>
      </w:pPr>
      <w:r>
        <w:rPr>
          <w:rFonts w:hint="eastAsia" w:ascii="Times New Roman" w:hAnsi="宋体"/>
          <w:b/>
          <w:kern w:val="0"/>
          <w:sz w:val="22"/>
        </w:rPr>
        <w:t>2.3.2</w:t>
      </w:r>
      <w:r>
        <w:rPr>
          <w:rFonts w:hAnsi="宋体"/>
          <w:sz w:val="22"/>
        </w:rPr>
        <w:t>所有设备接地要求符合TIA/EIA-607标准。</w:t>
      </w:r>
      <w:bookmarkEnd w:id="94"/>
      <w:bookmarkStart w:id="95" w:name="_Toc231524243"/>
    </w:p>
    <w:p>
      <w:pPr>
        <w:spacing w:line="420" w:lineRule="exact"/>
        <w:ind w:left="495"/>
        <w:rPr>
          <w:rFonts w:ascii="Times New Roman" w:hAnsi="宋体"/>
          <w:kern w:val="0"/>
          <w:sz w:val="22"/>
        </w:rPr>
      </w:pPr>
      <w:r>
        <w:rPr>
          <w:rFonts w:hint="eastAsia" w:ascii="Times New Roman" w:hAnsi="宋体"/>
          <w:b/>
          <w:kern w:val="0"/>
          <w:sz w:val="22"/>
        </w:rPr>
        <w:t>2.3.3</w:t>
      </w:r>
      <w:r>
        <w:rPr>
          <w:rFonts w:hAnsi="宋体"/>
          <w:sz w:val="22"/>
        </w:rPr>
        <w:t>接地电阻不得大于1Ω。</w:t>
      </w:r>
      <w:bookmarkEnd w:id="95"/>
    </w:p>
    <w:p>
      <w:pPr>
        <w:spacing w:line="420" w:lineRule="exact"/>
        <w:rPr>
          <w:b/>
          <w:sz w:val="22"/>
        </w:rPr>
      </w:pPr>
      <w:bookmarkStart w:id="96" w:name="_Toc245984382"/>
      <w:bookmarkStart w:id="97" w:name="_Toc235935835"/>
      <w:bookmarkStart w:id="98" w:name="_Toc231524244"/>
      <w:bookmarkStart w:id="99" w:name="_Toc238303097"/>
      <w:bookmarkStart w:id="100" w:name="_Toc231525933"/>
      <w:bookmarkStart w:id="101" w:name="_Toc224714093"/>
      <w:r>
        <w:rPr>
          <w:sz w:val="22"/>
        </w:rPr>
        <w:t>2.4</w:t>
      </w:r>
      <w:r>
        <w:rPr>
          <w:b/>
          <w:sz w:val="22"/>
        </w:rPr>
        <w:t>现场条件</w:t>
      </w:r>
      <w:bookmarkEnd w:id="96"/>
      <w:bookmarkEnd w:id="97"/>
      <w:bookmarkEnd w:id="98"/>
      <w:bookmarkEnd w:id="99"/>
      <w:bookmarkEnd w:id="100"/>
      <w:bookmarkEnd w:id="101"/>
    </w:p>
    <w:p>
      <w:pPr>
        <w:pStyle w:val="22"/>
        <w:spacing w:line="420" w:lineRule="exact"/>
        <w:ind w:firstLine="440"/>
        <w:rPr>
          <w:rFonts w:ascii="Times New Roman" w:hAnsi="宋体"/>
          <w:sz w:val="22"/>
          <w:szCs w:val="22"/>
        </w:rPr>
      </w:pPr>
      <w:r>
        <w:rPr>
          <w:rFonts w:ascii="Times New Roman" w:hAnsi="宋体"/>
          <w:sz w:val="22"/>
          <w:szCs w:val="22"/>
        </w:rPr>
        <w:t>投标人所提供的设备设施及建议的设备设施必须能够在以下现场条件中正常运行。</w:t>
      </w:r>
      <w:bookmarkStart w:id="102" w:name="_Toc231524245"/>
    </w:p>
    <w:p>
      <w:pPr>
        <w:pStyle w:val="22"/>
        <w:spacing w:line="420" w:lineRule="exact"/>
        <w:ind w:firstLine="440"/>
        <w:rPr>
          <w:rFonts w:ascii="Times New Roman" w:hAnsi="Times New Roman"/>
          <w:sz w:val="22"/>
          <w:szCs w:val="22"/>
        </w:rPr>
      </w:pPr>
      <w:r>
        <w:rPr>
          <w:rFonts w:hint="eastAsia" w:ascii="Times New Roman" w:hAnsi="宋体"/>
          <w:sz w:val="22"/>
          <w:szCs w:val="22"/>
        </w:rPr>
        <w:t>2.4.1</w:t>
      </w:r>
      <w:r>
        <w:rPr>
          <w:rFonts w:hAnsi="宋体"/>
          <w:b/>
          <w:sz w:val="22"/>
          <w:szCs w:val="22"/>
        </w:rPr>
        <w:t>地理位置、气候条件</w:t>
      </w:r>
      <w:bookmarkEnd w:id="102"/>
    </w:p>
    <w:p>
      <w:pPr>
        <w:pStyle w:val="22"/>
        <w:numPr>
          <w:ilvl w:val="0"/>
          <w:numId w:val="5"/>
        </w:numPr>
        <w:spacing w:line="420" w:lineRule="exact"/>
        <w:ind w:left="0" w:firstLine="440"/>
        <w:rPr>
          <w:rFonts w:ascii="Times New Roman" w:hAnsi="Times New Roman"/>
          <w:sz w:val="22"/>
          <w:szCs w:val="22"/>
        </w:rPr>
      </w:pPr>
      <w:r>
        <w:rPr>
          <w:rFonts w:hint="eastAsia" w:ascii="Times New Roman" w:hAnsi="Times New Roman"/>
          <w:sz w:val="22"/>
          <w:szCs w:val="22"/>
        </w:rPr>
        <w:t>杭州萧山国际机场</w:t>
      </w:r>
      <w:r>
        <w:rPr>
          <w:rFonts w:ascii="Times New Roman" w:hAnsi="宋体"/>
          <w:sz w:val="22"/>
          <w:szCs w:val="22"/>
        </w:rPr>
        <w:t>地处亚热带，为海洋型气候，温和湿润，海拔高度</w:t>
      </w:r>
      <w:r>
        <w:rPr>
          <w:rFonts w:ascii="Times New Roman" w:hAnsi="Times New Roman"/>
          <w:sz w:val="22"/>
          <w:szCs w:val="22"/>
        </w:rPr>
        <w:t>≤200m</w:t>
      </w:r>
    </w:p>
    <w:p>
      <w:pPr>
        <w:pStyle w:val="22"/>
        <w:numPr>
          <w:ilvl w:val="0"/>
          <w:numId w:val="5"/>
        </w:numPr>
        <w:spacing w:line="420" w:lineRule="exact"/>
        <w:ind w:left="0" w:firstLine="440"/>
        <w:rPr>
          <w:rFonts w:ascii="Times New Roman" w:hAnsi="Times New Roman"/>
          <w:sz w:val="22"/>
          <w:szCs w:val="22"/>
        </w:rPr>
      </w:pPr>
      <w:r>
        <w:rPr>
          <w:rFonts w:ascii="Times New Roman" w:hAnsi="宋体"/>
          <w:sz w:val="22"/>
          <w:szCs w:val="22"/>
        </w:rPr>
        <w:t>腐蚀性：近海</w:t>
      </w:r>
      <w:r>
        <w:rPr>
          <w:rFonts w:ascii="Times New Roman" w:hAnsi="Times New Roman"/>
          <w:sz w:val="22"/>
          <w:szCs w:val="22"/>
        </w:rPr>
        <w:t>20000</w:t>
      </w:r>
      <w:r>
        <w:rPr>
          <w:rFonts w:ascii="Times New Roman" w:hAnsi="宋体"/>
          <w:sz w:val="22"/>
          <w:szCs w:val="22"/>
        </w:rPr>
        <w:t>米，有轻度盐雾</w:t>
      </w:r>
    </w:p>
    <w:p>
      <w:pPr>
        <w:pStyle w:val="22"/>
        <w:numPr>
          <w:ilvl w:val="0"/>
          <w:numId w:val="5"/>
        </w:numPr>
        <w:spacing w:line="420" w:lineRule="exact"/>
        <w:ind w:left="0" w:firstLine="440"/>
        <w:rPr>
          <w:rFonts w:ascii="Times New Roman" w:hAnsi="Times New Roman"/>
          <w:sz w:val="22"/>
          <w:szCs w:val="22"/>
        </w:rPr>
      </w:pPr>
      <w:r>
        <w:rPr>
          <w:rFonts w:ascii="Times New Roman" w:hAnsi="宋体"/>
          <w:sz w:val="22"/>
          <w:szCs w:val="22"/>
        </w:rPr>
        <w:t>室内温度：</w:t>
      </w:r>
      <w:r>
        <w:rPr>
          <w:rFonts w:ascii="Times New Roman" w:hAnsi="Times New Roman"/>
          <w:sz w:val="22"/>
          <w:szCs w:val="22"/>
        </w:rPr>
        <w:t>0</w:t>
      </w:r>
      <w:r>
        <w:rPr>
          <w:rFonts w:ascii="宋体" w:hAnsi="宋体"/>
          <w:sz w:val="22"/>
          <w:szCs w:val="22"/>
        </w:rPr>
        <w:t>℃</w:t>
      </w:r>
      <w:r>
        <w:rPr>
          <w:rFonts w:ascii="Times New Roman" w:hAnsi="宋体"/>
          <w:sz w:val="22"/>
          <w:szCs w:val="22"/>
        </w:rPr>
        <w:t>～</w:t>
      </w:r>
      <w:r>
        <w:rPr>
          <w:rFonts w:ascii="Times New Roman" w:hAnsi="Times New Roman"/>
          <w:sz w:val="22"/>
          <w:szCs w:val="22"/>
        </w:rPr>
        <w:t>40</w:t>
      </w:r>
      <w:r>
        <w:rPr>
          <w:rFonts w:ascii="宋体" w:hAnsi="宋体"/>
          <w:sz w:val="22"/>
          <w:szCs w:val="22"/>
        </w:rPr>
        <w:t>℃</w:t>
      </w:r>
      <w:r>
        <w:rPr>
          <w:rFonts w:ascii="Times New Roman" w:hAnsi="宋体"/>
          <w:sz w:val="22"/>
          <w:szCs w:val="22"/>
        </w:rPr>
        <w:t>。</w:t>
      </w:r>
    </w:p>
    <w:p>
      <w:pPr>
        <w:pStyle w:val="22"/>
        <w:numPr>
          <w:ilvl w:val="0"/>
          <w:numId w:val="5"/>
        </w:numPr>
        <w:tabs>
          <w:tab w:val="left" w:pos="1440"/>
        </w:tabs>
        <w:spacing w:line="420" w:lineRule="exact"/>
        <w:ind w:left="0" w:firstLine="440"/>
        <w:rPr>
          <w:rFonts w:ascii="Times New Roman" w:hAnsi="Times New Roman"/>
          <w:sz w:val="22"/>
          <w:szCs w:val="22"/>
        </w:rPr>
      </w:pPr>
      <w:r>
        <w:rPr>
          <w:rFonts w:ascii="Times New Roman" w:hAnsi="宋体"/>
          <w:sz w:val="22"/>
          <w:szCs w:val="22"/>
        </w:rPr>
        <w:t>室内最大相对湿度：日平均不大于</w:t>
      </w:r>
      <w:r>
        <w:rPr>
          <w:rFonts w:ascii="Times New Roman" w:hAnsi="Times New Roman"/>
          <w:sz w:val="22"/>
          <w:szCs w:val="22"/>
        </w:rPr>
        <w:t>95</w:t>
      </w:r>
      <w:r>
        <w:rPr>
          <w:rFonts w:ascii="Times New Roman" w:hAnsi="宋体"/>
          <w:sz w:val="22"/>
          <w:szCs w:val="22"/>
        </w:rPr>
        <w:t>％（</w:t>
      </w:r>
      <w:r>
        <w:rPr>
          <w:rFonts w:ascii="Times New Roman" w:hAnsi="Times New Roman"/>
          <w:sz w:val="22"/>
          <w:szCs w:val="22"/>
        </w:rPr>
        <w:t>25</w:t>
      </w:r>
      <w:r>
        <w:rPr>
          <w:rFonts w:ascii="宋体" w:hAnsi="宋体"/>
          <w:sz w:val="22"/>
          <w:szCs w:val="22"/>
        </w:rPr>
        <w:t>℃</w:t>
      </w:r>
      <w:r>
        <w:rPr>
          <w:rFonts w:ascii="Times New Roman" w:hAnsi="宋体"/>
          <w:sz w:val="22"/>
          <w:szCs w:val="22"/>
        </w:rPr>
        <w:t>时），月平均不大于</w:t>
      </w:r>
      <w:r>
        <w:rPr>
          <w:rFonts w:ascii="Times New Roman" w:hAnsi="Times New Roman"/>
          <w:sz w:val="22"/>
          <w:szCs w:val="22"/>
        </w:rPr>
        <w:t>90</w:t>
      </w:r>
      <w:r>
        <w:rPr>
          <w:rFonts w:ascii="Times New Roman" w:hAnsi="宋体"/>
          <w:sz w:val="22"/>
          <w:szCs w:val="22"/>
        </w:rPr>
        <w:t>％（</w:t>
      </w:r>
      <w:r>
        <w:rPr>
          <w:rFonts w:ascii="Times New Roman" w:hAnsi="Times New Roman"/>
          <w:sz w:val="22"/>
          <w:szCs w:val="22"/>
        </w:rPr>
        <w:t>25</w:t>
      </w:r>
      <w:r>
        <w:rPr>
          <w:rFonts w:ascii="宋体" w:hAnsi="宋体"/>
          <w:sz w:val="22"/>
          <w:szCs w:val="22"/>
        </w:rPr>
        <w:t>℃</w:t>
      </w:r>
      <w:r>
        <w:rPr>
          <w:rFonts w:ascii="Times New Roman" w:hAnsi="宋体"/>
          <w:sz w:val="22"/>
          <w:szCs w:val="22"/>
        </w:rPr>
        <w:t>时）。</w:t>
      </w:r>
      <w:bookmarkStart w:id="103" w:name="_Toc231524246"/>
    </w:p>
    <w:p>
      <w:pPr>
        <w:pStyle w:val="22"/>
        <w:tabs>
          <w:tab w:val="left" w:pos="900"/>
          <w:tab w:val="left" w:pos="1440"/>
        </w:tabs>
        <w:spacing w:line="420" w:lineRule="exact"/>
        <w:ind w:firstLine="0" w:firstLineChars="0"/>
        <w:rPr>
          <w:rFonts w:ascii="Times New Roman" w:hAnsi="Times New Roman"/>
          <w:sz w:val="22"/>
          <w:szCs w:val="22"/>
        </w:rPr>
      </w:pPr>
      <w:r>
        <w:rPr>
          <w:rFonts w:hint="eastAsia" w:ascii="Times New Roman" w:hAnsi="宋体"/>
          <w:sz w:val="22"/>
          <w:szCs w:val="22"/>
        </w:rPr>
        <w:t>2.5</w:t>
      </w:r>
      <w:r>
        <w:rPr>
          <w:rFonts w:hAnsi="宋体"/>
          <w:b/>
          <w:sz w:val="22"/>
          <w:szCs w:val="22"/>
        </w:rPr>
        <w:t>电力供应</w:t>
      </w:r>
      <w:bookmarkEnd w:id="103"/>
    </w:p>
    <w:p>
      <w:pPr>
        <w:pStyle w:val="22"/>
        <w:spacing w:line="420" w:lineRule="exact"/>
        <w:ind w:firstLine="440"/>
        <w:rPr>
          <w:rFonts w:ascii="Times New Roman" w:hAnsi="Times New Roman"/>
          <w:sz w:val="22"/>
          <w:szCs w:val="22"/>
        </w:rPr>
      </w:pPr>
      <w:r>
        <w:rPr>
          <w:rFonts w:ascii="Times New Roman" w:hAnsi="宋体"/>
          <w:sz w:val="22"/>
          <w:szCs w:val="22"/>
        </w:rPr>
        <w:t>额定电压：</w:t>
      </w:r>
      <w:r>
        <w:rPr>
          <w:rFonts w:ascii="Times New Roman" w:hAnsi="Times New Roman"/>
          <w:sz w:val="22"/>
          <w:szCs w:val="22"/>
        </w:rPr>
        <w:t xml:space="preserve">  AC 380V</w:t>
      </w:r>
      <w:r>
        <w:rPr>
          <w:rFonts w:ascii="Times New Roman" w:hAnsi="宋体"/>
          <w:sz w:val="22"/>
          <w:szCs w:val="22"/>
        </w:rPr>
        <w:t>或</w:t>
      </w:r>
      <w:r>
        <w:rPr>
          <w:rFonts w:ascii="Times New Roman" w:hAnsi="Times New Roman"/>
          <w:sz w:val="22"/>
          <w:szCs w:val="22"/>
        </w:rPr>
        <w:t>220V  TN-S</w:t>
      </w:r>
      <w:r>
        <w:rPr>
          <w:rFonts w:ascii="Times New Roman" w:hAnsi="宋体"/>
          <w:sz w:val="22"/>
          <w:szCs w:val="22"/>
        </w:rPr>
        <w:t>系统</w:t>
      </w:r>
      <w:r>
        <w:rPr>
          <w:rFonts w:ascii="Times New Roman" w:hAnsi="Times New Roman"/>
          <w:sz w:val="22"/>
          <w:szCs w:val="22"/>
        </w:rPr>
        <w:t xml:space="preserve">  </w:t>
      </w:r>
    </w:p>
    <w:p>
      <w:pPr>
        <w:pStyle w:val="22"/>
        <w:spacing w:line="420" w:lineRule="exact"/>
        <w:ind w:firstLine="440"/>
        <w:rPr>
          <w:rFonts w:ascii="Times New Roman" w:hAnsi="Times New Roman"/>
          <w:sz w:val="22"/>
          <w:szCs w:val="22"/>
        </w:rPr>
      </w:pPr>
      <w:r>
        <w:rPr>
          <w:rFonts w:ascii="Times New Roman" w:hAnsi="宋体"/>
          <w:sz w:val="22"/>
          <w:szCs w:val="22"/>
        </w:rPr>
        <w:t>额定频率：</w:t>
      </w:r>
      <w:r>
        <w:rPr>
          <w:rFonts w:ascii="Times New Roman" w:hAnsi="Times New Roman"/>
          <w:sz w:val="22"/>
          <w:szCs w:val="22"/>
        </w:rPr>
        <w:tab/>
      </w:r>
      <w:r>
        <w:rPr>
          <w:rFonts w:ascii="Times New Roman" w:hAnsi="Times New Roman"/>
          <w:sz w:val="22"/>
          <w:szCs w:val="22"/>
        </w:rPr>
        <w:t>50HZ  ±2%</w:t>
      </w:r>
    </w:p>
    <w:p>
      <w:pPr>
        <w:pStyle w:val="22"/>
        <w:spacing w:line="420" w:lineRule="exact"/>
        <w:ind w:firstLine="440"/>
        <w:rPr>
          <w:rFonts w:ascii="Times New Roman" w:hAnsi="Times New Roman"/>
          <w:sz w:val="22"/>
          <w:szCs w:val="22"/>
        </w:rPr>
      </w:pPr>
      <w:r>
        <w:rPr>
          <w:rFonts w:ascii="Times New Roman" w:hAnsi="宋体"/>
          <w:sz w:val="22"/>
          <w:szCs w:val="22"/>
        </w:rPr>
        <w:t>电压波动：</w:t>
      </w:r>
      <w:r>
        <w:rPr>
          <w:rFonts w:ascii="Times New Roman" w:hAnsi="Times New Roman"/>
          <w:sz w:val="22"/>
          <w:szCs w:val="22"/>
        </w:rPr>
        <w:tab/>
      </w:r>
      <w:r>
        <w:rPr>
          <w:rFonts w:ascii="Times New Roman" w:hAnsi="Times New Roman"/>
          <w:sz w:val="22"/>
          <w:szCs w:val="22"/>
        </w:rPr>
        <w:t>±10%</w:t>
      </w:r>
    </w:p>
    <w:p>
      <w:pPr>
        <w:pStyle w:val="22"/>
        <w:spacing w:line="420" w:lineRule="exact"/>
        <w:ind w:firstLine="440"/>
        <w:rPr>
          <w:rFonts w:ascii="Times New Roman" w:hAnsi="Times New Roman"/>
          <w:sz w:val="22"/>
          <w:szCs w:val="22"/>
        </w:rPr>
      </w:pPr>
      <w:r>
        <w:rPr>
          <w:rFonts w:ascii="Times New Roman" w:hAnsi="宋体"/>
          <w:sz w:val="22"/>
          <w:szCs w:val="22"/>
        </w:rPr>
        <w:t>接地电阻：</w:t>
      </w:r>
      <w:r>
        <w:rPr>
          <w:rFonts w:ascii="Times New Roman" w:hAnsi="Times New Roman"/>
          <w:sz w:val="22"/>
          <w:szCs w:val="22"/>
        </w:rPr>
        <w:tab/>
      </w:r>
      <w:r>
        <w:rPr>
          <w:rFonts w:ascii="Times New Roman" w:hAnsi="Times New Roman"/>
          <w:sz w:val="22"/>
          <w:szCs w:val="22"/>
        </w:rPr>
        <w:t>≤1Ω</w:t>
      </w:r>
    </w:p>
    <w:p>
      <w:pPr>
        <w:spacing w:line="420" w:lineRule="exact"/>
        <w:ind w:firstLine="440" w:firstLineChars="200"/>
        <w:rPr>
          <w:sz w:val="22"/>
        </w:rPr>
      </w:pPr>
      <w:r>
        <w:rPr>
          <w:rFonts w:hAnsi="宋体"/>
          <w:sz w:val="22"/>
        </w:rPr>
        <w:t>零地电压：</w:t>
      </w:r>
      <w:r>
        <w:rPr>
          <w:sz w:val="22"/>
        </w:rPr>
        <w:t xml:space="preserve"> ≤1V</w:t>
      </w:r>
      <w:bookmarkStart w:id="104" w:name="_Toc231524248"/>
    </w:p>
    <w:p>
      <w:pPr>
        <w:spacing w:line="420" w:lineRule="exact"/>
        <w:rPr>
          <w:sz w:val="22"/>
        </w:rPr>
      </w:pPr>
      <w:r>
        <w:rPr>
          <w:rFonts w:hint="eastAsia"/>
          <w:sz w:val="22"/>
        </w:rPr>
        <w:t>2.6</w:t>
      </w:r>
      <w:r>
        <w:rPr>
          <w:rFonts w:hAnsi="宋体"/>
          <w:b/>
          <w:sz w:val="22"/>
        </w:rPr>
        <w:t>冷却、通风要求</w:t>
      </w:r>
      <w:bookmarkEnd w:id="104"/>
    </w:p>
    <w:p>
      <w:pPr>
        <w:pStyle w:val="22"/>
        <w:spacing w:line="420" w:lineRule="exact"/>
        <w:ind w:firstLine="440"/>
        <w:rPr>
          <w:rFonts w:ascii="Times New Roman" w:hAnsi="宋体"/>
          <w:sz w:val="22"/>
          <w:szCs w:val="22"/>
        </w:rPr>
      </w:pPr>
      <w:r>
        <w:rPr>
          <w:rFonts w:ascii="Times New Roman" w:hAnsi="宋体"/>
          <w:sz w:val="22"/>
          <w:szCs w:val="22"/>
        </w:rPr>
        <w:t>投标人应说明设备的散热方式，设备的冷却优选自然通风散热方式。</w:t>
      </w:r>
    </w:p>
    <w:p>
      <w:pPr>
        <w:pStyle w:val="22"/>
        <w:spacing w:line="420" w:lineRule="exact"/>
        <w:ind w:firstLine="440"/>
        <w:rPr>
          <w:rFonts w:ascii="Times New Roman" w:hAnsi="宋体"/>
          <w:sz w:val="22"/>
          <w:szCs w:val="22"/>
        </w:rPr>
      </w:pPr>
    </w:p>
    <w:p>
      <w:pPr>
        <w:widowControl/>
        <w:spacing w:line="420" w:lineRule="exact"/>
        <w:jc w:val="left"/>
        <w:rPr>
          <w:rFonts w:ascii="宋体" w:hAnsi="宋体" w:cs="Arial"/>
          <w:b/>
          <w:kern w:val="0"/>
          <w:sz w:val="22"/>
        </w:rPr>
      </w:pPr>
      <w:r>
        <w:rPr>
          <w:rFonts w:hint="eastAsia" w:ascii="宋体" w:hAnsi="宋体" w:cs="Arial"/>
          <w:b/>
          <w:kern w:val="0"/>
          <w:sz w:val="22"/>
        </w:rPr>
        <w:t>三、安装及调试</w:t>
      </w:r>
    </w:p>
    <w:p>
      <w:pPr>
        <w:widowControl/>
        <w:spacing w:line="420" w:lineRule="exact"/>
        <w:ind w:firstLine="555"/>
        <w:jc w:val="left"/>
        <w:rPr>
          <w:rFonts w:ascii="宋体" w:hAnsi="宋体" w:cs="Arial"/>
          <w:kern w:val="0"/>
          <w:sz w:val="22"/>
        </w:rPr>
      </w:pPr>
      <w:r>
        <w:rPr>
          <w:rFonts w:hint="eastAsia" w:ascii="宋体" w:hAnsi="宋体" w:cs="Arial"/>
          <w:kern w:val="0"/>
          <w:sz w:val="22"/>
        </w:rPr>
        <w:t>3.1. 中标人按招标文件规定的货物性能、技术要求、质量标准、数量要求等全部条件向招标人提供未经使用的全新产品，提供货物安装调试服务。安装调试不合格的，中标人应负责更换设备，直至安装调试合格。</w:t>
      </w:r>
    </w:p>
    <w:p>
      <w:pPr>
        <w:widowControl/>
        <w:spacing w:line="420" w:lineRule="exact"/>
        <w:ind w:firstLine="555"/>
        <w:jc w:val="left"/>
        <w:rPr>
          <w:rFonts w:ascii="宋体" w:hAnsi="宋体" w:cs="Arial"/>
          <w:kern w:val="0"/>
          <w:sz w:val="22"/>
        </w:rPr>
      </w:pPr>
      <w:r>
        <w:rPr>
          <w:rFonts w:hint="eastAsia" w:ascii="宋体" w:hAnsi="宋体" w:cs="Arial"/>
          <w:kern w:val="0"/>
          <w:sz w:val="22"/>
        </w:rPr>
        <w:t>3.2.产品到达采购单位时，中标人必须依照招标文件货物需求和报价响应的承诺，将产品、系统安装并调试至正常运行的最佳状态，并向招标人提供相关的应用培训，否则采购人有权拒绝收货验货。</w:t>
      </w:r>
    </w:p>
    <w:p>
      <w:pPr>
        <w:widowControl/>
        <w:spacing w:line="420" w:lineRule="exact"/>
        <w:jc w:val="left"/>
        <w:rPr>
          <w:rFonts w:ascii="宋体" w:hAnsi="宋体" w:cs="Arial"/>
          <w:b/>
          <w:kern w:val="0"/>
          <w:sz w:val="22"/>
        </w:rPr>
      </w:pPr>
      <w:r>
        <w:rPr>
          <w:rFonts w:hint="eastAsia" w:ascii="宋体" w:hAnsi="宋体" w:cs="Arial"/>
          <w:b/>
          <w:kern w:val="0"/>
          <w:sz w:val="22"/>
        </w:rPr>
        <w:t>四、知识产权</w:t>
      </w:r>
    </w:p>
    <w:p>
      <w:pPr>
        <w:pStyle w:val="5"/>
        <w:spacing w:after="0" w:line="420" w:lineRule="exact"/>
        <w:ind w:left="0" w:leftChars="0" w:firstLine="440" w:firstLineChars="200"/>
        <w:jc w:val="left"/>
        <w:rPr>
          <w:rFonts w:ascii="宋体" w:hAnsi="宋体" w:cs="Arial"/>
          <w:sz w:val="22"/>
          <w:szCs w:val="22"/>
        </w:rPr>
      </w:pPr>
      <w:r>
        <w:rPr>
          <w:rFonts w:hint="eastAsia" w:ascii="宋体" w:hAnsi="宋体" w:cs="Arial"/>
          <w:sz w:val="22"/>
          <w:szCs w:val="22"/>
        </w:rPr>
        <w:t>保证所提供的货物或其任何一部分均不会侵犯任何第三方的知识产权。本项目涉及软件产品的，必须采购和使用正版软件。</w:t>
      </w:r>
    </w:p>
    <w:p>
      <w:pPr>
        <w:widowControl/>
        <w:jc w:val="left"/>
        <w:rPr>
          <w:rFonts w:ascii="宋体" w:hAnsi="宋体" w:cs="Arial"/>
          <w:b/>
          <w:kern w:val="0"/>
          <w:sz w:val="22"/>
        </w:rPr>
      </w:pPr>
    </w:p>
    <w:p>
      <w:pPr>
        <w:widowControl/>
        <w:jc w:val="left"/>
        <w:rPr>
          <w:rFonts w:ascii="宋体" w:hAnsi="宋体" w:cs="Arial"/>
          <w:b/>
          <w:kern w:val="0"/>
          <w:sz w:val="22"/>
        </w:rPr>
      </w:pPr>
      <w:r>
        <w:rPr>
          <w:rFonts w:hint="eastAsia" w:ascii="宋体" w:hAnsi="宋体" w:cs="Arial"/>
          <w:b/>
          <w:kern w:val="0"/>
          <w:sz w:val="22"/>
        </w:rPr>
        <w:t>五、售后服务</w:t>
      </w:r>
    </w:p>
    <w:p>
      <w:pPr>
        <w:widowControl/>
        <w:ind w:firstLine="555"/>
        <w:jc w:val="left"/>
        <w:rPr>
          <w:rFonts w:ascii="宋体" w:hAnsi="宋体" w:cs="Arial"/>
          <w:b/>
          <w:bCs/>
          <w:kern w:val="0"/>
          <w:sz w:val="22"/>
        </w:rPr>
      </w:pPr>
      <w:r>
        <w:rPr>
          <w:rFonts w:hint="eastAsia" w:ascii="宋体" w:hAnsi="宋体" w:cs="Arial"/>
          <w:kern w:val="0"/>
          <w:sz w:val="22"/>
        </w:rPr>
        <w:t>1.</w:t>
      </w:r>
      <w:r>
        <w:rPr>
          <w:rFonts w:hint="eastAsia" w:ascii="宋体" w:hAnsi="宋体" w:cs="Arial"/>
          <w:b/>
          <w:bCs/>
          <w:kern w:val="0"/>
          <w:sz w:val="22"/>
        </w:rPr>
        <w:t>本项目产品的质量保修期默认为自验收通过之日起，所投产品原厂（整机）免费上门保修，保修二年</w:t>
      </w:r>
      <w:r>
        <w:rPr>
          <w:rFonts w:hint="eastAsia" w:ascii="宋体" w:hAnsi="宋体" w:cs="Arial"/>
          <w:kern w:val="0"/>
          <w:sz w:val="22"/>
        </w:rPr>
        <w:t>（</w:t>
      </w:r>
      <w:r>
        <w:rPr>
          <w:rFonts w:hint="eastAsia" w:cs="宋体"/>
        </w:rPr>
        <w:t>若第三方产品免费保修期明确大于二年的则按原厂商的承诺执行）</w:t>
      </w:r>
      <w:r>
        <w:rPr>
          <w:rFonts w:hint="eastAsia" w:ascii="宋体" w:hAnsi="宋体" w:cs="Arial"/>
          <w:b/>
          <w:bCs/>
          <w:kern w:val="0"/>
          <w:sz w:val="22"/>
        </w:rPr>
        <w:t>。</w:t>
      </w:r>
    </w:p>
    <w:p>
      <w:pPr>
        <w:widowControl/>
        <w:ind w:firstLine="555"/>
        <w:jc w:val="left"/>
        <w:rPr>
          <w:rFonts w:ascii="宋体" w:hAnsi="宋体" w:cs="Arial"/>
          <w:kern w:val="0"/>
          <w:sz w:val="22"/>
        </w:rPr>
      </w:pPr>
      <w:r>
        <w:rPr>
          <w:rFonts w:hint="eastAsia" w:ascii="宋体" w:hAnsi="宋体" w:cs="Arial"/>
          <w:kern w:val="0"/>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并且没收全部履约保证金。 </w:t>
      </w:r>
    </w:p>
    <w:p>
      <w:pPr>
        <w:widowControl/>
        <w:ind w:firstLine="555"/>
        <w:jc w:val="left"/>
        <w:rPr>
          <w:rFonts w:ascii="宋体" w:hAnsi="宋体" w:cs="Arial"/>
          <w:kern w:val="0"/>
          <w:sz w:val="22"/>
        </w:rPr>
      </w:pPr>
      <w:r>
        <w:rPr>
          <w:rFonts w:hint="eastAsia" w:ascii="宋体" w:hAnsi="宋体" w:cs="Arial"/>
          <w:kern w:val="0"/>
          <w:sz w:val="22"/>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widowControl/>
        <w:ind w:firstLine="555"/>
        <w:jc w:val="left"/>
        <w:rPr>
          <w:rFonts w:ascii="宋体" w:hAnsi="宋体" w:cs="Arial"/>
          <w:kern w:val="0"/>
          <w:sz w:val="22"/>
        </w:rPr>
      </w:pPr>
      <w:r>
        <w:rPr>
          <w:rFonts w:hint="eastAsia" w:ascii="宋体" w:hAnsi="宋体" w:cs="Arial"/>
          <w:kern w:val="0"/>
          <w:sz w:val="22"/>
        </w:rPr>
        <w:t>4.在质保期内，投标人应对货物出现的质量及安全问题负责处理解决并承担一切费用。</w:t>
      </w:r>
    </w:p>
    <w:p>
      <w:pPr>
        <w:widowControl/>
        <w:ind w:firstLine="555"/>
        <w:jc w:val="left"/>
        <w:rPr>
          <w:rFonts w:ascii="宋体" w:hAnsi="宋体" w:cs="Arial"/>
          <w:kern w:val="0"/>
          <w:sz w:val="48"/>
          <w:szCs w:val="48"/>
        </w:rPr>
      </w:pPr>
      <w:r>
        <w:rPr>
          <w:rFonts w:hint="eastAsia" w:ascii="宋体" w:hAnsi="宋体" w:cs="Arial"/>
          <w:kern w:val="0"/>
          <w:sz w:val="22"/>
        </w:rPr>
        <w:t>5</w:t>
      </w:r>
      <w:r>
        <w:rPr>
          <w:rFonts w:ascii="宋体" w:hAnsi="宋体" w:cs="Arial"/>
          <w:kern w:val="0"/>
          <w:sz w:val="22"/>
        </w:rPr>
        <w:t>.</w:t>
      </w:r>
      <w:r>
        <w:rPr>
          <w:rFonts w:hint="eastAsia" w:ascii="宋体" w:hAnsi="宋体" w:cs="Arial"/>
          <w:kern w:val="0"/>
          <w:sz w:val="22"/>
        </w:rPr>
        <w:t>产品故障报修的响应时间：应在接到产品故障报修后4小时内响应，1个工作日内到达现场，2个工作日内处理完毕。若故障检修2个工作日后仍无法排除的，中标人应在故障报修2个工作日后的一个工作日内提供不低于故障规格型号档次的替代产品供招标人使用。如对货物出现的质量及安全问题经处理仍不能解决的，则招标人有权退货或要求投标人更换货物。</w:t>
      </w:r>
      <w:r>
        <w:rPr>
          <w:rFonts w:ascii="宋体" w:hAnsi="宋体" w:cs="Calibri"/>
          <w:bCs/>
          <w:kern w:val="0"/>
          <w:sz w:val="24"/>
          <w:szCs w:val="24"/>
        </w:rPr>
        <w:t> </w:t>
      </w:r>
      <w:r>
        <w:rPr>
          <w:rFonts w:ascii="宋体" w:hAnsi="宋体" w:cs="Arial"/>
          <w:kern w:val="0"/>
          <w:sz w:val="48"/>
          <w:szCs w:val="48"/>
        </w:rPr>
        <w:br w:type="page"/>
      </w:r>
    </w:p>
    <w:p>
      <w:pPr>
        <w:pStyle w:val="2"/>
        <w:spacing w:before="0" w:after="0" w:line="360" w:lineRule="auto"/>
        <w:jc w:val="center"/>
        <w:rPr>
          <w:rFonts w:ascii="Calibri" w:hAnsi="Calibri" w:eastAsia="黑体" w:cs="Calibri"/>
          <w:kern w:val="0"/>
          <w:sz w:val="32"/>
        </w:rPr>
      </w:pPr>
      <w:bookmarkStart w:id="105" w:name="_Toc11897"/>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105"/>
    </w:p>
    <w:p>
      <w:pPr>
        <w:jc w:val="center"/>
      </w:pPr>
      <w:r>
        <w:rPr>
          <w:rFonts w:hint="eastAsia"/>
        </w:rPr>
        <w:t>杭州萧山国际机场宣传显示屏采购及安装项目合同</w:t>
      </w:r>
    </w:p>
    <w:p>
      <w:pPr>
        <w:pStyle w:val="4"/>
        <w:spacing w:line="276" w:lineRule="auto"/>
        <w:ind w:right="200" w:firstLine="420"/>
        <w:jc w:val="right"/>
        <w:rPr>
          <w:rFonts w:ascii="等线" w:hAnsi="等线" w:cs="仿宋_GB2312"/>
          <w:bCs/>
          <w:sz w:val="22"/>
          <w:szCs w:val="22"/>
        </w:rPr>
      </w:pPr>
    </w:p>
    <w:p>
      <w:pPr>
        <w:spacing w:line="276" w:lineRule="auto"/>
        <w:ind w:firstLine="422" w:firstLineChars="200"/>
        <w:jc w:val="center"/>
        <w:rPr>
          <w:rFonts w:ascii="宋体" w:hAnsi="宋体"/>
          <w:b/>
          <w:szCs w:val="21"/>
        </w:rPr>
      </w:pPr>
    </w:p>
    <w:p>
      <w:pPr>
        <w:spacing w:line="276" w:lineRule="auto"/>
        <w:ind w:firstLine="422" w:firstLineChars="200"/>
        <w:jc w:val="center"/>
        <w:rPr>
          <w:rFonts w:ascii="宋体" w:hAnsi="宋体"/>
          <w:b/>
          <w:szCs w:val="21"/>
        </w:rPr>
      </w:pPr>
    </w:p>
    <w:p>
      <w:pPr>
        <w:adjustRightInd w:val="0"/>
        <w:snapToGrid w:val="0"/>
        <w:spacing w:line="276" w:lineRule="auto"/>
        <w:ind w:firstLine="452"/>
        <w:rPr>
          <w:rFonts w:ascii="宋体" w:hAnsi="宋体"/>
          <w:b/>
          <w:szCs w:val="21"/>
        </w:rPr>
      </w:pPr>
      <w:r>
        <w:rPr>
          <w:rFonts w:hint="eastAsia" w:ascii="宋体" w:hAnsi="宋体"/>
          <w:b/>
          <w:szCs w:val="21"/>
        </w:rPr>
        <w:t>甲方：杭州萧山国际机场有限公司</w:t>
      </w:r>
    </w:p>
    <w:p>
      <w:pPr>
        <w:adjustRightInd w:val="0"/>
        <w:snapToGrid w:val="0"/>
        <w:spacing w:line="276" w:lineRule="auto"/>
        <w:ind w:firstLine="452"/>
        <w:rPr>
          <w:rFonts w:ascii="宋体" w:hAnsi="宋体"/>
          <w:b/>
          <w:szCs w:val="21"/>
        </w:rPr>
      </w:pPr>
      <w:r>
        <w:rPr>
          <w:rFonts w:hint="eastAsia" w:ascii="宋体" w:hAnsi="宋体"/>
          <w:b/>
          <w:szCs w:val="21"/>
        </w:rPr>
        <w:t>住所地：杭州萧山国际机场内</w:t>
      </w:r>
    </w:p>
    <w:p>
      <w:pPr>
        <w:adjustRightInd w:val="0"/>
        <w:snapToGrid w:val="0"/>
        <w:spacing w:line="276" w:lineRule="auto"/>
        <w:rPr>
          <w:rFonts w:ascii="宋体" w:hAnsi="宋体"/>
          <w:b/>
          <w:szCs w:val="21"/>
        </w:rPr>
      </w:pPr>
    </w:p>
    <w:p>
      <w:pPr>
        <w:adjustRightInd w:val="0"/>
        <w:snapToGrid w:val="0"/>
        <w:spacing w:line="276" w:lineRule="auto"/>
        <w:ind w:firstLine="452"/>
        <w:rPr>
          <w:rFonts w:ascii="宋体" w:hAnsi="宋体"/>
          <w:b/>
          <w:szCs w:val="21"/>
        </w:rPr>
      </w:pPr>
      <w:r>
        <w:rPr>
          <w:rFonts w:hint="eastAsia" w:ascii="宋体" w:hAnsi="宋体"/>
          <w:b/>
          <w:szCs w:val="21"/>
        </w:rPr>
        <w:t>乙方:</w:t>
      </w:r>
    </w:p>
    <w:p>
      <w:pPr>
        <w:adjustRightInd w:val="0"/>
        <w:snapToGrid w:val="0"/>
        <w:spacing w:line="276" w:lineRule="auto"/>
        <w:ind w:firstLine="452"/>
        <w:rPr>
          <w:rFonts w:ascii="宋体" w:hAnsi="宋体"/>
          <w:szCs w:val="21"/>
        </w:rPr>
      </w:pPr>
      <w:r>
        <w:rPr>
          <w:rFonts w:hint="eastAsia" w:ascii="宋体" w:hAnsi="宋体"/>
          <w:b/>
          <w:szCs w:val="21"/>
        </w:rPr>
        <w:t>住所地:</w:t>
      </w:r>
    </w:p>
    <w:p>
      <w:pPr>
        <w:adjustRightInd w:val="0"/>
        <w:snapToGrid w:val="0"/>
        <w:spacing w:line="276" w:lineRule="auto"/>
        <w:ind w:firstLine="450"/>
        <w:rPr>
          <w:rFonts w:ascii="宋体" w:hAnsi="宋体"/>
          <w:szCs w:val="21"/>
        </w:rPr>
      </w:pPr>
    </w:p>
    <w:p>
      <w:pPr>
        <w:adjustRightInd w:val="0"/>
        <w:snapToGrid w:val="0"/>
        <w:spacing w:line="276" w:lineRule="auto"/>
        <w:ind w:firstLine="420" w:firstLineChars="200"/>
        <w:rPr>
          <w:rFonts w:ascii="宋体" w:hAnsi="宋体"/>
          <w:szCs w:val="21"/>
        </w:rPr>
      </w:pPr>
      <w:r>
        <w:rPr>
          <w:rFonts w:hint="eastAsia" w:ascii="宋体" w:hAnsi="宋体"/>
          <w:szCs w:val="21"/>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b/>
          <w:bCs/>
          <w:szCs w:val="21"/>
        </w:rPr>
      </w:pPr>
      <w:r>
        <w:rPr>
          <w:rFonts w:hint="eastAsia" w:ascii="宋体" w:hAnsi="宋体"/>
          <w:b/>
          <w:bCs/>
          <w:szCs w:val="21"/>
        </w:rPr>
        <w:t>一、产品规格型号及参数</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076"/>
        <w:gridCol w:w="792"/>
        <w:gridCol w:w="719"/>
        <w:gridCol w:w="515"/>
        <w:gridCol w:w="430"/>
        <w:gridCol w:w="417"/>
        <w:gridCol w:w="1054"/>
        <w:gridCol w:w="940"/>
        <w:gridCol w:w="1198"/>
        <w:gridCol w:w="81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序 号</w:t>
            </w:r>
          </w:p>
        </w:tc>
        <w:tc>
          <w:tcPr>
            <w:tcW w:w="1076" w:type="dxa"/>
            <w:shd w:val="clear" w:color="000000" w:fill="FFFFFF"/>
            <w:vAlign w:val="center"/>
          </w:tcPr>
          <w:p>
            <w:pPr>
              <w:jc w:val="center"/>
              <w:rPr>
                <w:rFonts w:ascii="宋体" w:hAnsi="宋体" w:cs="宋体"/>
                <w:b/>
                <w:bCs/>
                <w:sz w:val="20"/>
              </w:rPr>
            </w:pPr>
            <w:r>
              <w:rPr>
                <w:rFonts w:hint="eastAsia" w:ascii="宋体" w:hAnsi="宋体" w:cs="宋体"/>
                <w:b/>
                <w:bCs/>
                <w:sz w:val="20"/>
              </w:rPr>
              <w:t>设备名称</w:t>
            </w:r>
          </w:p>
        </w:tc>
        <w:tc>
          <w:tcPr>
            <w:tcW w:w="792" w:type="dxa"/>
            <w:shd w:val="clear" w:color="000000" w:fill="FFFFFF"/>
            <w:vAlign w:val="center"/>
          </w:tcPr>
          <w:p>
            <w:pPr>
              <w:jc w:val="center"/>
              <w:rPr>
                <w:rFonts w:ascii="宋体" w:hAnsi="宋体" w:cs="宋体"/>
                <w:b/>
                <w:bCs/>
                <w:sz w:val="20"/>
              </w:rPr>
            </w:pPr>
            <w:r>
              <w:rPr>
                <w:rFonts w:hint="eastAsia" w:ascii="宋体" w:hAnsi="宋体" w:cs="宋体"/>
                <w:b/>
                <w:bCs/>
                <w:sz w:val="20"/>
              </w:rPr>
              <w:t>规格型号</w:t>
            </w:r>
          </w:p>
        </w:tc>
        <w:tc>
          <w:tcPr>
            <w:tcW w:w="719" w:type="dxa"/>
            <w:shd w:val="clear" w:color="000000" w:fill="FFFFFF"/>
            <w:vAlign w:val="center"/>
          </w:tcPr>
          <w:p>
            <w:pPr>
              <w:jc w:val="center"/>
              <w:rPr>
                <w:rFonts w:ascii="宋体" w:hAnsi="宋体" w:cs="宋体"/>
                <w:b/>
                <w:bCs/>
                <w:sz w:val="20"/>
              </w:rPr>
            </w:pPr>
            <w:r>
              <w:rPr>
                <w:rFonts w:hint="eastAsia" w:ascii="宋体" w:hAnsi="宋体" w:cs="宋体"/>
                <w:b/>
                <w:bCs/>
                <w:sz w:val="20"/>
              </w:rPr>
              <w:t>品 牌</w:t>
            </w:r>
          </w:p>
        </w:tc>
        <w:tc>
          <w:tcPr>
            <w:tcW w:w="515" w:type="dxa"/>
            <w:shd w:val="clear" w:color="000000" w:fill="FFFFFF"/>
            <w:vAlign w:val="center"/>
          </w:tcPr>
          <w:p>
            <w:pPr>
              <w:jc w:val="center"/>
              <w:rPr>
                <w:rFonts w:ascii="宋体" w:hAnsi="宋体" w:cs="宋体"/>
                <w:b/>
                <w:bCs/>
                <w:sz w:val="20"/>
              </w:rPr>
            </w:pPr>
            <w:r>
              <w:rPr>
                <w:rFonts w:hint="eastAsia" w:ascii="宋体" w:hAnsi="宋体" w:cs="宋体"/>
                <w:b/>
                <w:bCs/>
                <w:sz w:val="20"/>
              </w:rPr>
              <w:t>产地</w:t>
            </w:r>
          </w:p>
        </w:tc>
        <w:tc>
          <w:tcPr>
            <w:tcW w:w="430" w:type="dxa"/>
            <w:shd w:val="clear" w:color="000000" w:fill="FFFFFF"/>
            <w:vAlign w:val="center"/>
          </w:tcPr>
          <w:p>
            <w:pPr>
              <w:jc w:val="center"/>
              <w:rPr>
                <w:rFonts w:ascii="宋体" w:hAnsi="宋体" w:cs="宋体"/>
                <w:b/>
                <w:bCs/>
                <w:sz w:val="20"/>
              </w:rPr>
            </w:pPr>
            <w:r>
              <w:rPr>
                <w:rFonts w:hint="eastAsia" w:ascii="宋体" w:hAnsi="宋体" w:cs="宋体"/>
                <w:b/>
                <w:bCs/>
                <w:sz w:val="20"/>
              </w:rPr>
              <w:t>单位</w:t>
            </w:r>
          </w:p>
        </w:tc>
        <w:tc>
          <w:tcPr>
            <w:tcW w:w="417" w:type="dxa"/>
            <w:shd w:val="clear" w:color="000000" w:fill="FFFFFF"/>
            <w:vAlign w:val="center"/>
          </w:tcPr>
          <w:p>
            <w:pPr>
              <w:jc w:val="center"/>
              <w:rPr>
                <w:rFonts w:ascii="宋体" w:hAnsi="宋体" w:cs="宋体"/>
                <w:b/>
                <w:bCs/>
                <w:sz w:val="20"/>
              </w:rPr>
            </w:pPr>
            <w:r>
              <w:rPr>
                <w:rFonts w:hint="eastAsia" w:ascii="宋体" w:hAnsi="宋体" w:cs="宋体"/>
                <w:b/>
                <w:bCs/>
                <w:sz w:val="20"/>
              </w:rPr>
              <w:t>数量</w:t>
            </w:r>
          </w:p>
        </w:tc>
        <w:tc>
          <w:tcPr>
            <w:tcW w:w="1054" w:type="dxa"/>
            <w:shd w:val="clear" w:color="000000" w:fill="FFFFFF"/>
            <w:vAlign w:val="center"/>
          </w:tcPr>
          <w:p>
            <w:pPr>
              <w:jc w:val="center"/>
              <w:rPr>
                <w:rFonts w:ascii="宋体" w:hAnsi="宋体" w:cs="宋体"/>
                <w:b/>
                <w:bCs/>
                <w:sz w:val="20"/>
              </w:rPr>
            </w:pPr>
            <w:r>
              <w:rPr>
                <w:rFonts w:hint="eastAsia" w:ascii="宋体" w:hAnsi="宋体" w:cs="宋体"/>
                <w:b/>
                <w:bCs/>
                <w:sz w:val="20"/>
              </w:rPr>
              <w:t>单  价 (元，不含税)</w:t>
            </w:r>
          </w:p>
        </w:tc>
        <w:tc>
          <w:tcPr>
            <w:tcW w:w="940" w:type="dxa"/>
            <w:shd w:val="clear" w:color="000000" w:fill="FFFFFF"/>
            <w:vAlign w:val="center"/>
          </w:tcPr>
          <w:p>
            <w:pPr>
              <w:jc w:val="center"/>
              <w:rPr>
                <w:rFonts w:ascii="宋体" w:hAnsi="宋体" w:cs="宋体"/>
                <w:b/>
                <w:bCs/>
                <w:sz w:val="20"/>
              </w:rPr>
            </w:pPr>
            <w:r>
              <w:rPr>
                <w:rFonts w:hint="eastAsia" w:ascii="宋体" w:hAnsi="宋体" w:cs="宋体"/>
                <w:b/>
                <w:bCs/>
                <w:sz w:val="20"/>
              </w:rPr>
              <w:t>合价（元，不含税）</w:t>
            </w:r>
          </w:p>
        </w:tc>
        <w:tc>
          <w:tcPr>
            <w:tcW w:w="1198" w:type="dxa"/>
            <w:shd w:val="clear" w:color="000000" w:fill="FFFFFF"/>
            <w:vAlign w:val="center"/>
          </w:tcPr>
          <w:p>
            <w:pPr>
              <w:jc w:val="center"/>
              <w:rPr>
                <w:rFonts w:ascii="宋体" w:hAnsi="宋体" w:cs="宋体"/>
                <w:b/>
                <w:bCs/>
                <w:sz w:val="20"/>
              </w:rPr>
            </w:pPr>
            <w:r>
              <w:rPr>
                <w:rFonts w:hint="eastAsia" w:ascii="宋体" w:hAnsi="宋体" w:cs="宋体"/>
                <w:b/>
                <w:bCs/>
                <w:sz w:val="20"/>
              </w:rPr>
              <w:t>增值税税率</w:t>
            </w:r>
          </w:p>
        </w:tc>
        <w:tc>
          <w:tcPr>
            <w:tcW w:w="819" w:type="dxa"/>
            <w:shd w:val="clear" w:color="000000" w:fill="FFFFFF"/>
            <w:vAlign w:val="center"/>
          </w:tcPr>
          <w:p>
            <w:pPr>
              <w:jc w:val="center"/>
              <w:rPr>
                <w:rFonts w:ascii="宋体" w:hAnsi="宋体" w:cs="宋体"/>
                <w:b/>
                <w:bCs/>
                <w:sz w:val="20"/>
              </w:rPr>
            </w:pPr>
            <w:r>
              <w:rPr>
                <w:rFonts w:hint="eastAsia" w:ascii="宋体" w:hAnsi="宋体" w:cs="宋体"/>
                <w:b/>
                <w:bCs/>
                <w:sz w:val="20"/>
              </w:rPr>
              <w:t>单价（元，含税）</w:t>
            </w:r>
          </w:p>
        </w:tc>
        <w:tc>
          <w:tcPr>
            <w:tcW w:w="1148" w:type="dxa"/>
            <w:shd w:val="clear" w:color="000000" w:fill="FFFFFF"/>
            <w:vAlign w:val="center"/>
          </w:tcPr>
          <w:p>
            <w:pPr>
              <w:jc w:val="center"/>
              <w:rPr>
                <w:rFonts w:ascii="宋体" w:hAnsi="宋体" w:cs="宋体"/>
                <w:b/>
                <w:bCs/>
                <w:sz w:val="20"/>
              </w:rPr>
            </w:pPr>
            <w:r>
              <w:rPr>
                <w:rFonts w:hint="eastAsia" w:ascii="宋体" w:hAnsi="宋体" w:cs="宋体"/>
                <w:b/>
                <w:bCs/>
                <w:sz w:val="20"/>
              </w:rPr>
              <w:t>合  价</w:t>
            </w:r>
          </w:p>
          <w:p>
            <w:pPr>
              <w:jc w:val="center"/>
              <w:rPr>
                <w:rFonts w:ascii="宋体" w:hAnsi="宋体" w:cs="宋体"/>
                <w:b/>
                <w:bCs/>
                <w:sz w:val="20"/>
              </w:rPr>
            </w:pPr>
            <w:r>
              <w:rPr>
                <w:rFonts w:hint="eastAsia" w:ascii="宋体" w:hAnsi="宋体" w:cs="宋体"/>
                <w:b/>
                <w:bCs/>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1</w:t>
            </w: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2</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3</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4</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jc w:val="center"/>
              <w:rPr>
                <w:rFonts w:ascii="宋体" w:hAnsi="宋体" w:cs="宋体"/>
                <w:b/>
                <w:bCs/>
                <w:sz w:val="20"/>
              </w:rPr>
            </w:pPr>
            <w:r>
              <w:rPr>
                <w:rFonts w:hint="eastAsia" w:ascii="宋体" w:hAnsi="宋体" w:cs="宋体"/>
                <w:b/>
                <w:bCs/>
                <w:sz w:val="20"/>
              </w:rPr>
              <w:t>不含税价格合计（元）</w:t>
            </w:r>
          </w:p>
        </w:tc>
        <w:tc>
          <w:tcPr>
            <w:tcW w:w="8032" w:type="dxa"/>
            <w:gridSpan w:val="10"/>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jc w:val="center"/>
              <w:rPr>
                <w:rFonts w:ascii="宋体" w:hAnsi="宋体" w:cs="宋体"/>
                <w:b/>
                <w:bCs/>
                <w:sz w:val="20"/>
              </w:rPr>
            </w:pPr>
            <w:r>
              <w:rPr>
                <w:rFonts w:hint="eastAsia" w:ascii="宋体" w:hAnsi="宋体" w:cs="宋体"/>
                <w:b/>
                <w:bCs/>
                <w:sz w:val="20"/>
              </w:rPr>
              <w:t>税金（元）</w:t>
            </w:r>
          </w:p>
        </w:tc>
        <w:tc>
          <w:tcPr>
            <w:tcW w:w="8032" w:type="dxa"/>
            <w:gridSpan w:val="10"/>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rPr>
                <w:rFonts w:ascii="宋体" w:hAnsi="宋体" w:cs="宋体"/>
                <w:b/>
                <w:bCs/>
                <w:sz w:val="20"/>
              </w:rPr>
            </w:pPr>
            <w:r>
              <w:rPr>
                <w:rFonts w:hint="eastAsia" w:ascii="宋体" w:hAnsi="宋体" w:cs="宋体"/>
                <w:b/>
                <w:bCs/>
                <w:sz w:val="20"/>
              </w:rPr>
              <w:t>价税合计（元）</w:t>
            </w:r>
          </w:p>
        </w:tc>
        <w:tc>
          <w:tcPr>
            <w:tcW w:w="8032" w:type="dxa"/>
            <w:gridSpan w:val="10"/>
            <w:tcBorders>
              <w:bottom w:val="single" w:color="auto" w:sz="4" w:space="0"/>
            </w:tcBorders>
            <w:shd w:val="clear" w:color="000000" w:fill="FFFFFF"/>
            <w:vAlign w:val="center"/>
          </w:tcPr>
          <w:p>
            <w:pPr>
              <w:jc w:val="center"/>
              <w:rPr>
                <w:rFonts w:ascii="宋体" w:hAnsi="宋体" w:cs="宋体"/>
                <w:b/>
                <w:bCs/>
                <w:sz w:val="20"/>
              </w:rPr>
            </w:pPr>
            <w:r>
              <w:rPr>
                <w:rFonts w:hint="eastAsia" w:ascii="宋体" w:hAnsi="宋体" w:cs="宋体"/>
                <w:b/>
                <w:bCs/>
                <w:sz w:val="20"/>
              </w:rPr>
              <w:t xml:space="preserve">人民币大写 </w:t>
            </w:r>
            <w:r>
              <w:rPr>
                <w:rFonts w:ascii="宋体" w:hAnsi="宋体" w:cs="宋体"/>
                <w:b/>
                <w:bCs/>
                <w:sz w:val="20"/>
              </w:rPr>
              <w:t xml:space="preserve">    </w:t>
            </w:r>
            <w:r>
              <w:rPr>
                <w:rFonts w:hint="eastAsia" w:ascii="宋体" w:hAnsi="宋体" w:cs="宋体"/>
                <w:b/>
                <w:bCs/>
                <w:sz w:val="20"/>
              </w:rPr>
              <w:t>元，</w:t>
            </w:r>
            <w:r>
              <w:rPr>
                <w:rFonts w:ascii="宋体" w:hAnsi="宋体" w:cs="宋体"/>
                <w:b/>
                <w:bCs/>
                <w:sz w:val="20"/>
              </w:rPr>
              <w:t>¥   .00</w:t>
            </w:r>
          </w:p>
        </w:tc>
      </w:tr>
    </w:tbl>
    <w:p>
      <w:pPr>
        <w:spacing w:line="276" w:lineRule="auto"/>
        <w:ind w:firstLine="593"/>
        <w:rPr>
          <w:rFonts w:ascii="宋体" w:hAnsi="宋体"/>
          <w:b/>
          <w:szCs w:val="21"/>
        </w:rPr>
      </w:pPr>
      <w:r>
        <w:rPr>
          <w:rFonts w:hint="eastAsia" w:ascii="宋体" w:hAnsi="宋体"/>
          <w:b/>
          <w:szCs w:val="21"/>
        </w:rPr>
        <w:t>备注：1、</w:t>
      </w:r>
    </w:p>
    <w:p>
      <w:pPr>
        <w:adjustRightInd w:val="0"/>
        <w:snapToGrid w:val="0"/>
        <w:spacing w:line="276" w:lineRule="auto"/>
        <w:ind w:firstLine="602"/>
        <w:rPr>
          <w:rFonts w:ascii="宋体" w:hAnsi="宋体"/>
          <w:b/>
          <w:szCs w:val="21"/>
        </w:rPr>
      </w:pPr>
      <w:r>
        <w:rPr>
          <w:rFonts w:hint="eastAsia" w:ascii="宋体" w:hAnsi="宋体"/>
          <w:b/>
          <w:szCs w:val="21"/>
        </w:rPr>
        <w:t xml:space="preserve">      2、</w:t>
      </w:r>
    </w:p>
    <w:p>
      <w:pPr>
        <w:adjustRightInd w:val="0"/>
        <w:snapToGrid w:val="0"/>
        <w:spacing w:line="276" w:lineRule="auto"/>
        <w:ind w:firstLine="602"/>
        <w:rPr>
          <w:rFonts w:ascii="宋体" w:hAnsi="宋体"/>
          <w:b/>
          <w:szCs w:val="21"/>
        </w:rPr>
      </w:pPr>
      <w:r>
        <w:rPr>
          <w:rFonts w:hint="eastAsia" w:ascii="宋体" w:hAnsi="宋体"/>
          <w:b/>
          <w:szCs w:val="21"/>
        </w:rPr>
        <w:t>二、合同金额</w:t>
      </w:r>
    </w:p>
    <w:p>
      <w:pPr>
        <w:spacing w:line="276" w:lineRule="auto"/>
        <w:ind w:firstLine="403" w:firstLineChars="192"/>
        <w:rPr>
          <w:rFonts w:ascii="宋体" w:hAnsi="宋体"/>
          <w:szCs w:val="21"/>
        </w:rPr>
      </w:pPr>
      <w:r>
        <w:rPr>
          <w:rFonts w:hint="eastAsia" w:ascii="宋体" w:hAnsi="宋体"/>
          <w:szCs w:val="21"/>
        </w:rPr>
        <w:t>本合同金额为</w:t>
      </w:r>
      <w:r>
        <w:rPr>
          <w:rFonts w:hint="eastAsia" w:ascii="宋体" w:hAnsi="宋体"/>
          <w:b/>
          <w:bCs/>
          <w:szCs w:val="21"/>
        </w:rPr>
        <w:t>固定总价合同</w:t>
      </w:r>
      <w:r>
        <w:rPr>
          <w:rFonts w:hint="eastAsia" w:ascii="宋体" w:hAnsi="宋体"/>
          <w:szCs w:val="21"/>
        </w:rPr>
        <w:t>，合同金额为（大写）：人民币    ，（小写）</w:t>
      </w:r>
      <w:r>
        <w:rPr>
          <w:rFonts w:hint="eastAsia" w:ascii="宋体" w:hAnsi="宋体" w:cs="Arial"/>
          <w:szCs w:val="21"/>
        </w:rPr>
        <w:t xml:space="preserve">¥       </w:t>
      </w:r>
      <w:r>
        <w:rPr>
          <w:rFonts w:hint="eastAsia" w:ascii="宋体" w:hAnsi="宋体"/>
          <w:szCs w:val="21"/>
        </w:rPr>
        <w:t>。本合同价为杭州萧山国际机场内交货价，含产品价格、运输费、包装费、保险费、税费等所有费用。甲方不再承担其他任何费用。</w:t>
      </w:r>
    </w:p>
    <w:p>
      <w:pPr>
        <w:spacing w:line="276" w:lineRule="auto"/>
        <w:ind w:firstLine="405" w:firstLineChars="192"/>
        <w:rPr>
          <w:rFonts w:ascii="宋体" w:hAnsi="宋体"/>
          <w:b/>
          <w:szCs w:val="21"/>
          <w:u w:val="single"/>
        </w:rPr>
      </w:pPr>
      <w:r>
        <w:rPr>
          <w:rFonts w:hint="eastAsia" w:ascii="宋体" w:hAnsi="宋体"/>
          <w:b/>
          <w:szCs w:val="21"/>
          <w:u w:val="single"/>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276" w:lineRule="auto"/>
        <w:ind w:firstLine="602"/>
        <w:rPr>
          <w:rFonts w:ascii="宋体" w:hAnsi="宋体"/>
          <w:b/>
          <w:szCs w:val="21"/>
        </w:rPr>
      </w:pPr>
      <w:r>
        <w:rPr>
          <w:rFonts w:hint="eastAsia" w:ascii="宋体" w:hAnsi="宋体"/>
          <w:b/>
          <w:szCs w:val="21"/>
        </w:rPr>
        <w:t>三、技术资料</w:t>
      </w:r>
    </w:p>
    <w:p>
      <w:pPr>
        <w:adjustRightInd w:val="0"/>
        <w:snapToGrid w:val="0"/>
        <w:spacing w:line="276" w:lineRule="auto"/>
        <w:ind w:firstLine="420" w:firstLineChars="200"/>
        <w:rPr>
          <w:rFonts w:ascii="宋体" w:hAnsi="宋体"/>
          <w:szCs w:val="21"/>
        </w:rPr>
      </w:pPr>
      <w:r>
        <w:rPr>
          <w:rFonts w:hint="eastAsia" w:ascii="宋体" w:hAnsi="宋体"/>
          <w:szCs w:val="21"/>
        </w:rPr>
        <w:t>1.乙方应在交付合同产品时同时向甲方提供使用产品的有关技术资料。</w:t>
      </w:r>
    </w:p>
    <w:p>
      <w:pPr>
        <w:adjustRightInd w:val="0"/>
        <w:snapToGrid w:val="0"/>
        <w:spacing w:line="276" w:lineRule="auto"/>
        <w:ind w:firstLine="422" w:firstLineChars="200"/>
        <w:rPr>
          <w:rFonts w:ascii="宋体" w:hAnsi="宋体"/>
          <w:szCs w:val="21"/>
        </w:rPr>
      </w:pPr>
      <w:r>
        <w:rPr>
          <w:rFonts w:hint="eastAsia" w:ascii="宋体" w:hAnsi="宋体"/>
          <w:b/>
          <w:szCs w:val="21"/>
        </w:rPr>
        <w:t>2.</w:t>
      </w:r>
      <w:r>
        <w:rPr>
          <w:rFonts w:hint="eastAsia" w:ascii="宋体" w:hAnsi="宋体"/>
          <w:szCs w:val="21"/>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276" w:lineRule="auto"/>
        <w:ind w:firstLine="602"/>
        <w:rPr>
          <w:rFonts w:ascii="宋体" w:hAnsi="宋体"/>
          <w:b/>
          <w:szCs w:val="21"/>
        </w:rPr>
      </w:pPr>
      <w:r>
        <w:rPr>
          <w:rFonts w:hint="eastAsia" w:ascii="宋体" w:hAnsi="宋体"/>
          <w:b/>
          <w:szCs w:val="21"/>
        </w:rPr>
        <w:t>四、知识产权</w:t>
      </w:r>
    </w:p>
    <w:p>
      <w:pPr>
        <w:adjustRightInd w:val="0"/>
        <w:snapToGrid w:val="0"/>
        <w:spacing w:line="276" w:lineRule="auto"/>
        <w:ind w:firstLine="420" w:firstLineChars="200"/>
        <w:rPr>
          <w:rFonts w:ascii="宋体" w:hAnsi="宋体"/>
          <w:szCs w:val="21"/>
        </w:rPr>
      </w:pPr>
      <w:r>
        <w:rPr>
          <w:rFonts w:hint="eastAsia" w:ascii="宋体" w:hAnsi="宋体"/>
          <w:szCs w:val="21"/>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276" w:lineRule="auto"/>
        <w:ind w:firstLine="602"/>
        <w:rPr>
          <w:rFonts w:ascii="宋体" w:hAnsi="宋体"/>
          <w:b/>
          <w:szCs w:val="21"/>
        </w:rPr>
      </w:pPr>
      <w:r>
        <w:rPr>
          <w:rFonts w:hint="eastAsia" w:ascii="宋体" w:hAnsi="宋体"/>
          <w:b/>
          <w:szCs w:val="21"/>
        </w:rPr>
        <w:t>五、产权担保</w:t>
      </w:r>
    </w:p>
    <w:p>
      <w:pPr>
        <w:adjustRightInd w:val="0"/>
        <w:snapToGrid w:val="0"/>
        <w:spacing w:line="276" w:lineRule="auto"/>
        <w:ind w:firstLine="420" w:firstLineChars="200"/>
        <w:rPr>
          <w:rFonts w:ascii="宋体" w:hAnsi="宋体"/>
          <w:szCs w:val="21"/>
        </w:rPr>
      </w:pPr>
      <w:r>
        <w:rPr>
          <w:rFonts w:hint="eastAsia" w:ascii="宋体" w:hAnsi="宋体"/>
          <w:szCs w:val="21"/>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276" w:lineRule="auto"/>
        <w:ind w:firstLine="602"/>
        <w:outlineLvl w:val="0"/>
        <w:rPr>
          <w:rFonts w:ascii="宋体" w:hAnsi="宋体"/>
          <w:b/>
          <w:szCs w:val="21"/>
        </w:rPr>
      </w:pPr>
      <w:bookmarkStart w:id="106" w:name="_Toc13006"/>
      <w:bookmarkStart w:id="107" w:name="_Toc9351384"/>
      <w:r>
        <w:rPr>
          <w:rFonts w:hint="eastAsia" w:ascii="宋体" w:hAnsi="宋体"/>
          <w:b/>
          <w:szCs w:val="21"/>
        </w:rPr>
        <w:t>六、转包或分包</w:t>
      </w:r>
      <w:bookmarkEnd w:id="106"/>
      <w:bookmarkEnd w:id="107"/>
    </w:p>
    <w:p>
      <w:pPr>
        <w:adjustRightInd w:val="0"/>
        <w:snapToGrid w:val="0"/>
        <w:spacing w:line="276" w:lineRule="auto"/>
        <w:ind w:firstLine="420" w:firstLineChars="200"/>
        <w:rPr>
          <w:rFonts w:ascii="宋体" w:hAnsi="宋体"/>
          <w:szCs w:val="21"/>
        </w:rPr>
      </w:pPr>
      <w:r>
        <w:rPr>
          <w:rFonts w:hint="eastAsia" w:ascii="宋体" w:hAnsi="宋体"/>
          <w:szCs w:val="21"/>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20" w:firstLineChars="200"/>
        <w:rPr>
          <w:rFonts w:ascii="宋体" w:hAnsi="宋体"/>
          <w:szCs w:val="21"/>
        </w:rPr>
      </w:pPr>
      <w:r>
        <w:rPr>
          <w:rFonts w:hint="eastAsia" w:ascii="宋体" w:hAnsi="宋体"/>
          <w:szCs w:val="21"/>
        </w:rPr>
        <w:t>2.如有未经甲方书面同意的转让和分包行为，甲方有权解除合同，并有权要求乙方承担合同总金额【5%】的违约金。</w:t>
      </w:r>
    </w:p>
    <w:p>
      <w:pPr>
        <w:adjustRightInd w:val="0"/>
        <w:snapToGrid w:val="0"/>
        <w:spacing w:line="276" w:lineRule="auto"/>
        <w:ind w:firstLine="602"/>
        <w:outlineLvl w:val="0"/>
        <w:rPr>
          <w:rFonts w:ascii="宋体" w:hAnsi="宋体"/>
          <w:b/>
          <w:szCs w:val="21"/>
        </w:rPr>
      </w:pPr>
      <w:bookmarkStart w:id="108" w:name="_Toc9143"/>
      <w:bookmarkStart w:id="109" w:name="_Toc9351385"/>
      <w:r>
        <w:rPr>
          <w:rFonts w:hint="eastAsia" w:ascii="宋体" w:hAnsi="宋体"/>
          <w:b/>
          <w:szCs w:val="21"/>
        </w:rPr>
        <w:t>七、产品包装、发运及运输</w:t>
      </w:r>
      <w:bookmarkEnd w:id="108"/>
      <w:bookmarkEnd w:id="109"/>
    </w:p>
    <w:p>
      <w:pPr>
        <w:adjustRightInd w:val="0"/>
        <w:snapToGrid w:val="0"/>
        <w:spacing w:line="276" w:lineRule="auto"/>
        <w:ind w:firstLine="420" w:firstLineChars="200"/>
        <w:rPr>
          <w:rFonts w:ascii="宋体" w:hAnsi="宋体"/>
          <w:szCs w:val="21"/>
        </w:rPr>
      </w:pPr>
      <w:r>
        <w:rPr>
          <w:rFonts w:hint="eastAsia" w:ascii="宋体" w:hAnsi="宋体"/>
          <w:szCs w:val="21"/>
        </w:rPr>
        <w:t>1. 乙方应在产品发运前对其按满足运输距离、防潮、防震、防锈和防破损装卸等要求进行包装，以保证产品安全运达甲方指定地点。</w:t>
      </w:r>
    </w:p>
    <w:p>
      <w:pPr>
        <w:adjustRightInd w:val="0"/>
        <w:snapToGrid w:val="0"/>
        <w:spacing w:line="276" w:lineRule="auto"/>
        <w:ind w:firstLine="420" w:firstLineChars="200"/>
        <w:rPr>
          <w:rFonts w:ascii="宋体" w:hAnsi="宋体"/>
          <w:szCs w:val="21"/>
        </w:rPr>
      </w:pPr>
      <w:r>
        <w:rPr>
          <w:rFonts w:hint="eastAsia" w:ascii="宋体" w:hAnsi="宋体"/>
          <w:szCs w:val="21"/>
        </w:rPr>
        <w:t>2. 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20" w:firstLineChars="200"/>
        <w:rPr>
          <w:rFonts w:ascii="宋体" w:hAnsi="宋体"/>
          <w:szCs w:val="21"/>
        </w:rPr>
      </w:pPr>
      <w:r>
        <w:rPr>
          <w:rFonts w:hint="eastAsia" w:ascii="宋体" w:hAnsi="宋体"/>
          <w:szCs w:val="21"/>
        </w:rPr>
        <w:t>3. 乙方在产品发运手续办理完毕后【2</w:t>
      </w:r>
      <w:r>
        <w:rPr>
          <w:rFonts w:ascii="宋体" w:hAnsi="宋体"/>
          <w:szCs w:val="21"/>
        </w:rPr>
        <w:t>4</w:t>
      </w:r>
      <w:r>
        <w:rPr>
          <w:rFonts w:hint="eastAsia" w:ascii="宋体" w:hAnsi="宋体"/>
          <w:szCs w:val="21"/>
        </w:rPr>
        <w:t>】小时内必须书面通知甲方，以便甲方准备接货。</w:t>
      </w:r>
    </w:p>
    <w:p>
      <w:pPr>
        <w:adjustRightInd w:val="0"/>
        <w:snapToGrid w:val="0"/>
        <w:spacing w:line="276" w:lineRule="auto"/>
        <w:ind w:firstLine="420" w:firstLineChars="200"/>
        <w:rPr>
          <w:rFonts w:ascii="宋体" w:hAnsi="宋体"/>
          <w:szCs w:val="21"/>
        </w:rPr>
      </w:pPr>
      <w:r>
        <w:rPr>
          <w:rFonts w:hint="eastAsia" w:ascii="宋体" w:hAnsi="宋体"/>
          <w:szCs w:val="21"/>
        </w:rPr>
        <w:t>4. 产品在本合同规定的交货地点交付甲方前发生的一切风险包括产品运输风险均由乙方负责。</w:t>
      </w:r>
    </w:p>
    <w:p>
      <w:pPr>
        <w:adjustRightInd w:val="0"/>
        <w:snapToGrid w:val="0"/>
        <w:spacing w:line="276" w:lineRule="auto"/>
        <w:ind w:firstLine="420" w:firstLineChars="200"/>
        <w:rPr>
          <w:rFonts w:ascii="宋体" w:hAnsi="宋体"/>
          <w:szCs w:val="21"/>
        </w:rPr>
      </w:pPr>
      <w:r>
        <w:rPr>
          <w:rFonts w:hint="eastAsia" w:ascii="宋体" w:hAnsi="宋体"/>
          <w:szCs w:val="21"/>
        </w:rPr>
        <w:t>5. 产品在规定的交付期限内由乙方送达甲方指定的交货地点并经甲方签收后视为交付，乙方同时必须在产品到达的当天立即通知甲方产品已送达。</w:t>
      </w:r>
    </w:p>
    <w:p>
      <w:pPr>
        <w:adjustRightInd w:val="0"/>
        <w:snapToGrid w:val="0"/>
        <w:spacing w:line="276" w:lineRule="auto"/>
        <w:ind w:firstLine="602"/>
        <w:outlineLvl w:val="0"/>
        <w:rPr>
          <w:rFonts w:ascii="宋体" w:hAnsi="宋体"/>
          <w:b/>
          <w:szCs w:val="21"/>
        </w:rPr>
      </w:pPr>
      <w:bookmarkStart w:id="110" w:name="_Toc9351386"/>
      <w:bookmarkStart w:id="111" w:name="_Toc25201"/>
      <w:r>
        <w:rPr>
          <w:rFonts w:hint="eastAsia" w:ascii="宋体" w:hAnsi="宋体"/>
          <w:b/>
          <w:szCs w:val="21"/>
        </w:rPr>
        <w:t>八、交货期、交货方式及交货地点</w:t>
      </w:r>
      <w:bookmarkEnd w:id="110"/>
      <w:bookmarkEnd w:id="111"/>
    </w:p>
    <w:p>
      <w:pPr>
        <w:adjustRightInd w:val="0"/>
        <w:snapToGrid w:val="0"/>
        <w:spacing w:line="276" w:lineRule="auto"/>
        <w:ind w:firstLine="420" w:firstLineChars="200"/>
        <w:rPr>
          <w:rFonts w:ascii="宋体" w:hAnsi="宋体"/>
          <w:szCs w:val="21"/>
        </w:rPr>
      </w:pPr>
      <w:r>
        <w:rPr>
          <w:rFonts w:hint="eastAsia" w:ascii="宋体" w:hAnsi="宋体"/>
          <w:szCs w:val="21"/>
        </w:rPr>
        <w:t>1. 交货期（含安装调试）：合同生效之日起【90】个日历天</w:t>
      </w:r>
    </w:p>
    <w:p>
      <w:pPr>
        <w:adjustRightInd w:val="0"/>
        <w:snapToGrid w:val="0"/>
        <w:spacing w:line="276" w:lineRule="auto"/>
        <w:ind w:firstLine="420" w:firstLineChars="200"/>
        <w:rPr>
          <w:rFonts w:ascii="宋体" w:hAnsi="宋体"/>
          <w:szCs w:val="21"/>
        </w:rPr>
      </w:pPr>
      <w:r>
        <w:rPr>
          <w:rFonts w:hint="eastAsia" w:ascii="宋体" w:hAnsi="宋体"/>
          <w:szCs w:val="21"/>
        </w:rPr>
        <w:t>2. 交货方式：乙方送货上门</w:t>
      </w:r>
    </w:p>
    <w:p>
      <w:pPr>
        <w:adjustRightInd w:val="0"/>
        <w:snapToGrid w:val="0"/>
        <w:spacing w:line="276" w:lineRule="auto"/>
        <w:ind w:firstLine="420" w:firstLineChars="200"/>
        <w:rPr>
          <w:rFonts w:ascii="宋体" w:hAnsi="宋体"/>
          <w:szCs w:val="21"/>
        </w:rPr>
      </w:pPr>
      <w:r>
        <w:rPr>
          <w:rFonts w:hint="eastAsia" w:ascii="宋体" w:hAnsi="宋体"/>
          <w:szCs w:val="21"/>
        </w:rPr>
        <w:t>3. 交货地点：杭州萧山国际机场内</w:t>
      </w:r>
    </w:p>
    <w:p>
      <w:pPr>
        <w:adjustRightInd w:val="0"/>
        <w:snapToGrid w:val="0"/>
        <w:spacing w:line="276" w:lineRule="auto"/>
        <w:ind w:firstLine="602"/>
        <w:outlineLvl w:val="0"/>
        <w:rPr>
          <w:rFonts w:ascii="宋体" w:hAnsi="宋体"/>
          <w:b/>
          <w:szCs w:val="21"/>
        </w:rPr>
      </w:pPr>
      <w:bookmarkStart w:id="112" w:name="_Toc4179"/>
      <w:bookmarkStart w:id="113" w:name="_Toc9351387"/>
      <w:r>
        <w:rPr>
          <w:rFonts w:hint="eastAsia" w:ascii="宋体" w:hAnsi="宋体"/>
          <w:b/>
          <w:szCs w:val="21"/>
        </w:rPr>
        <w:t>九、安装与验收</w:t>
      </w:r>
      <w:bookmarkEnd w:id="112"/>
      <w:bookmarkEnd w:id="113"/>
    </w:p>
    <w:p>
      <w:pPr>
        <w:pStyle w:val="18"/>
        <w:adjustRightInd w:val="0"/>
        <w:snapToGrid w:val="0"/>
        <w:spacing w:line="276" w:lineRule="auto"/>
        <w:ind w:firstLine="422" w:firstLineChars="200"/>
        <w:rPr>
          <w:rFonts w:ascii="宋体" w:hAnsi="宋体"/>
          <w:szCs w:val="21"/>
        </w:rPr>
      </w:pPr>
      <w:r>
        <w:rPr>
          <w:rFonts w:hint="eastAsia" w:ascii="宋体" w:hAnsi="宋体"/>
          <w:b/>
          <w:szCs w:val="21"/>
        </w:rPr>
        <w:t>1.</w:t>
      </w:r>
      <w:r>
        <w:rPr>
          <w:rFonts w:hint="eastAsia" w:ascii="宋体" w:hAnsi="宋体"/>
          <w:szCs w:val="21"/>
        </w:rPr>
        <w:t>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w:t>
      </w:r>
      <w:r>
        <w:rPr>
          <w:rFonts w:ascii="宋体" w:hAnsi="宋体"/>
          <w:szCs w:val="21"/>
        </w:rPr>
        <w:t>3</w:t>
      </w:r>
      <w:r>
        <w:rPr>
          <w:rFonts w:hint="eastAsia" w:ascii="宋体" w:hAnsi="宋体"/>
          <w:szCs w:val="21"/>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pStyle w:val="18"/>
        <w:adjustRightInd w:val="0"/>
        <w:snapToGrid w:val="0"/>
        <w:spacing w:line="276" w:lineRule="auto"/>
        <w:ind w:firstLine="422" w:firstLineChars="200"/>
        <w:rPr>
          <w:rFonts w:ascii="宋体" w:hAnsi="宋体"/>
          <w:szCs w:val="21"/>
        </w:rPr>
      </w:pPr>
      <w:r>
        <w:rPr>
          <w:rFonts w:hint="eastAsia" w:ascii="宋体" w:hAnsi="宋体"/>
          <w:b/>
          <w:szCs w:val="21"/>
        </w:rPr>
        <w:t>2.</w:t>
      </w:r>
      <w:r>
        <w:rPr>
          <w:rFonts w:hint="eastAsia" w:ascii="宋体" w:hAnsi="宋体"/>
          <w:szCs w:val="21"/>
        </w:rPr>
        <w:t>乙方交货前应对产品作出全面检查和对验收文件进行整理，并列出清单，作为甲方收货验收和使用的技术条件依据，乙方检验的结果应随货物交甲方。</w:t>
      </w:r>
    </w:p>
    <w:p>
      <w:pPr>
        <w:pStyle w:val="18"/>
        <w:adjustRightInd w:val="0"/>
        <w:snapToGrid w:val="0"/>
        <w:spacing w:line="276" w:lineRule="auto"/>
        <w:ind w:firstLine="422" w:firstLineChars="200"/>
        <w:rPr>
          <w:rFonts w:ascii="宋体" w:hAnsi="宋体"/>
          <w:szCs w:val="21"/>
        </w:rPr>
      </w:pPr>
      <w:r>
        <w:rPr>
          <w:rFonts w:hint="eastAsia" w:ascii="宋体" w:hAnsi="宋体"/>
          <w:b/>
          <w:szCs w:val="21"/>
        </w:rPr>
        <w:t>3.</w:t>
      </w:r>
      <w:r>
        <w:rPr>
          <w:rFonts w:hint="eastAsia" w:ascii="宋体" w:hAnsi="宋体"/>
          <w:szCs w:val="21"/>
        </w:rPr>
        <w:t>乙方应当在收到甲方前述第1款异议之日起【</w:t>
      </w:r>
      <w:r>
        <w:rPr>
          <w:rFonts w:ascii="宋体" w:hAnsi="宋体"/>
          <w:szCs w:val="21"/>
        </w:rPr>
        <w:t>3</w:t>
      </w:r>
      <w:r>
        <w:rPr>
          <w:rFonts w:hint="eastAsia" w:ascii="宋体" w:hAnsi="宋体"/>
          <w:szCs w:val="21"/>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18"/>
        <w:adjustRightInd w:val="0"/>
        <w:snapToGrid w:val="0"/>
        <w:spacing w:line="276" w:lineRule="auto"/>
        <w:ind w:firstLine="422" w:firstLineChars="200"/>
        <w:rPr>
          <w:rFonts w:ascii="宋体" w:hAnsi="宋体"/>
          <w:szCs w:val="21"/>
        </w:rPr>
      </w:pPr>
      <w:r>
        <w:rPr>
          <w:rFonts w:ascii="宋体" w:hAnsi="宋体"/>
          <w:b/>
          <w:szCs w:val="21"/>
        </w:rPr>
        <w:t>4.</w:t>
      </w:r>
      <w:r>
        <w:rPr>
          <w:rFonts w:hint="eastAsia" w:ascii="宋体" w:hAnsi="宋体"/>
          <w:szCs w:val="21"/>
        </w:rPr>
        <w:t xml:space="preserve">验收要求：LED大屏宣传画面显示正常，大屏美观、大方；LCD液晶显示屏画面正常，安装牢固、美观；显示屏控制主机均能通过网络进行控制，传输宣传视频、画面；老的LED单色屏迁移到综合服务保障大楼二楼后，能正常工作，安装美观、牢固 </w:t>
      </w:r>
      <w:r>
        <w:rPr>
          <w:rFonts w:hint="eastAsia" w:cs="Arial"/>
          <w:sz w:val="22"/>
        </w:rPr>
        <w:t>。</w:t>
      </w:r>
    </w:p>
    <w:p>
      <w:pPr>
        <w:adjustRightInd w:val="0"/>
        <w:snapToGrid w:val="0"/>
        <w:spacing w:line="276" w:lineRule="auto"/>
        <w:ind w:firstLine="422" w:firstLineChars="200"/>
        <w:outlineLvl w:val="0"/>
        <w:rPr>
          <w:rFonts w:ascii="宋体" w:hAnsi="宋体"/>
          <w:b/>
          <w:szCs w:val="21"/>
        </w:rPr>
      </w:pPr>
      <w:bookmarkStart w:id="114" w:name="_Toc9351388"/>
      <w:bookmarkStart w:id="115" w:name="_Toc11562"/>
      <w:r>
        <w:rPr>
          <w:rFonts w:hint="eastAsia" w:ascii="宋体" w:hAnsi="宋体"/>
          <w:b/>
          <w:szCs w:val="21"/>
        </w:rPr>
        <w:t>十、货款支付</w:t>
      </w:r>
      <w:bookmarkEnd w:id="114"/>
      <w:bookmarkEnd w:id="115"/>
    </w:p>
    <w:p>
      <w:pPr>
        <w:adjustRightInd w:val="0"/>
        <w:snapToGrid w:val="0"/>
        <w:spacing w:line="276" w:lineRule="auto"/>
        <w:ind w:firstLine="420" w:firstLineChars="200"/>
        <w:rPr>
          <w:rFonts w:ascii="宋体" w:hAnsi="宋体"/>
          <w:szCs w:val="21"/>
          <w:u w:val="single"/>
        </w:rPr>
      </w:pPr>
      <w:r>
        <w:rPr>
          <w:rFonts w:hint="eastAsia" w:ascii="宋体" w:hAnsi="宋体"/>
          <w:szCs w:val="21"/>
          <w:u w:val="single"/>
        </w:rPr>
        <w:t>1</w:t>
      </w:r>
      <w:r>
        <w:rPr>
          <w:rFonts w:ascii="宋体" w:hAnsi="宋体"/>
          <w:szCs w:val="21"/>
          <w:u w:val="single"/>
        </w:rPr>
        <w:t>.</w:t>
      </w:r>
      <w:r>
        <w:rPr>
          <w:rFonts w:hint="eastAsia" w:ascii="宋体" w:hAnsi="宋体"/>
          <w:szCs w:val="21"/>
          <w:u w:val="single"/>
        </w:rPr>
        <w:t>设备在到货、安装调试完成且经甲方验收合格后1</w:t>
      </w:r>
      <w:r>
        <w:rPr>
          <w:rFonts w:ascii="宋体" w:hAnsi="宋体"/>
          <w:szCs w:val="21"/>
          <w:u w:val="single"/>
        </w:rPr>
        <w:t>5</w:t>
      </w:r>
      <w:r>
        <w:rPr>
          <w:rFonts w:hint="eastAsia" w:ascii="宋体" w:hAnsi="宋体"/>
          <w:szCs w:val="21"/>
          <w:u w:val="single"/>
        </w:rPr>
        <w:t>日内，甲方凭乙方开具的全额增值税专用发票支付乙方合同总金额的</w:t>
      </w:r>
      <w:r>
        <w:rPr>
          <w:rFonts w:ascii="宋体" w:hAnsi="宋体"/>
          <w:szCs w:val="21"/>
          <w:u w:val="single"/>
        </w:rPr>
        <w:t>95</w:t>
      </w:r>
      <w:r>
        <w:rPr>
          <w:rFonts w:hint="eastAsia" w:ascii="宋体" w:hAnsi="宋体"/>
          <w:szCs w:val="21"/>
          <w:u w:val="single"/>
        </w:rPr>
        <w:t>%。</w:t>
      </w:r>
    </w:p>
    <w:p>
      <w:pPr>
        <w:adjustRightInd w:val="0"/>
        <w:snapToGrid w:val="0"/>
        <w:spacing w:line="276" w:lineRule="auto"/>
        <w:ind w:firstLine="420" w:firstLineChars="200"/>
        <w:rPr>
          <w:rFonts w:ascii="宋体" w:hAnsi="宋体"/>
          <w:szCs w:val="21"/>
        </w:rPr>
      </w:pPr>
      <w:r>
        <w:rPr>
          <w:rFonts w:hint="eastAsia" w:ascii="宋体" w:hAnsi="宋体"/>
          <w:szCs w:val="21"/>
          <w:u w:val="single"/>
        </w:rPr>
        <w:t>2</w:t>
      </w:r>
      <w:r>
        <w:rPr>
          <w:rFonts w:ascii="宋体" w:hAnsi="宋体"/>
          <w:szCs w:val="21"/>
          <w:u w:val="single"/>
        </w:rPr>
        <w:t>.</w:t>
      </w:r>
      <w:r>
        <w:rPr>
          <w:rFonts w:hint="eastAsia" w:ascii="宋体" w:hAnsi="宋体"/>
          <w:szCs w:val="21"/>
          <w:u w:val="single"/>
        </w:rPr>
        <w:t>合同总金额的5</w:t>
      </w:r>
      <w:r>
        <w:rPr>
          <w:rFonts w:ascii="宋体" w:hAnsi="宋体"/>
          <w:szCs w:val="21"/>
          <w:u w:val="single"/>
        </w:rPr>
        <w:t>%</w:t>
      </w:r>
      <w:r>
        <w:rPr>
          <w:rFonts w:hint="eastAsia" w:ascii="宋体" w:hAnsi="宋体"/>
          <w:szCs w:val="21"/>
          <w:u w:val="single"/>
        </w:rPr>
        <w:t>在免费质量保证期满且经甲方确认乙方无任何违约行为后1</w:t>
      </w:r>
      <w:r>
        <w:rPr>
          <w:rFonts w:ascii="宋体" w:hAnsi="宋体"/>
          <w:szCs w:val="21"/>
          <w:u w:val="single"/>
        </w:rPr>
        <w:t>5</w:t>
      </w:r>
      <w:r>
        <w:rPr>
          <w:rFonts w:hint="eastAsia" w:ascii="宋体" w:hAnsi="宋体"/>
          <w:szCs w:val="21"/>
          <w:u w:val="single"/>
        </w:rPr>
        <w:t xml:space="preserve">日内支付。 </w:t>
      </w:r>
    </w:p>
    <w:p>
      <w:pPr>
        <w:pStyle w:val="10"/>
        <w:spacing w:before="150" w:after="150" w:line="276" w:lineRule="auto"/>
        <w:ind w:firstLine="422" w:firstLineChars="200"/>
        <w:rPr>
          <w:b/>
          <w:color w:val="444444"/>
          <w:sz w:val="21"/>
          <w:szCs w:val="21"/>
          <w:lang w:val="zh-CN"/>
        </w:rPr>
      </w:pPr>
      <w:r>
        <w:rPr>
          <w:rFonts w:hint="eastAsia"/>
          <w:b/>
          <w:color w:val="444444"/>
          <w:sz w:val="21"/>
          <w:szCs w:val="21"/>
        </w:rPr>
        <w:t>十一、</w:t>
      </w:r>
      <w:r>
        <w:rPr>
          <w:rFonts w:hint="eastAsia"/>
          <w:b/>
          <w:color w:val="444444"/>
          <w:sz w:val="21"/>
          <w:szCs w:val="21"/>
          <w:lang w:val="zh-CN"/>
        </w:rPr>
        <w:t>履约保证金</w:t>
      </w:r>
    </w:p>
    <w:p>
      <w:pPr>
        <w:adjustRightInd w:val="0"/>
        <w:snapToGrid w:val="0"/>
        <w:spacing w:line="276" w:lineRule="auto"/>
        <w:ind w:firstLine="420" w:firstLineChars="200"/>
        <w:rPr>
          <w:rFonts w:ascii="宋体" w:hAnsi="宋体"/>
          <w:szCs w:val="21"/>
        </w:rPr>
      </w:pPr>
      <w:r>
        <w:rPr>
          <w:rFonts w:hint="eastAsia" w:ascii="宋体" w:hAnsi="宋体"/>
          <w:szCs w:val="21"/>
        </w:rPr>
        <w:t>1．乙方应在收到甲方中标通知书后【</w:t>
      </w:r>
      <w:r>
        <w:rPr>
          <w:rFonts w:ascii="宋体" w:hAnsi="宋体"/>
          <w:szCs w:val="21"/>
        </w:rPr>
        <w:t>10</w:t>
      </w:r>
      <w:r>
        <w:rPr>
          <w:rFonts w:hint="eastAsia" w:ascii="宋体" w:hAnsi="宋体"/>
          <w:szCs w:val="21"/>
        </w:rPr>
        <w:t>】日内，向甲方支付合同总价的【</w:t>
      </w:r>
      <w:r>
        <w:rPr>
          <w:rFonts w:ascii="宋体" w:hAnsi="宋体"/>
          <w:szCs w:val="21"/>
        </w:rPr>
        <w:t>10</w:t>
      </w:r>
      <w:r>
        <w:rPr>
          <w:rFonts w:hint="eastAsia" w:ascii="宋体" w:hAnsi="宋体"/>
          <w:szCs w:val="21"/>
        </w:rPr>
        <w:t>%】作为履约保证金。如果逾期未缴纳，甲方有权解除本合同，并要求乙方承担由此给甲方造成的损失。</w:t>
      </w:r>
    </w:p>
    <w:p>
      <w:pPr>
        <w:adjustRightInd w:val="0"/>
        <w:snapToGrid w:val="0"/>
        <w:spacing w:line="276" w:lineRule="auto"/>
        <w:ind w:firstLine="420" w:firstLineChars="200"/>
        <w:rPr>
          <w:rFonts w:ascii="宋体" w:hAnsi="宋体"/>
          <w:szCs w:val="21"/>
        </w:rPr>
      </w:pPr>
      <w:r>
        <w:rPr>
          <w:rFonts w:hint="eastAsia" w:ascii="宋体" w:hAnsi="宋体"/>
          <w:szCs w:val="21"/>
        </w:rPr>
        <w:t>2．在合同履行期间，如果乙方存在违约情形，甲方有权优先从履约保证金中扣除相应款项，并书面通知乙方。乙方自收到书面通知之日起【</w:t>
      </w:r>
      <w:r>
        <w:rPr>
          <w:rFonts w:ascii="宋体" w:hAnsi="宋体"/>
          <w:szCs w:val="21"/>
        </w:rPr>
        <w:t>5</w:t>
      </w:r>
      <w:r>
        <w:rPr>
          <w:rFonts w:hint="eastAsia" w:ascii="宋体" w:hAnsi="宋体"/>
          <w:szCs w:val="21"/>
        </w:rPr>
        <w:t xml:space="preserve">】日内补足履约保证金。如果乙方不及时补足履约保证金，视为乙方违约，甲方有权解除合同，并要求乙方承担相应的违约责任。待合同约定服务内容全部履行并完毕，乙方不存在任何违约情形并收到甲方书面认可后【 </w:t>
      </w:r>
      <w:r>
        <w:rPr>
          <w:rFonts w:ascii="宋体" w:hAnsi="宋体"/>
          <w:szCs w:val="21"/>
        </w:rPr>
        <w:t>3</w:t>
      </w:r>
      <w:r>
        <w:rPr>
          <w:rFonts w:hint="eastAsia" w:ascii="宋体" w:hAnsi="宋体"/>
          <w:szCs w:val="21"/>
        </w:rPr>
        <w:t>】日内，甲方无息返还履约保证金。</w:t>
      </w:r>
    </w:p>
    <w:p>
      <w:pPr>
        <w:adjustRightInd w:val="0"/>
        <w:snapToGrid w:val="0"/>
        <w:spacing w:line="276" w:lineRule="auto"/>
        <w:ind w:firstLine="602"/>
        <w:outlineLvl w:val="0"/>
        <w:rPr>
          <w:rFonts w:ascii="宋体" w:hAnsi="宋体"/>
          <w:b/>
          <w:szCs w:val="21"/>
        </w:rPr>
      </w:pPr>
      <w:bookmarkStart w:id="116" w:name="_Toc9351389"/>
      <w:bookmarkStart w:id="117" w:name="_Toc29986"/>
      <w:r>
        <w:rPr>
          <w:rFonts w:hint="eastAsia" w:ascii="宋体" w:hAnsi="宋体"/>
          <w:b/>
          <w:szCs w:val="21"/>
        </w:rPr>
        <w:t>十二、免费质保期及服务内容</w:t>
      </w:r>
      <w:bookmarkEnd w:id="116"/>
      <w:bookmarkEnd w:id="117"/>
    </w:p>
    <w:p>
      <w:pPr>
        <w:adjustRightInd w:val="0"/>
        <w:snapToGrid w:val="0"/>
        <w:spacing w:line="276" w:lineRule="auto"/>
        <w:ind w:firstLine="420" w:firstLineChars="200"/>
        <w:rPr>
          <w:rFonts w:ascii="宋体" w:hAnsi="宋体"/>
          <w:szCs w:val="21"/>
        </w:rPr>
      </w:pPr>
      <w:r>
        <w:rPr>
          <w:rFonts w:hint="eastAsia" w:ascii="宋体" w:hAnsi="宋体"/>
          <w:szCs w:val="21"/>
        </w:rPr>
        <w:t>1.乙方保证其所供应的产品符合相关产品质量标准，不存在任何质量瑕疵或因质量瑕疵而导致的安全隐患，且为未经使用的全新产品。</w:t>
      </w:r>
    </w:p>
    <w:p>
      <w:pPr>
        <w:adjustRightInd w:val="0"/>
        <w:snapToGrid w:val="0"/>
        <w:spacing w:line="276" w:lineRule="auto"/>
        <w:ind w:firstLine="420" w:firstLineChars="200"/>
        <w:rPr>
          <w:rFonts w:ascii="宋体" w:hAnsi="宋体"/>
          <w:szCs w:val="21"/>
        </w:rPr>
      </w:pPr>
      <w:r>
        <w:rPr>
          <w:rFonts w:hint="eastAsia" w:ascii="宋体" w:hAnsi="宋体"/>
          <w:szCs w:val="21"/>
        </w:rPr>
        <w:t>2.乙方应为产品提供【24】个月的免费质保期(含工时费和零部件费)，时间自甲方最终签署安装验收合格报告之日起计算。</w:t>
      </w:r>
    </w:p>
    <w:p>
      <w:pPr>
        <w:adjustRightInd w:val="0"/>
        <w:snapToGrid w:val="0"/>
        <w:spacing w:line="276" w:lineRule="auto"/>
        <w:ind w:firstLine="420" w:firstLineChars="200"/>
        <w:rPr>
          <w:rFonts w:ascii="宋体" w:hAnsi="宋体"/>
          <w:szCs w:val="21"/>
        </w:rPr>
      </w:pPr>
      <w:r>
        <w:rPr>
          <w:rFonts w:hint="eastAsia" w:ascii="宋体" w:hAnsi="宋体"/>
          <w:szCs w:val="21"/>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276" w:lineRule="auto"/>
        <w:ind w:firstLine="420" w:firstLineChars="200"/>
        <w:rPr>
          <w:rFonts w:ascii="宋体" w:hAnsi="宋体"/>
          <w:szCs w:val="21"/>
        </w:rPr>
      </w:pPr>
      <w:r>
        <w:rPr>
          <w:rFonts w:hint="eastAsia" w:ascii="宋体" w:hAnsi="宋体"/>
          <w:szCs w:val="21"/>
        </w:rPr>
        <w:t>4.产品故障报修的响应时间：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276" w:lineRule="auto"/>
        <w:ind w:firstLine="420" w:firstLineChars="200"/>
        <w:rPr>
          <w:rFonts w:ascii="宋体" w:hAnsi="宋体"/>
          <w:szCs w:val="21"/>
        </w:rPr>
      </w:pPr>
      <w:r>
        <w:rPr>
          <w:rFonts w:hint="eastAsia" w:ascii="宋体" w:hAnsi="宋体"/>
          <w:szCs w:val="21"/>
        </w:rPr>
        <w:t>5.免费质保期结束的【7】天前，乙方负责对产品进行一次全面的检修和维护，并由甲方验收认可。甲方验收认可并不免除乙方对于验收认可后发生的但尚在质保期限内的产品故障或损坏的维修、退换货义务。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276" w:lineRule="auto"/>
        <w:ind w:firstLine="420" w:firstLineChars="200"/>
        <w:rPr>
          <w:rFonts w:ascii="宋体" w:hAnsi="宋体"/>
          <w:szCs w:val="21"/>
        </w:rPr>
      </w:pPr>
      <w:r>
        <w:rPr>
          <w:rFonts w:hint="eastAsia" w:ascii="宋体" w:hAnsi="宋体"/>
          <w:szCs w:val="21"/>
        </w:rPr>
        <w:t>6.若乙方提供的产品属于伪劣产品或者假冒产品或者欺诈甲方，使得甲方遭受损失，乙方应向甲方承担违约责任，同时，甲方可依法寻求其他法律救济。</w:t>
      </w:r>
    </w:p>
    <w:p>
      <w:pPr>
        <w:adjustRightInd w:val="0"/>
        <w:snapToGrid w:val="0"/>
        <w:spacing w:line="276" w:lineRule="auto"/>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并没收全部质保金。</w:t>
      </w:r>
    </w:p>
    <w:p>
      <w:pPr>
        <w:adjustRightInd w:val="0"/>
        <w:snapToGrid w:val="0"/>
        <w:spacing w:line="276" w:lineRule="auto"/>
        <w:ind w:firstLine="602"/>
        <w:outlineLvl w:val="0"/>
        <w:rPr>
          <w:rFonts w:ascii="宋体" w:hAnsi="宋体"/>
          <w:b/>
          <w:szCs w:val="21"/>
        </w:rPr>
      </w:pPr>
      <w:bookmarkStart w:id="118" w:name="_Toc19444"/>
      <w:bookmarkStart w:id="119" w:name="_Toc9351390"/>
      <w:r>
        <w:rPr>
          <w:rFonts w:hint="eastAsia" w:ascii="宋体" w:hAnsi="宋体"/>
          <w:b/>
          <w:szCs w:val="21"/>
        </w:rPr>
        <w:t>十三、违约责任</w:t>
      </w:r>
      <w:bookmarkEnd w:id="118"/>
      <w:bookmarkEnd w:id="119"/>
    </w:p>
    <w:p>
      <w:pPr>
        <w:adjustRightInd w:val="0"/>
        <w:snapToGrid w:val="0"/>
        <w:spacing w:line="276" w:lineRule="auto"/>
        <w:ind w:firstLine="420" w:firstLineChars="200"/>
        <w:rPr>
          <w:rFonts w:ascii="宋体" w:hAnsi="宋体"/>
          <w:szCs w:val="21"/>
        </w:rPr>
      </w:pPr>
      <w:r>
        <w:rPr>
          <w:rFonts w:hint="eastAsia" w:ascii="宋体" w:hAnsi="宋体"/>
          <w:szCs w:val="21"/>
        </w:rPr>
        <w:t>1. 甲方无故逾期支付货款的,甲方应按逾期付款总额每日【0.05】%向乙方支付违约金。</w:t>
      </w:r>
    </w:p>
    <w:p>
      <w:pPr>
        <w:adjustRightInd w:val="0"/>
        <w:snapToGrid w:val="0"/>
        <w:spacing w:line="276" w:lineRule="auto"/>
        <w:ind w:firstLine="420" w:firstLineChars="200"/>
        <w:rPr>
          <w:rFonts w:ascii="宋体" w:hAnsi="宋体"/>
          <w:szCs w:val="21"/>
        </w:rPr>
      </w:pPr>
      <w:r>
        <w:rPr>
          <w:rFonts w:hint="eastAsia" w:ascii="宋体" w:hAnsi="宋体"/>
          <w:szCs w:val="21"/>
        </w:rPr>
        <w:t xml:space="preserve">2. 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5】%的违约金，且全额没收乙方的履约保证金，如造成甲方损失超过违约金的，超出部分由乙方继续承担赔偿责任。 </w:t>
      </w:r>
    </w:p>
    <w:p>
      <w:pPr>
        <w:adjustRightInd w:val="0"/>
        <w:snapToGrid w:val="0"/>
        <w:spacing w:line="276" w:lineRule="auto"/>
        <w:ind w:firstLine="420" w:firstLineChars="200"/>
        <w:rPr>
          <w:rFonts w:ascii="宋体" w:hAnsi="宋体"/>
          <w:szCs w:val="21"/>
        </w:rPr>
      </w:pPr>
      <w:r>
        <w:rPr>
          <w:rFonts w:hint="eastAsia" w:ascii="宋体" w:hAnsi="宋体"/>
          <w:szCs w:val="21"/>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276" w:lineRule="auto"/>
        <w:ind w:firstLine="420" w:firstLineChars="200"/>
        <w:rPr>
          <w:rFonts w:ascii="宋体" w:hAnsi="宋体"/>
          <w:szCs w:val="21"/>
        </w:rPr>
      </w:pPr>
      <w:r>
        <w:rPr>
          <w:rFonts w:hint="eastAsia" w:ascii="宋体" w:hAnsi="宋体"/>
          <w:szCs w:val="21"/>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20" w:firstLineChars="200"/>
        <w:rPr>
          <w:rFonts w:ascii="宋体" w:hAnsi="宋体"/>
          <w:szCs w:val="21"/>
        </w:rPr>
      </w:pPr>
      <w:r>
        <w:rPr>
          <w:rFonts w:hint="eastAsia" w:ascii="宋体" w:hAnsi="宋体"/>
          <w:szCs w:val="21"/>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276" w:lineRule="auto"/>
        <w:ind w:firstLine="420" w:firstLineChars="200"/>
        <w:rPr>
          <w:rFonts w:ascii="宋体" w:hAnsi="宋体"/>
          <w:szCs w:val="21"/>
        </w:rPr>
      </w:pPr>
      <w:r>
        <w:rPr>
          <w:rFonts w:hint="eastAsia" w:ascii="宋体" w:hAnsi="宋体"/>
          <w:szCs w:val="21"/>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20" w:firstLineChars="200"/>
        <w:rPr>
          <w:rFonts w:ascii="宋体" w:hAnsi="宋体"/>
          <w:szCs w:val="21"/>
        </w:rPr>
      </w:pPr>
      <w:r>
        <w:rPr>
          <w:rFonts w:hint="eastAsia" w:ascii="宋体" w:hAnsi="宋体"/>
          <w:szCs w:val="21"/>
        </w:rPr>
        <w:t>7．对于本合同项下乙方应支付的赔偿款或违约金，甲方有权从应付乙方的货款及履约保证金中直接扣除，不足的部分，继续向乙方追偿。</w:t>
      </w:r>
    </w:p>
    <w:p>
      <w:pPr>
        <w:adjustRightInd w:val="0"/>
        <w:snapToGrid w:val="0"/>
        <w:spacing w:line="276" w:lineRule="auto"/>
        <w:ind w:firstLine="602"/>
        <w:outlineLvl w:val="0"/>
        <w:rPr>
          <w:rFonts w:ascii="宋体" w:hAnsi="宋体"/>
          <w:b/>
          <w:szCs w:val="21"/>
        </w:rPr>
      </w:pPr>
      <w:bookmarkStart w:id="120" w:name="_Toc9351391"/>
      <w:bookmarkStart w:id="121" w:name="_Toc23744"/>
      <w:r>
        <w:rPr>
          <w:rFonts w:hint="eastAsia" w:ascii="宋体" w:hAnsi="宋体"/>
          <w:b/>
          <w:szCs w:val="21"/>
        </w:rPr>
        <w:t>十四、不可抗力事件处理</w:t>
      </w:r>
      <w:bookmarkEnd w:id="120"/>
      <w:bookmarkEnd w:id="121"/>
    </w:p>
    <w:p>
      <w:pPr>
        <w:adjustRightInd w:val="0"/>
        <w:snapToGrid w:val="0"/>
        <w:spacing w:line="276" w:lineRule="auto"/>
        <w:ind w:firstLine="420" w:firstLineChars="200"/>
        <w:rPr>
          <w:rFonts w:ascii="宋体" w:hAnsi="宋体"/>
          <w:szCs w:val="21"/>
        </w:rPr>
      </w:pPr>
      <w:r>
        <w:rPr>
          <w:rFonts w:hint="eastAsia" w:ascii="宋体" w:hAnsi="宋体"/>
          <w:szCs w:val="21"/>
        </w:rPr>
        <w:t>1. 在合同有效期内，任何一方因不可抗力事件导致不能履行合同，则合同履行期可延长，其延长期与不可抗力影响期相同。</w:t>
      </w:r>
    </w:p>
    <w:p>
      <w:pPr>
        <w:adjustRightInd w:val="0"/>
        <w:snapToGrid w:val="0"/>
        <w:spacing w:line="276" w:lineRule="auto"/>
        <w:ind w:firstLine="420" w:firstLineChars="200"/>
        <w:rPr>
          <w:rFonts w:ascii="宋体" w:hAnsi="宋体"/>
          <w:szCs w:val="21"/>
        </w:rPr>
      </w:pPr>
      <w:r>
        <w:rPr>
          <w:rFonts w:hint="eastAsia" w:ascii="宋体" w:hAnsi="宋体"/>
          <w:szCs w:val="21"/>
        </w:rPr>
        <w:t>2. 不可抗力事件发生后，遭遇不可抗力的一方应立即通知对方，并寄送有关官方权威机构出具的证明。</w:t>
      </w:r>
    </w:p>
    <w:p>
      <w:pPr>
        <w:spacing w:line="276" w:lineRule="auto"/>
        <w:ind w:firstLine="399" w:firstLineChars="190"/>
        <w:rPr>
          <w:rFonts w:ascii="宋体" w:hAnsi="宋体"/>
          <w:szCs w:val="21"/>
        </w:rPr>
      </w:pPr>
      <w:r>
        <w:rPr>
          <w:rFonts w:hint="eastAsia" w:ascii="宋体" w:hAnsi="宋体"/>
          <w:szCs w:val="21"/>
        </w:rPr>
        <w:t>3. 不可抗力事件延续【140 】天以上，双方应通过友好协商，确定是否继续履行合同；协商无法达成一致的，本合同自动终止，双方互不承担赔偿或违约责任。</w:t>
      </w:r>
    </w:p>
    <w:p>
      <w:pPr>
        <w:adjustRightInd w:val="0"/>
        <w:snapToGrid w:val="0"/>
        <w:spacing w:line="276" w:lineRule="auto"/>
        <w:ind w:firstLine="211" w:firstLineChars="100"/>
        <w:rPr>
          <w:rFonts w:ascii="宋体" w:hAnsi="宋体"/>
          <w:b/>
          <w:szCs w:val="21"/>
        </w:rPr>
      </w:pPr>
      <w:r>
        <w:rPr>
          <w:rFonts w:hint="eastAsia" w:ascii="宋体" w:hAnsi="宋体"/>
          <w:b/>
          <w:szCs w:val="21"/>
        </w:rPr>
        <w:t>十五、争议解决</w:t>
      </w:r>
    </w:p>
    <w:p>
      <w:pPr>
        <w:adjustRightInd w:val="0"/>
        <w:snapToGrid w:val="0"/>
        <w:spacing w:line="276" w:lineRule="auto"/>
        <w:ind w:firstLine="420" w:firstLineChars="200"/>
        <w:rPr>
          <w:rFonts w:ascii="宋体" w:hAnsi="宋体"/>
          <w:szCs w:val="21"/>
        </w:rPr>
      </w:pPr>
      <w:r>
        <w:rPr>
          <w:rFonts w:hint="eastAsia" w:ascii="宋体" w:hAnsi="宋体"/>
          <w:szCs w:val="21"/>
        </w:rPr>
        <w:t>双方在执行合同中所发生的一切争议，应通过协商解决。如协商不成，由甲方所在地的人民法院管辖审理。</w:t>
      </w:r>
    </w:p>
    <w:p>
      <w:pPr>
        <w:adjustRightInd w:val="0"/>
        <w:snapToGrid w:val="0"/>
        <w:spacing w:line="276" w:lineRule="auto"/>
        <w:ind w:firstLine="422" w:firstLineChars="200"/>
        <w:rPr>
          <w:rFonts w:ascii="宋体" w:hAnsi="宋体"/>
          <w:b/>
          <w:szCs w:val="21"/>
        </w:rPr>
      </w:pPr>
      <w:r>
        <w:rPr>
          <w:rFonts w:hint="eastAsia" w:ascii="宋体" w:hAnsi="宋体"/>
          <w:b/>
          <w:szCs w:val="21"/>
        </w:rPr>
        <w:t>十六、合同组成文件包含下列内容，且解释顺序如下：</w:t>
      </w:r>
    </w:p>
    <w:p>
      <w:pPr>
        <w:adjustRightInd w:val="0"/>
        <w:snapToGrid w:val="0"/>
        <w:spacing w:line="276" w:lineRule="auto"/>
        <w:ind w:firstLine="420" w:firstLineChars="200"/>
        <w:rPr>
          <w:rFonts w:ascii="宋体" w:hAnsi="宋体"/>
          <w:szCs w:val="21"/>
        </w:rPr>
      </w:pPr>
      <w:r>
        <w:rPr>
          <w:rFonts w:hint="eastAsia" w:ascii="宋体" w:hAnsi="宋体"/>
          <w:szCs w:val="21"/>
        </w:rPr>
        <w:t>1.本合同协议书</w:t>
      </w:r>
    </w:p>
    <w:p>
      <w:pPr>
        <w:adjustRightInd w:val="0"/>
        <w:snapToGrid w:val="0"/>
        <w:spacing w:line="276" w:lineRule="auto"/>
        <w:ind w:firstLine="420" w:firstLineChars="200"/>
        <w:rPr>
          <w:rFonts w:ascii="宋体" w:hAnsi="宋体"/>
          <w:szCs w:val="21"/>
        </w:rPr>
      </w:pPr>
      <w:r>
        <w:rPr>
          <w:rFonts w:hint="eastAsia" w:ascii="宋体" w:hAnsi="宋体"/>
          <w:szCs w:val="21"/>
        </w:rPr>
        <w:t>2.中标通知书</w:t>
      </w:r>
    </w:p>
    <w:p>
      <w:pPr>
        <w:adjustRightInd w:val="0"/>
        <w:snapToGrid w:val="0"/>
        <w:spacing w:line="276" w:lineRule="auto"/>
        <w:ind w:firstLine="420" w:firstLineChars="200"/>
        <w:rPr>
          <w:rFonts w:ascii="宋体" w:hAnsi="宋体"/>
          <w:szCs w:val="21"/>
        </w:rPr>
      </w:pPr>
      <w:r>
        <w:rPr>
          <w:rFonts w:hint="eastAsia" w:ascii="宋体" w:hAnsi="宋体"/>
          <w:szCs w:val="21"/>
        </w:rPr>
        <w:t>3.投标书及其附件</w:t>
      </w:r>
    </w:p>
    <w:p>
      <w:pPr>
        <w:adjustRightInd w:val="0"/>
        <w:snapToGrid w:val="0"/>
        <w:spacing w:line="276" w:lineRule="auto"/>
        <w:ind w:firstLine="420" w:firstLineChars="200"/>
        <w:rPr>
          <w:rFonts w:ascii="宋体" w:hAnsi="宋体"/>
          <w:szCs w:val="21"/>
        </w:rPr>
      </w:pPr>
      <w:r>
        <w:rPr>
          <w:rFonts w:hint="eastAsia" w:ascii="宋体" w:hAnsi="宋体"/>
          <w:szCs w:val="21"/>
        </w:rPr>
        <w:t>4.招标文件</w:t>
      </w:r>
    </w:p>
    <w:p>
      <w:pPr>
        <w:adjustRightInd w:val="0"/>
        <w:snapToGrid w:val="0"/>
        <w:spacing w:line="276" w:lineRule="auto"/>
        <w:ind w:firstLine="420" w:firstLineChars="200"/>
        <w:rPr>
          <w:rFonts w:ascii="宋体" w:hAnsi="宋体"/>
          <w:szCs w:val="21"/>
        </w:rPr>
      </w:pPr>
      <w:r>
        <w:rPr>
          <w:rFonts w:hint="eastAsia" w:ascii="宋体" w:hAnsi="宋体"/>
          <w:szCs w:val="21"/>
        </w:rPr>
        <w:t>5.标准、规范及有关技术文件</w:t>
      </w:r>
    </w:p>
    <w:p>
      <w:pPr>
        <w:adjustRightInd w:val="0"/>
        <w:snapToGrid w:val="0"/>
        <w:spacing w:line="276" w:lineRule="auto"/>
        <w:ind w:firstLine="602"/>
        <w:outlineLvl w:val="0"/>
        <w:rPr>
          <w:rFonts w:ascii="宋体" w:hAnsi="宋体"/>
          <w:b/>
          <w:szCs w:val="21"/>
        </w:rPr>
      </w:pPr>
      <w:bookmarkStart w:id="122" w:name="_Toc17986"/>
      <w:bookmarkStart w:id="123" w:name="_Toc9351392"/>
      <w:r>
        <w:rPr>
          <w:rFonts w:hint="eastAsia" w:ascii="宋体" w:hAnsi="宋体"/>
          <w:b/>
          <w:szCs w:val="21"/>
        </w:rPr>
        <w:t>十七、合同生效及其它</w:t>
      </w:r>
      <w:bookmarkEnd w:id="122"/>
      <w:bookmarkEnd w:id="123"/>
    </w:p>
    <w:p>
      <w:pPr>
        <w:adjustRightInd w:val="0"/>
        <w:snapToGrid w:val="0"/>
        <w:spacing w:line="276" w:lineRule="auto"/>
        <w:ind w:firstLine="420" w:firstLineChars="200"/>
        <w:rPr>
          <w:rFonts w:ascii="宋体" w:hAnsi="宋体"/>
          <w:szCs w:val="21"/>
        </w:rPr>
      </w:pPr>
      <w:r>
        <w:rPr>
          <w:rFonts w:hint="eastAsia" w:ascii="宋体" w:hAnsi="宋体"/>
          <w:szCs w:val="21"/>
        </w:rPr>
        <w:t>1. 合同经双方法定代表人或授权代表签字（包含签章）并加盖单位公章或者合同章之日起生效。</w:t>
      </w:r>
    </w:p>
    <w:p>
      <w:pPr>
        <w:adjustRightInd w:val="0"/>
        <w:snapToGrid w:val="0"/>
        <w:spacing w:line="276" w:lineRule="auto"/>
        <w:ind w:firstLine="420" w:firstLineChars="200"/>
        <w:rPr>
          <w:rFonts w:ascii="宋体" w:hAnsi="宋体"/>
          <w:szCs w:val="21"/>
        </w:rPr>
      </w:pPr>
      <w:r>
        <w:rPr>
          <w:rFonts w:hint="eastAsia" w:ascii="宋体" w:hAnsi="宋体"/>
          <w:szCs w:val="21"/>
        </w:rPr>
        <w:t>2.本合同未尽事宜，双方可签订补充协议予以执行；未达成补充协议的，遵照《合同法》及有关法律法规执行。</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3.本合同一式陆份，甲执四份，乙方持二份，具有同等法律效力。</w:t>
      </w:r>
    </w:p>
    <w:p>
      <w:pPr>
        <w:adjustRightInd w:val="0"/>
        <w:snapToGrid w:val="0"/>
        <w:spacing w:line="276" w:lineRule="auto"/>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附件：（1）设备参数及详细配置表；（2）廉洁自律承诺书；（</w:t>
      </w:r>
      <w:r>
        <w:rPr>
          <w:rFonts w:ascii="宋体" w:hAnsi="宋体"/>
          <w:szCs w:val="21"/>
        </w:rPr>
        <w:t>3</w:t>
      </w:r>
      <w:r>
        <w:rPr>
          <w:rFonts w:hint="eastAsia" w:ascii="宋体" w:hAnsi="宋体"/>
          <w:szCs w:val="21"/>
        </w:rPr>
        <w:t>）保密承诺书 （4）安全文明施工协议书</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adjustRightInd w:val="0"/>
        <w:snapToGrid w:val="0"/>
        <w:spacing w:line="276" w:lineRule="auto"/>
        <w:ind w:left="3360" w:hanging="3360" w:hangingChars="1600"/>
        <w:rPr>
          <w:rFonts w:ascii="宋体" w:hAnsi="宋体"/>
          <w:szCs w:val="21"/>
        </w:rPr>
      </w:pPr>
      <w:r>
        <w:rPr>
          <w:rFonts w:hint="eastAsia" w:ascii="宋体" w:hAnsi="宋体"/>
          <w:szCs w:val="21"/>
        </w:rPr>
        <w:t>甲方：杭州萧山国际机场有限公司  乙方：</w:t>
      </w:r>
    </w:p>
    <w:p>
      <w:pPr>
        <w:adjustRightInd w:val="0"/>
        <w:snapToGrid w:val="0"/>
        <w:spacing w:line="276" w:lineRule="auto"/>
        <w:ind w:left="6750" w:hanging="6750"/>
        <w:rPr>
          <w:rFonts w:ascii="宋体" w:hAnsi="宋体"/>
          <w:szCs w:val="21"/>
        </w:rPr>
      </w:pPr>
      <w:r>
        <w:rPr>
          <w:rFonts w:hint="eastAsia" w:ascii="宋体" w:hAnsi="宋体"/>
          <w:szCs w:val="21"/>
        </w:rPr>
        <w:t>地址：杭州萧山国际机场内        地址：</w:t>
      </w:r>
    </w:p>
    <w:p>
      <w:pPr>
        <w:adjustRightInd w:val="0"/>
        <w:snapToGrid w:val="0"/>
        <w:spacing w:line="276" w:lineRule="auto"/>
        <w:ind w:left="6750" w:hanging="6750"/>
        <w:rPr>
          <w:rFonts w:ascii="宋体" w:hAnsi="宋体"/>
          <w:szCs w:val="21"/>
        </w:rPr>
      </w:pPr>
    </w:p>
    <w:p>
      <w:pPr>
        <w:adjustRightInd w:val="0"/>
        <w:snapToGrid w:val="0"/>
        <w:spacing w:line="276" w:lineRule="auto"/>
        <w:rPr>
          <w:rFonts w:ascii="宋体" w:hAnsi="宋体"/>
          <w:szCs w:val="21"/>
        </w:rPr>
      </w:pPr>
      <w:r>
        <w:rPr>
          <w:rFonts w:hint="eastAsia" w:ascii="宋体" w:hAnsi="宋体"/>
          <w:szCs w:val="21"/>
        </w:rPr>
        <w:t>法定代表人：                     法定代表人：</w:t>
      </w:r>
    </w:p>
    <w:p>
      <w:pPr>
        <w:adjustRightInd w:val="0"/>
        <w:snapToGrid w:val="0"/>
        <w:spacing w:line="276" w:lineRule="auto"/>
        <w:rPr>
          <w:rFonts w:ascii="宋体" w:hAnsi="宋体"/>
          <w:szCs w:val="21"/>
        </w:rPr>
      </w:pPr>
      <w:r>
        <w:rPr>
          <w:rFonts w:hint="eastAsia" w:ascii="宋体" w:hAnsi="宋体"/>
          <w:szCs w:val="21"/>
        </w:rPr>
        <w:t>或                               或</w:t>
      </w:r>
    </w:p>
    <w:p>
      <w:pPr>
        <w:adjustRightInd w:val="0"/>
        <w:snapToGrid w:val="0"/>
        <w:spacing w:line="276" w:lineRule="auto"/>
        <w:rPr>
          <w:rFonts w:ascii="宋体" w:hAnsi="宋体"/>
          <w:szCs w:val="21"/>
        </w:rPr>
      </w:pPr>
      <w:r>
        <w:rPr>
          <w:rFonts w:hint="eastAsia" w:ascii="宋体" w:hAnsi="宋体"/>
          <w:szCs w:val="21"/>
        </w:rPr>
        <w:t>授权代表：                       授权代表：</w:t>
      </w:r>
    </w:p>
    <w:p>
      <w:pPr>
        <w:adjustRightInd w:val="0"/>
        <w:snapToGrid w:val="0"/>
        <w:spacing w:line="276" w:lineRule="auto"/>
        <w:rPr>
          <w:rFonts w:ascii="宋体" w:hAnsi="宋体"/>
          <w:b/>
          <w:szCs w:val="21"/>
        </w:rPr>
      </w:pPr>
      <w:r>
        <w:rPr>
          <w:rFonts w:hint="eastAsia" w:ascii="宋体" w:hAnsi="宋体"/>
          <w:szCs w:val="21"/>
        </w:rPr>
        <w:t xml:space="preserve">签字日期：                       签字日期： </w:t>
      </w:r>
    </w:p>
    <w:p>
      <w:pPr>
        <w:adjustRightInd w:val="0"/>
        <w:snapToGrid w:val="0"/>
        <w:spacing w:line="276" w:lineRule="auto"/>
        <w:ind w:firstLine="420" w:firstLineChars="200"/>
        <w:rPr>
          <w:rFonts w:ascii="宋体" w:hAnsi="宋体"/>
          <w:b/>
          <w:szCs w:val="21"/>
        </w:rPr>
      </w:pPr>
      <w:r>
        <w:rPr>
          <w:rFonts w:hint="eastAsia" w:ascii="宋体" w:hAnsi="宋体"/>
          <w:szCs w:val="21"/>
        </w:rPr>
        <w:t>年  月  日                      年  月  日</w:t>
      </w:r>
    </w:p>
    <w:p>
      <w:pPr>
        <w:widowControl/>
        <w:jc w:val="left"/>
        <w:rPr>
          <w:rFonts w:ascii="宋体" w:hAnsi="宋体"/>
          <w:bCs/>
          <w:kern w:val="0"/>
          <w:sz w:val="22"/>
        </w:rPr>
      </w:pPr>
      <w:r>
        <w:rPr>
          <w:rFonts w:hAnsi="宋体" w:cs="Calibri"/>
          <w:bCs/>
          <w:sz w:val="22"/>
        </w:rPr>
        <w:br w:type="page"/>
      </w:r>
    </w:p>
    <w:p>
      <w:pPr>
        <w:widowControl/>
        <w:jc w:val="left"/>
        <w:rPr>
          <w:rFonts w:ascii="宋体" w:hAnsi="宋体"/>
          <w:bCs/>
          <w:kern w:val="0"/>
          <w:sz w:val="22"/>
        </w:rPr>
      </w:pPr>
    </w:p>
    <w:p>
      <w:pPr>
        <w:pStyle w:val="4"/>
        <w:spacing w:line="276" w:lineRule="auto"/>
        <w:rPr>
          <w:rFonts w:hAnsi="宋体" w:cs="Calibri"/>
          <w:bCs/>
          <w:sz w:val="22"/>
          <w:szCs w:val="22"/>
        </w:rPr>
      </w:pPr>
      <w:r>
        <w:rPr>
          <w:rFonts w:hint="eastAsia" w:hAnsi="宋体" w:cs="Calibri"/>
          <w:bCs/>
          <w:sz w:val="22"/>
          <w:szCs w:val="22"/>
        </w:rPr>
        <w:t>附件1:廉洁自律承诺书</w:t>
      </w:r>
    </w:p>
    <w:p>
      <w:pPr>
        <w:pStyle w:val="4"/>
        <w:spacing w:line="276" w:lineRule="auto"/>
        <w:ind w:firstLine="420"/>
        <w:rPr>
          <w:rFonts w:hAnsi="宋体" w:cs="Calibri"/>
          <w:bCs/>
          <w:sz w:val="22"/>
          <w:szCs w:val="22"/>
        </w:rPr>
      </w:pPr>
      <w:r>
        <w:rPr>
          <w:rFonts w:hint="eastAsia" w:hAnsi="宋体" w:cs="Calibri"/>
          <w:bCs/>
          <w:sz w:val="22"/>
          <w:szCs w:val="22"/>
        </w:rPr>
        <w:t>（内容此处略，详见第六章投标文件格式“十、廉洁自律承诺书”）</w:t>
      </w:r>
    </w:p>
    <w:p>
      <w:pPr>
        <w:pStyle w:val="4"/>
        <w:spacing w:line="276" w:lineRule="auto"/>
        <w:ind w:firstLine="420"/>
        <w:rPr>
          <w:rFonts w:hAnsi="宋体" w:cs="Calibri"/>
          <w:bCs/>
          <w:sz w:val="22"/>
          <w:szCs w:val="22"/>
        </w:rPr>
      </w:pPr>
    </w:p>
    <w:p>
      <w:pPr>
        <w:pStyle w:val="4"/>
        <w:spacing w:line="276" w:lineRule="auto"/>
        <w:rPr>
          <w:rFonts w:hAnsi="宋体" w:cs="Calibri"/>
          <w:bCs/>
          <w:sz w:val="22"/>
          <w:szCs w:val="22"/>
        </w:rPr>
      </w:pPr>
      <w:r>
        <w:rPr>
          <w:rFonts w:hint="eastAsia" w:hAnsi="宋体" w:cs="Calibri"/>
          <w:bCs/>
          <w:sz w:val="22"/>
          <w:szCs w:val="22"/>
        </w:rPr>
        <w:t>附件2：保密承诺书</w:t>
      </w:r>
    </w:p>
    <w:p>
      <w:pPr>
        <w:tabs>
          <w:tab w:val="left" w:pos="540"/>
        </w:tabs>
        <w:topLinePunct/>
        <w:spacing w:line="276" w:lineRule="auto"/>
        <w:ind w:firstLine="723"/>
        <w:jc w:val="center"/>
        <w:rPr>
          <w:rFonts w:ascii="宋体" w:hAnsi="宋体" w:cs="宋体"/>
          <w:b/>
          <w:sz w:val="22"/>
        </w:rPr>
      </w:pPr>
      <w:r>
        <w:rPr>
          <w:rFonts w:hint="eastAsia" w:ascii="宋体" w:hAnsi="宋体" w:cs="宋体"/>
          <w:b/>
          <w:sz w:val="22"/>
        </w:rPr>
        <w:t>保密承诺书</w:t>
      </w:r>
    </w:p>
    <w:p>
      <w:pPr>
        <w:pStyle w:val="4"/>
        <w:spacing w:line="276" w:lineRule="auto"/>
        <w:ind w:firstLine="420"/>
        <w:rPr>
          <w:rFonts w:hAnsi="宋体" w:cs="Calibri"/>
          <w:bCs/>
          <w:sz w:val="22"/>
          <w:szCs w:val="22"/>
        </w:rPr>
      </w:pPr>
      <w:r>
        <w:rPr>
          <w:rFonts w:hint="eastAsia" w:hAnsi="宋体" w:cs="Calibri"/>
          <w:bCs/>
          <w:sz w:val="22"/>
          <w:szCs w:val="22"/>
        </w:rPr>
        <w:t>鉴于我方愿成为杭州萧山国际机场有限公司（以下简称“机场公司”）的供应商或潜在供应商候选人，为机场公司提供【】项目的货物供应。在上述业务来往过程中，机场公司可能向我方提供经营、业务、服务等有关的文件、资料、软件等信息，为维护机场公司的利益，我方就保密事宜做出如下承诺：</w:t>
      </w:r>
    </w:p>
    <w:p>
      <w:pPr>
        <w:pStyle w:val="4"/>
        <w:spacing w:line="276" w:lineRule="auto"/>
        <w:ind w:firstLine="420"/>
        <w:rPr>
          <w:rFonts w:hAnsi="宋体" w:cs="Calibri"/>
          <w:bCs/>
          <w:sz w:val="22"/>
          <w:szCs w:val="22"/>
        </w:rPr>
      </w:pPr>
      <w:r>
        <w:rPr>
          <w:rFonts w:hint="eastAsia" w:hAnsi="宋体" w:cs="Calibri"/>
          <w:bCs/>
          <w:sz w:val="22"/>
          <w:szCs w:val="22"/>
        </w:rPr>
        <w:t>1.商业秘密</w:t>
      </w:r>
    </w:p>
    <w:p>
      <w:pPr>
        <w:pStyle w:val="4"/>
        <w:spacing w:line="276" w:lineRule="auto"/>
        <w:ind w:firstLine="420"/>
        <w:rPr>
          <w:rFonts w:hAnsi="宋体" w:cs="Calibri"/>
          <w:bCs/>
          <w:sz w:val="22"/>
          <w:szCs w:val="22"/>
        </w:rPr>
      </w:pPr>
      <w:r>
        <w:rPr>
          <w:rFonts w:hint="eastAsia" w:hAnsi="宋体" w:cs="Calibri"/>
          <w:bCs/>
          <w:sz w:val="22"/>
          <w:szCs w:val="22"/>
        </w:rPr>
        <w:t>1.1商业秘密是指机场公司（包括机场公司关联公司）一切专有、不对外公开的资料和信息。包括但不限于以下方面：</w:t>
      </w:r>
    </w:p>
    <w:p>
      <w:pPr>
        <w:pStyle w:val="4"/>
        <w:spacing w:line="276" w:lineRule="auto"/>
        <w:ind w:firstLine="420"/>
        <w:rPr>
          <w:rFonts w:hAnsi="宋体" w:cs="Calibri"/>
          <w:bCs/>
          <w:sz w:val="22"/>
          <w:szCs w:val="22"/>
        </w:rPr>
      </w:pPr>
      <w:r>
        <w:rPr>
          <w:rFonts w:hint="eastAsia" w:hAnsi="宋体" w:cs="Calibri"/>
          <w:bCs/>
          <w:sz w:val="22"/>
          <w:szCs w:val="22"/>
        </w:rPr>
        <w:t>（1）经营信息（发展规划、运营状况、客户资源、货源情报、投融资计划、开发计划、标书等）；</w:t>
      </w:r>
    </w:p>
    <w:p>
      <w:pPr>
        <w:pStyle w:val="4"/>
        <w:spacing w:line="276" w:lineRule="auto"/>
        <w:ind w:firstLine="420"/>
        <w:rPr>
          <w:rFonts w:hAnsi="宋体" w:cs="Calibri"/>
          <w:bCs/>
          <w:sz w:val="22"/>
          <w:szCs w:val="22"/>
        </w:rPr>
      </w:pPr>
      <w:r>
        <w:rPr>
          <w:rFonts w:hint="eastAsia" w:hAnsi="宋体" w:cs="Calibri"/>
          <w:bCs/>
          <w:sz w:val="22"/>
          <w:szCs w:val="22"/>
        </w:rPr>
        <w:t>（2）管理信息（管理方法、管理制度、员工管理、合同管理、纠纷管理等）；</w:t>
      </w:r>
    </w:p>
    <w:p>
      <w:pPr>
        <w:pStyle w:val="4"/>
        <w:spacing w:line="276" w:lineRule="auto"/>
        <w:ind w:firstLine="420"/>
        <w:rPr>
          <w:rFonts w:hAnsi="宋体" w:cs="Calibri"/>
          <w:bCs/>
          <w:sz w:val="22"/>
          <w:szCs w:val="22"/>
        </w:rPr>
      </w:pPr>
      <w:r>
        <w:rPr>
          <w:rFonts w:hint="eastAsia" w:hAnsi="宋体" w:cs="Calibri"/>
          <w:bCs/>
          <w:sz w:val="22"/>
          <w:szCs w:val="22"/>
        </w:rPr>
        <w:t>（3）产品及技术信息（设计及图纸、样品及服务、技术方案、质量标准、技术标准、计算机程序等）；</w:t>
      </w:r>
    </w:p>
    <w:p>
      <w:pPr>
        <w:pStyle w:val="4"/>
        <w:spacing w:line="276" w:lineRule="auto"/>
        <w:ind w:firstLine="420"/>
        <w:rPr>
          <w:rFonts w:hAnsi="宋体" w:cs="Calibri"/>
          <w:bCs/>
          <w:sz w:val="22"/>
          <w:szCs w:val="22"/>
        </w:rPr>
      </w:pPr>
      <w:r>
        <w:rPr>
          <w:rFonts w:hint="eastAsia" w:hAnsi="宋体" w:cs="Calibri"/>
          <w:bCs/>
          <w:sz w:val="22"/>
          <w:szCs w:val="22"/>
        </w:rPr>
        <w:t>（4）财务信息（财务收支、固定资产、流动资金、成本核算等）；</w:t>
      </w:r>
    </w:p>
    <w:p>
      <w:pPr>
        <w:pStyle w:val="4"/>
        <w:spacing w:line="276" w:lineRule="auto"/>
        <w:ind w:firstLine="420"/>
        <w:rPr>
          <w:rFonts w:hAnsi="宋体" w:cs="Calibri"/>
          <w:bCs/>
          <w:sz w:val="22"/>
          <w:szCs w:val="22"/>
        </w:rPr>
      </w:pPr>
      <w:r>
        <w:rPr>
          <w:rFonts w:hint="eastAsia" w:hAnsi="宋体" w:cs="Calibri"/>
          <w:bCs/>
          <w:sz w:val="22"/>
          <w:szCs w:val="22"/>
        </w:rPr>
        <w:t>（5）我方单独或机场公司（包括机场公司关联公司）和我方共同为机场公司开发、设计、生产的产品、资料及相关信息；</w:t>
      </w:r>
    </w:p>
    <w:p>
      <w:pPr>
        <w:pStyle w:val="4"/>
        <w:spacing w:line="276" w:lineRule="auto"/>
        <w:ind w:firstLine="420"/>
        <w:rPr>
          <w:rFonts w:hAnsi="宋体" w:cs="Calibri"/>
          <w:bCs/>
          <w:sz w:val="22"/>
          <w:szCs w:val="22"/>
        </w:rPr>
      </w:pPr>
      <w:r>
        <w:rPr>
          <w:rFonts w:hint="eastAsia" w:hAnsi="宋体" w:cs="Calibri"/>
          <w:bCs/>
          <w:sz w:val="22"/>
          <w:szCs w:val="22"/>
        </w:rPr>
        <w:t>（6）其他机场公司未对外公开的有关营运、计划、航班数据、标准、开发、生产、经营、质量管理控制和租赁的资料和数据等信息以及对供应商的管理文件。</w:t>
      </w:r>
    </w:p>
    <w:p>
      <w:pPr>
        <w:pStyle w:val="4"/>
        <w:spacing w:line="276" w:lineRule="auto"/>
        <w:ind w:firstLine="420"/>
        <w:rPr>
          <w:rFonts w:hAnsi="宋体" w:cs="Calibri"/>
          <w:bCs/>
          <w:sz w:val="22"/>
          <w:szCs w:val="22"/>
        </w:rPr>
      </w:pPr>
      <w:r>
        <w:rPr>
          <w:rFonts w:hint="eastAsia" w:hAnsi="宋体" w:cs="Calibri"/>
          <w:bCs/>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Style w:val="4"/>
        <w:spacing w:line="276" w:lineRule="auto"/>
        <w:ind w:firstLine="420"/>
        <w:rPr>
          <w:rFonts w:hAnsi="宋体" w:cs="Calibri"/>
          <w:bCs/>
          <w:sz w:val="22"/>
          <w:szCs w:val="22"/>
        </w:rPr>
      </w:pPr>
      <w:r>
        <w:rPr>
          <w:rFonts w:hint="eastAsia" w:hAnsi="宋体" w:cs="Calibri"/>
          <w:bCs/>
          <w:sz w:val="22"/>
          <w:szCs w:val="22"/>
        </w:rPr>
        <w:t>1.3、对于上述提及的商业秘密，不能仅因为公开发表的文章或资讯中包含其内容，就认为是可对外公开的特殊情况。</w:t>
      </w:r>
    </w:p>
    <w:p>
      <w:pPr>
        <w:pStyle w:val="4"/>
        <w:spacing w:line="276" w:lineRule="auto"/>
        <w:ind w:firstLine="420"/>
        <w:rPr>
          <w:rFonts w:hAnsi="宋体" w:cs="Calibri"/>
          <w:bCs/>
          <w:sz w:val="22"/>
          <w:szCs w:val="22"/>
        </w:rPr>
      </w:pPr>
      <w:r>
        <w:rPr>
          <w:rFonts w:hint="eastAsia" w:hAnsi="宋体" w:cs="Calibri"/>
          <w:bCs/>
          <w:sz w:val="22"/>
          <w:szCs w:val="22"/>
        </w:rPr>
        <w:t>1.4、以下资料不属于本承诺所指的商业秘密：</w:t>
      </w:r>
    </w:p>
    <w:p>
      <w:pPr>
        <w:pStyle w:val="4"/>
        <w:spacing w:line="276" w:lineRule="auto"/>
        <w:ind w:firstLine="420"/>
        <w:rPr>
          <w:rFonts w:hAnsi="宋体" w:cs="Calibri"/>
          <w:bCs/>
          <w:sz w:val="22"/>
          <w:szCs w:val="22"/>
        </w:rPr>
      </w:pPr>
      <w:r>
        <w:rPr>
          <w:rFonts w:hint="eastAsia" w:hAnsi="宋体" w:cs="Calibri"/>
          <w:bCs/>
          <w:sz w:val="22"/>
          <w:szCs w:val="22"/>
        </w:rPr>
        <w:t>（1）我方从机场公司拟获悉之前已持有的我方无需承担保密义务的机场公司有关资料(但通过其它违约或侵权行为而获得的资料除外)；</w:t>
      </w:r>
    </w:p>
    <w:p>
      <w:pPr>
        <w:pStyle w:val="4"/>
        <w:spacing w:line="276" w:lineRule="auto"/>
        <w:ind w:firstLine="420"/>
        <w:rPr>
          <w:rFonts w:hAnsi="宋体" w:cs="Calibri"/>
          <w:bCs/>
          <w:sz w:val="22"/>
          <w:szCs w:val="22"/>
        </w:rPr>
      </w:pPr>
      <w:r>
        <w:rPr>
          <w:rFonts w:hint="eastAsia" w:hAnsi="宋体" w:cs="Calibri"/>
          <w:bCs/>
          <w:sz w:val="22"/>
          <w:szCs w:val="22"/>
        </w:rPr>
        <w:t>（2）已经公开或已成为常识性的资料，且该等公开并非因违反本承诺所致。</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Style w:val="4"/>
        <w:spacing w:line="276" w:lineRule="auto"/>
        <w:ind w:firstLine="420"/>
        <w:rPr>
          <w:rFonts w:hAnsi="宋体" w:cs="Calibri"/>
          <w:bCs/>
          <w:sz w:val="22"/>
          <w:szCs w:val="22"/>
        </w:rPr>
      </w:pPr>
      <w:r>
        <w:rPr>
          <w:rFonts w:hint="eastAsia" w:hAnsi="宋体" w:cs="Calibri"/>
          <w:bCs/>
          <w:sz w:val="22"/>
          <w:szCs w:val="22"/>
        </w:rPr>
        <w:t>（1）披露、使用或者允许他人以不正当手段获取的商业秘密；</w:t>
      </w:r>
    </w:p>
    <w:p>
      <w:pPr>
        <w:pStyle w:val="4"/>
        <w:spacing w:line="276" w:lineRule="auto"/>
        <w:ind w:firstLine="420"/>
        <w:rPr>
          <w:rFonts w:hAnsi="宋体" w:cs="Calibri"/>
          <w:bCs/>
          <w:sz w:val="22"/>
          <w:szCs w:val="22"/>
        </w:rPr>
      </w:pPr>
      <w:r>
        <w:rPr>
          <w:rFonts w:hint="eastAsia" w:hAnsi="宋体" w:cs="Calibri"/>
          <w:bCs/>
          <w:sz w:val="22"/>
          <w:szCs w:val="22"/>
        </w:rPr>
        <w:t>（2）为机场公司以外的第三人窃取、刺探、收买、非法提供商业秘密。</w:t>
      </w:r>
    </w:p>
    <w:p>
      <w:pPr>
        <w:pStyle w:val="4"/>
        <w:spacing w:line="276" w:lineRule="auto"/>
        <w:ind w:firstLine="420"/>
        <w:rPr>
          <w:rFonts w:hAnsi="宋体" w:cs="Calibri"/>
          <w:bCs/>
          <w:sz w:val="22"/>
          <w:szCs w:val="22"/>
        </w:rPr>
      </w:pPr>
      <w:r>
        <w:rPr>
          <w:rFonts w:hint="eastAsia" w:hAnsi="宋体" w:cs="Calibri"/>
          <w:bCs/>
          <w:sz w:val="22"/>
          <w:szCs w:val="22"/>
        </w:rPr>
        <w:t>（3）在电子公告系统、聊天系统、电子邮箱、论坛等计算机网络系统上传递、转发、抄送、发布、谈论和传播商业秘密；</w:t>
      </w:r>
    </w:p>
    <w:p>
      <w:pPr>
        <w:pStyle w:val="4"/>
        <w:spacing w:line="276" w:lineRule="auto"/>
        <w:ind w:firstLine="420"/>
        <w:rPr>
          <w:rFonts w:hAnsi="宋体" w:cs="Calibri"/>
          <w:bCs/>
          <w:sz w:val="22"/>
          <w:szCs w:val="22"/>
        </w:rPr>
      </w:pPr>
      <w:r>
        <w:rPr>
          <w:rFonts w:hint="eastAsia" w:hAnsi="宋体" w:cs="Calibri"/>
          <w:bCs/>
          <w:sz w:val="22"/>
          <w:szCs w:val="22"/>
        </w:rPr>
        <w:t xml:space="preserve">（4）在私人交往和通信中，向亲属、朋友以及与工作无关人员泄露商业秘密，或在公共场所谈论商业秘密； </w:t>
      </w:r>
    </w:p>
    <w:p>
      <w:pPr>
        <w:pStyle w:val="4"/>
        <w:spacing w:line="276" w:lineRule="auto"/>
        <w:ind w:firstLine="420"/>
        <w:rPr>
          <w:rFonts w:hAnsi="宋体" w:cs="Calibri"/>
          <w:bCs/>
          <w:sz w:val="22"/>
          <w:szCs w:val="22"/>
        </w:rPr>
      </w:pPr>
      <w:r>
        <w:rPr>
          <w:rFonts w:hint="eastAsia" w:hAnsi="宋体" w:cs="Calibri"/>
          <w:bCs/>
          <w:sz w:val="22"/>
          <w:szCs w:val="22"/>
        </w:rPr>
        <w:t>（5）擅自将属于商业秘密的文件、资料和其他物品携带、传递、寄运出机场公司办公场所或国（境）外。</w:t>
      </w:r>
    </w:p>
    <w:p>
      <w:pPr>
        <w:pStyle w:val="4"/>
        <w:spacing w:line="276" w:lineRule="auto"/>
        <w:ind w:firstLine="420"/>
        <w:rPr>
          <w:rFonts w:hAnsi="宋体" w:cs="Calibri"/>
          <w:bCs/>
          <w:sz w:val="22"/>
          <w:szCs w:val="22"/>
        </w:rPr>
      </w:pPr>
      <w:r>
        <w:rPr>
          <w:rFonts w:hint="eastAsia" w:hAnsi="宋体" w:cs="Calibri"/>
          <w:bCs/>
          <w:sz w:val="22"/>
          <w:szCs w:val="22"/>
        </w:rPr>
        <w:t>（6）未经机场公司同意就以任何方式私自保存、截留含有机场公司商业秘密的任何形式资料、文件和物品的复印件、复制品、副本。</w:t>
      </w:r>
    </w:p>
    <w:p>
      <w:pPr>
        <w:pStyle w:val="4"/>
        <w:spacing w:line="276" w:lineRule="auto"/>
        <w:ind w:firstLine="420"/>
        <w:rPr>
          <w:rFonts w:hAnsi="宋体" w:cs="Calibri"/>
          <w:bCs/>
          <w:sz w:val="22"/>
          <w:szCs w:val="22"/>
        </w:rPr>
      </w:pPr>
      <w:r>
        <w:rPr>
          <w:rFonts w:hint="eastAsia" w:hAnsi="宋体" w:cs="Calibri"/>
          <w:bCs/>
          <w:sz w:val="22"/>
          <w:szCs w:val="22"/>
        </w:rPr>
        <w:t>（7）将含有机场公司商业秘密的产品、技术或其他资料、信息向第三人销售、使用或以任何方式提供。</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8、违约责任</w:t>
      </w:r>
    </w:p>
    <w:p>
      <w:pPr>
        <w:pStyle w:val="4"/>
        <w:spacing w:line="276" w:lineRule="auto"/>
        <w:ind w:firstLine="420"/>
        <w:rPr>
          <w:rFonts w:hAnsi="宋体" w:cs="Calibri"/>
          <w:bCs/>
          <w:sz w:val="22"/>
          <w:szCs w:val="22"/>
        </w:rPr>
      </w:pPr>
      <w:r>
        <w:rPr>
          <w:rFonts w:hint="eastAsia" w:hAnsi="宋体" w:cs="Calibri"/>
          <w:bCs/>
          <w:sz w:val="22"/>
          <w:szCs w:val="22"/>
        </w:rPr>
        <w:t>8.1因我方违反保密义务的行为造成机场公司的一切损失，我方应当全部予以赔偿。</w:t>
      </w:r>
    </w:p>
    <w:p>
      <w:pPr>
        <w:pStyle w:val="4"/>
        <w:spacing w:line="276" w:lineRule="auto"/>
        <w:ind w:firstLine="420"/>
        <w:rPr>
          <w:rFonts w:hAnsi="宋体" w:cs="Calibri"/>
          <w:bCs/>
          <w:sz w:val="22"/>
          <w:szCs w:val="22"/>
        </w:rPr>
      </w:pPr>
      <w:r>
        <w:rPr>
          <w:rFonts w:hint="eastAsia" w:hAnsi="宋体" w:cs="Calibri"/>
          <w:bCs/>
          <w:sz w:val="22"/>
          <w:szCs w:val="22"/>
        </w:rPr>
        <w:t>8.2如我方违反本承诺书下保密义务，应当承担违约责任，除赔偿损失外，还应依据合同向机场公司支付相应的违约金；</w:t>
      </w:r>
    </w:p>
    <w:p>
      <w:pPr>
        <w:pStyle w:val="4"/>
        <w:spacing w:line="276" w:lineRule="auto"/>
        <w:ind w:firstLine="420"/>
        <w:rPr>
          <w:rFonts w:hAnsi="宋体" w:cs="Calibri"/>
          <w:bCs/>
          <w:sz w:val="22"/>
          <w:szCs w:val="22"/>
        </w:rPr>
      </w:pPr>
      <w:r>
        <w:rPr>
          <w:rFonts w:hint="eastAsia" w:hAnsi="宋体" w:cs="Calibri"/>
          <w:bCs/>
          <w:sz w:val="22"/>
          <w:szCs w:val="22"/>
        </w:rPr>
        <w:t>9、本承诺书适用中华人民共和国法律，如因履行本承诺书发生争议，则双方均有权向机场公司所在地法院提起诉讼。</w:t>
      </w:r>
    </w:p>
    <w:p>
      <w:pPr>
        <w:pStyle w:val="4"/>
        <w:spacing w:line="276" w:lineRule="auto"/>
        <w:ind w:firstLine="3960" w:firstLineChars="1800"/>
        <w:rPr>
          <w:rFonts w:hAnsi="宋体" w:cs="Calibri"/>
          <w:bCs/>
          <w:sz w:val="22"/>
          <w:szCs w:val="22"/>
        </w:rPr>
      </w:pPr>
      <w:r>
        <w:rPr>
          <w:rFonts w:hint="eastAsia" w:hAnsi="宋体" w:cs="Calibri"/>
          <w:bCs/>
          <w:sz w:val="22"/>
          <w:szCs w:val="22"/>
        </w:rPr>
        <w:t>供应商(盖章):</w:t>
      </w:r>
    </w:p>
    <w:p>
      <w:pPr>
        <w:pStyle w:val="4"/>
        <w:spacing w:line="276" w:lineRule="auto"/>
        <w:ind w:firstLine="3960" w:firstLineChars="1800"/>
        <w:rPr>
          <w:rFonts w:hAnsi="宋体" w:cs="Calibri"/>
          <w:bCs/>
          <w:sz w:val="22"/>
          <w:szCs w:val="22"/>
        </w:rPr>
      </w:pPr>
      <w:r>
        <w:rPr>
          <w:rFonts w:hint="eastAsia" w:hAnsi="宋体" w:cs="Calibri"/>
          <w:bCs/>
          <w:sz w:val="22"/>
          <w:szCs w:val="22"/>
        </w:rPr>
        <w:t>法定代表人或授权代表：</w:t>
      </w:r>
    </w:p>
    <w:p>
      <w:pPr>
        <w:pStyle w:val="4"/>
        <w:spacing w:line="276" w:lineRule="auto"/>
        <w:ind w:firstLine="3960" w:firstLineChars="1800"/>
        <w:rPr>
          <w:rFonts w:hAnsi="宋体" w:cs="Calibri"/>
          <w:bCs/>
          <w:sz w:val="22"/>
          <w:szCs w:val="22"/>
        </w:rPr>
      </w:pPr>
      <w:r>
        <w:rPr>
          <w:rFonts w:hint="eastAsia" w:hAnsi="宋体" w:cs="Calibri"/>
          <w:bCs/>
          <w:sz w:val="22"/>
          <w:szCs w:val="22"/>
        </w:rPr>
        <w:t>电话/传真：</w:t>
      </w:r>
    </w:p>
    <w:p>
      <w:pPr>
        <w:pStyle w:val="4"/>
        <w:spacing w:line="276" w:lineRule="auto"/>
        <w:ind w:firstLine="3960" w:firstLineChars="1800"/>
        <w:rPr>
          <w:rFonts w:hAnsi="宋体" w:cs="Calibri"/>
          <w:bCs/>
          <w:sz w:val="22"/>
          <w:szCs w:val="22"/>
        </w:rPr>
      </w:pPr>
      <w:r>
        <w:rPr>
          <w:rFonts w:hint="eastAsia" w:hAnsi="宋体" w:cs="Calibri"/>
          <w:bCs/>
          <w:sz w:val="22"/>
          <w:szCs w:val="22"/>
        </w:rPr>
        <w:t>地址：</w:t>
      </w:r>
    </w:p>
    <w:p>
      <w:pPr>
        <w:spacing w:line="276" w:lineRule="auto"/>
        <w:ind w:firstLine="3960" w:firstLineChars="1800"/>
        <w:rPr>
          <w:rFonts w:ascii="宋体" w:hAnsi="宋体"/>
          <w:sz w:val="22"/>
        </w:rPr>
      </w:pPr>
      <w:r>
        <w:rPr>
          <w:rFonts w:hint="eastAsia" w:hAnsi="宋体" w:cs="Calibri"/>
          <w:bCs/>
          <w:sz w:val="22"/>
        </w:rPr>
        <w:t>日期：</w:t>
      </w:r>
      <w:r>
        <w:rPr>
          <w:rFonts w:hint="eastAsia" w:ascii="宋体" w:hAnsi="宋体"/>
          <w:sz w:val="22"/>
        </w:rPr>
        <w:t xml:space="preserve">     年  </w:t>
      </w:r>
      <w:r>
        <w:rPr>
          <w:rFonts w:hAnsi="宋体" w:cs="Calibri"/>
          <w:bCs/>
          <w:sz w:val="22"/>
        </w:rPr>
        <w:t xml:space="preserve"> </w:t>
      </w:r>
      <w:r>
        <w:rPr>
          <w:rFonts w:hint="eastAsia" w:ascii="宋体" w:hAnsi="宋体"/>
          <w:sz w:val="22"/>
        </w:rPr>
        <w:t xml:space="preserve">月  </w:t>
      </w:r>
      <w:r>
        <w:rPr>
          <w:rFonts w:hAnsi="宋体" w:cs="Calibri"/>
          <w:bCs/>
          <w:sz w:val="22"/>
        </w:rPr>
        <w:t xml:space="preserve"> </w:t>
      </w:r>
      <w:r>
        <w:rPr>
          <w:rFonts w:hint="eastAsia" w:ascii="宋体" w:hAnsi="宋体"/>
          <w:sz w:val="22"/>
        </w:rPr>
        <w:t>日</w:t>
      </w:r>
    </w:p>
    <w:p>
      <w:pPr>
        <w:widowControl/>
        <w:jc w:val="left"/>
        <w:rPr>
          <w:rFonts w:cs="仿宋_GB2312" w:asciiTheme="minorEastAsia" w:hAnsiTheme="minorEastAsia"/>
          <w:szCs w:val="21"/>
        </w:rPr>
      </w:pPr>
      <w:r>
        <w:rPr>
          <w:rFonts w:ascii="宋体" w:hAnsi="宋体"/>
          <w:sz w:val="22"/>
        </w:rPr>
        <w:br w:type="page"/>
      </w:r>
      <w:r>
        <w:rPr>
          <w:rFonts w:hint="eastAsia" w:cs="仿宋_GB2312" w:asciiTheme="minorEastAsia" w:hAnsiTheme="minorEastAsia"/>
          <w:szCs w:val="21"/>
        </w:rPr>
        <w:t>附件3：</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宋体" w:hAnsi="宋体"/>
          <w:b/>
          <w:sz w:val="22"/>
        </w:rPr>
      </w:pPr>
      <w:r>
        <w:rPr>
          <w:rFonts w:hint="eastAsia" w:ascii="宋体" w:hAnsi="宋体"/>
          <w:b/>
          <w:sz w:val="22"/>
        </w:rPr>
        <w:t>发包人（甲方）：</w:t>
      </w:r>
      <w:r>
        <w:rPr>
          <w:rFonts w:hint="eastAsia" w:ascii="宋体" w:hAnsi="宋体"/>
          <w:b/>
          <w:sz w:val="22"/>
          <w:u w:val="single"/>
        </w:rPr>
        <w:t>杭州萧山国际机场有限公司</w:t>
      </w:r>
    </w:p>
    <w:p>
      <w:pPr>
        <w:spacing w:line="360" w:lineRule="exact"/>
        <w:rPr>
          <w:rFonts w:ascii="宋体" w:hAnsi="宋体"/>
          <w:b/>
          <w:sz w:val="22"/>
          <w:u w:val="single"/>
        </w:rPr>
      </w:pPr>
      <w:r>
        <w:rPr>
          <w:rFonts w:hint="eastAsia" w:ascii="宋体" w:hAnsi="宋体"/>
          <w:b/>
          <w:sz w:val="22"/>
        </w:rPr>
        <w:t>承包人（乙方）：</w:t>
      </w:r>
      <w:r>
        <w:rPr>
          <w:rFonts w:ascii="宋体" w:hAnsi="宋体" w:cs="Calibri"/>
          <w:b/>
          <w:sz w:val="22"/>
          <w:u w:val="single"/>
        </w:rPr>
        <w:t xml:space="preserve"> </w:t>
      </w:r>
      <w:r>
        <w:rPr>
          <w:rFonts w:hint="eastAsia" w:ascii="宋体" w:hAnsi="宋体" w:cs="Calibri"/>
          <w:b/>
          <w:sz w:val="22"/>
          <w:u w:val="single"/>
        </w:rPr>
        <w:t xml:space="preserve"> </w:t>
      </w:r>
      <w:r>
        <w:rPr>
          <w:rFonts w:ascii="宋体" w:hAnsi="宋体" w:cs="Calibri"/>
          <w:b/>
          <w:sz w:val="22"/>
          <w:u w:val="single"/>
        </w:rPr>
        <w:t xml:space="preserve">                  </w:t>
      </w:r>
    </w:p>
    <w:p>
      <w:pPr>
        <w:spacing w:line="360" w:lineRule="exact"/>
        <w:ind w:firstLine="440" w:firstLineChars="200"/>
        <w:rPr>
          <w:rFonts w:ascii="宋体" w:hAnsi="宋体"/>
          <w:sz w:val="22"/>
        </w:rPr>
      </w:pPr>
      <w:r>
        <w:rPr>
          <w:rFonts w:ascii="宋体" w:hAnsi="宋体"/>
          <w:sz w:val="22"/>
        </w:rPr>
        <w:t>为确保</w:t>
      </w:r>
      <w:r>
        <w:rPr>
          <w:rFonts w:hint="eastAsia" w:ascii="宋体" w:hAnsi="宋体"/>
          <w:b/>
          <w:sz w:val="22"/>
          <w:u w:val="single"/>
        </w:rPr>
        <w:t xml:space="preserve">杭州萧山国际机场 </w:t>
      </w:r>
      <w:r>
        <w:rPr>
          <w:rFonts w:ascii="宋体" w:hAnsi="宋体"/>
          <w:b/>
          <w:sz w:val="22"/>
          <w:u w:val="single"/>
        </w:rPr>
        <w:t xml:space="preserve">                    </w:t>
      </w:r>
      <w:r>
        <w:rPr>
          <w:rFonts w:ascii="宋体" w:hAnsi="宋体"/>
          <w:sz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宋体" w:hAnsi="宋体"/>
          <w:bCs/>
          <w:sz w:val="22"/>
        </w:rPr>
      </w:pPr>
      <w:r>
        <w:rPr>
          <w:rFonts w:ascii="宋体" w:hAnsi="宋体"/>
          <w:b/>
          <w:sz w:val="22"/>
        </w:rPr>
        <w:t>一、甲方对乙方实行安全目标管理，安全目标的具体内容是</w:t>
      </w:r>
      <w:r>
        <w:rPr>
          <w:rFonts w:ascii="宋体" w:hAnsi="宋体"/>
          <w:sz w:val="22"/>
        </w:rPr>
        <w:t>：</w:t>
      </w:r>
    </w:p>
    <w:p>
      <w:pPr>
        <w:spacing w:line="360" w:lineRule="exact"/>
        <w:ind w:firstLine="440" w:firstLineChars="200"/>
        <w:rPr>
          <w:rFonts w:ascii="宋体" w:hAnsi="宋体"/>
          <w:sz w:val="22"/>
        </w:rPr>
      </w:pPr>
      <w:r>
        <w:rPr>
          <w:rFonts w:ascii="宋体" w:hAnsi="宋体"/>
          <w:sz w:val="22"/>
        </w:rPr>
        <w:t>1、无死亡事故和重大伤害事故(含道路交通事故)。</w:t>
      </w:r>
    </w:p>
    <w:p>
      <w:pPr>
        <w:spacing w:line="360" w:lineRule="exact"/>
        <w:ind w:firstLine="440" w:firstLineChars="200"/>
        <w:rPr>
          <w:rFonts w:ascii="宋体" w:hAnsi="宋体"/>
          <w:sz w:val="22"/>
        </w:rPr>
      </w:pPr>
      <w:r>
        <w:rPr>
          <w:rFonts w:ascii="宋体" w:hAnsi="宋体"/>
          <w:sz w:val="22"/>
        </w:rPr>
        <w:t>2、无重大责任事故。</w:t>
      </w:r>
    </w:p>
    <w:p>
      <w:pPr>
        <w:spacing w:line="360" w:lineRule="exact"/>
        <w:ind w:firstLine="440" w:firstLineChars="200"/>
        <w:rPr>
          <w:rFonts w:ascii="宋体" w:hAnsi="宋体"/>
          <w:sz w:val="22"/>
        </w:rPr>
      </w:pPr>
      <w:r>
        <w:rPr>
          <w:rFonts w:ascii="宋体" w:hAnsi="宋体"/>
          <w:sz w:val="22"/>
        </w:rPr>
        <w:t>3、无空防安全事故。</w:t>
      </w:r>
    </w:p>
    <w:p>
      <w:pPr>
        <w:spacing w:line="360" w:lineRule="exact"/>
        <w:ind w:firstLine="440" w:firstLineChars="200"/>
        <w:rPr>
          <w:rFonts w:ascii="宋体" w:hAnsi="宋体"/>
          <w:sz w:val="22"/>
        </w:rPr>
      </w:pPr>
      <w:r>
        <w:rPr>
          <w:rFonts w:ascii="宋体" w:hAnsi="宋体"/>
          <w:sz w:val="22"/>
        </w:rPr>
        <w:t>4、无七类重大刑事案件(杀人、绑架、强奸、放火、爆炸、劫持、故意伤害致死)及其它严重、恶性案件。</w:t>
      </w:r>
    </w:p>
    <w:p>
      <w:pPr>
        <w:spacing w:line="360" w:lineRule="exact"/>
        <w:ind w:firstLine="440" w:firstLineChars="200"/>
        <w:rPr>
          <w:rFonts w:ascii="宋体" w:hAnsi="宋体"/>
          <w:sz w:val="22"/>
        </w:rPr>
      </w:pPr>
      <w:r>
        <w:rPr>
          <w:rFonts w:ascii="宋体" w:hAnsi="宋体"/>
          <w:sz w:val="22"/>
        </w:rPr>
        <w:t>上述情况的认定按国家和行业的有关规定和标准执行。</w:t>
      </w:r>
    </w:p>
    <w:p>
      <w:pPr>
        <w:spacing w:line="360" w:lineRule="exact"/>
        <w:ind w:firstLine="442" w:firstLineChars="200"/>
        <w:rPr>
          <w:rFonts w:ascii="宋体" w:hAnsi="宋体"/>
          <w:b/>
          <w:sz w:val="22"/>
        </w:rPr>
      </w:pPr>
      <w:r>
        <w:rPr>
          <w:rFonts w:ascii="宋体" w:hAnsi="宋体"/>
          <w:b/>
          <w:sz w:val="22"/>
        </w:rPr>
        <w:t>二、甲方的协助责任和权利</w:t>
      </w:r>
    </w:p>
    <w:p>
      <w:pPr>
        <w:spacing w:line="360" w:lineRule="exact"/>
        <w:ind w:firstLine="440" w:firstLineChars="200"/>
        <w:rPr>
          <w:rFonts w:ascii="宋体" w:hAnsi="宋体"/>
          <w:sz w:val="22"/>
        </w:rPr>
      </w:pPr>
      <w:r>
        <w:rPr>
          <w:rFonts w:ascii="宋体" w:hAnsi="宋体"/>
          <w:sz w:val="22"/>
        </w:rPr>
        <w:t xml:space="preserve">5、不得对乙方提出违反国家法律、法规和强制性标准规定的要求。 </w:t>
      </w:r>
    </w:p>
    <w:p>
      <w:pPr>
        <w:spacing w:line="360" w:lineRule="exact"/>
        <w:ind w:firstLine="440" w:firstLineChars="200"/>
        <w:rPr>
          <w:rFonts w:ascii="宋体" w:hAnsi="宋体"/>
          <w:sz w:val="22"/>
        </w:rPr>
      </w:pPr>
      <w:r>
        <w:rPr>
          <w:rFonts w:ascii="宋体" w:hAnsi="宋体"/>
          <w:sz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宋体" w:hAnsi="宋体"/>
          <w:sz w:val="22"/>
        </w:rPr>
      </w:pPr>
      <w:r>
        <w:rPr>
          <w:rFonts w:ascii="宋体" w:hAnsi="宋体"/>
          <w:sz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宋体" w:hAnsi="宋体"/>
          <w:sz w:val="22"/>
        </w:rPr>
      </w:pPr>
      <w:r>
        <w:rPr>
          <w:rFonts w:ascii="宋体" w:hAnsi="宋体"/>
          <w:sz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宋体" w:hAnsi="宋体"/>
          <w:sz w:val="22"/>
        </w:rPr>
      </w:pPr>
      <w:r>
        <w:rPr>
          <w:rFonts w:ascii="宋体" w:hAnsi="宋体"/>
          <w:sz w:val="22"/>
        </w:rPr>
        <w:t>9、利用施工例会定期分析和掌握施工单位的治安情况，通报当前治安形势，交流工作经验，协助处理相关问题。</w:t>
      </w:r>
    </w:p>
    <w:p>
      <w:pPr>
        <w:spacing w:line="360" w:lineRule="exact"/>
        <w:ind w:firstLine="440" w:firstLineChars="200"/>
        <w:rPr>
          <w:rFonts w:ascii="宋体" w:hAnsi="宋体"/>
          <w:sz w:val="22"/>
        </w:rPr>
      </w:pPr>
      <w:r>
        <w:rPr>
          <w:rFonts w:ascii="宋体" w:hAnsi="宋体"/>
          <w:sz w:val="22"/>
        </w:rPr>
        <w:t>10、乙方拒不按照本协议条款规定组织安全文明施工的，甲方有权责令乙方停工整改直至终止合同。</w:t>
      </w:r>
    </w:p>
    <w:p>
      <w:pPr>
        <w:spacing w:line="360" w:lineRule="exact"/>
        <w:ind w:firstLine="440" w:firstLineChars="200"/>
        <w:rPr>
          <w:rFonts w:ascii="宋体" w:hAnsi="宋体"/>
          <w:sz w:val="22"/>
        </w:rPr>
      </w:pPr>
      <w:r>
        <w:rPr>
          <w:rFonts w:ascii="宋体" w:hAnsi="宋体"/>
          <w:sz w:val="22"/>
        </w:rPr>
        <w:t>11、甲方有权对乙方各项安全工作进行监督、检查。</w:t>
      </w:r>
    </w:p>
    <w:p>
      <w:pPr>
        <w:spacing w:line="360" w:lineRule="exact"/>
        <w:ind w:firstLine="440" w:firstLineChars="200"/>
        <w:rPr>
          <w:rFonts w:ascii="宋体" w:hAnsi="宋体"/>
          <w:sz w:val="22"/>
        </w:rPr>
      </w:pPr>
      <w:r>
        <w:rPr>
          <w:rFonts w:ascii="宋体" w:hAnsi="宋体"/>
          <w:sz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宋体" w:hAnsi="宋体"/>
          <w:b/>
          <w:sz w:val="22"/>
        </w:rPr>
      </w:pPr>
      <w:r>
        <w:rPr>
          <w:rFonts w:ascii="宋体" w:hAnsi="宋体"/>
          <w:b/>
          <w:sz w:val="22"/>
        </w:rPr>
        <w:t>三、乙方的安全责任和权利</w:t>
      </w:r>
    </w:p>
    <w:p>
      <w:pPr>
        <w:spacing w:line="360" w:lineRule="exact"/>
        <w:ind w:firstLine="440" w:firstLineChars="200"/>
        <w:rPr>
          <w:rFonts w:ascii="宋体" w:hAnsi="宋体"/>
          <w:sz w:val="22"/>
        </w:rPr>
      </w:pPr>
      <w:r>
        <w:rPr>
          <w:rFonts w:ascii="宋体" w:hAnsi="宋体"/>
          <w:sz w:val="22"/>
        </w:rPr>
        <w:t>（一）乙方应从事的施工安全管理</w:t>
      </w:r>
    </w:p>
    <w:p>
      <w:pPr>
        <w:spacing w:line="360" w:lineRule="exact"/>
        <w:ind w:firstLine="440" w:firstLineChars="200"/>
        <w:rPr>
          <w:rFonts w:ascii="宋体" w:hAnsi="宋体"/>
          <w:sz w:val="22"/>
        </w:rPr>
      </w:pPr>
      <w:r>
        <w:rPr>
          <w:rFonts w:ascii="宋体" w:hAnsi="宋体"/>
          <w:sz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宋体" w:hAnsi="宋体"/>
          <w:sz w:val="22"/>
        </w:rPr>
      </w:pPr>
      <w:r>
        <w:rPr>
          <w:rFonts w:ascii="宋体" w:hAnsi="宋体"/>
          <w:sz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宋体" w:hAnsi="宋体"/>
          <w:sz w:val="22"/>
        </w:rPr>
      </w:pPr>
      <w:r>
        <w:rPr>
          <w:rFonts w:ascii="宋体" w:hAnsi="宋体"/>
          <w:sz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宋体" w:hAnsi="宋体"/>
          <w:sz w:val="22"/>
        </w:rPr>
      </w:pPr>
      <w:r>
        <w:rPr>
          <w:rFonts w:ascii="宋体" w:hAnsi="宋体"/>
          <w:sz w:val="22"/>
        </w:rPr>
        <w:t xml:space="preserve">16、对安全作业环境建设及安全施工措施制定、实行所需的费用，应当列入建设工程预算，专款专用，不得挪作他用。 </w:t>
      </w:r>
    </w:p>
    <w:p>
      <w:pPr>
        <w:spacing w:line="360" w:lineRule="exact"/>
        <w:ind w:firstLine="440" w:firstLineChars="200"/>
        <w:rPr>
          <w:rFonts w:ascii="宋体" w:hAnsi="宋体"/>
          <w:sz w:val="22"/>
        </w:rPr>
      </w:pPr>
      <w:r>
        <w:rPr>
          <w:rFonts w:ascii="宋体" w:hAnsi="宋体"/>
          <w:sz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宋体" w:hAnsi="宋体"/>
          <w:sz w:val="22"/>
        </w:rPr>
      </w:pPr>
      <w:r>
        <w:rPr>
          <w:rFonts w:ascii="宋体" w:hAnsi="宋体"/>
          <w:sz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宋体" w:hAnsi="宋体"/>
          <w:sz w:val="22"/>
        </w:rPr>
      </w:pPr>
      <w:r>
        <w:rPr>
          <w:rFonts w:ascii="宋体" w:hAnsi="宋体"/>
          <w:sz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宋体" w:hAnsi="宋体"/>
          <w:sz w:val="22"/>
        </w:rPr>
      </w:pPr>
      <w:r>
        <w:rPr>
          <w:rFonts w:ascii="宋体" w:hAnsi="宋体"/>
          <w:sz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宋体" w:hAnsi="宋体"/>
          <w:sz w:val="22"/>
        </w:rPr>
      </w:pPr>
      <w:r>
        <w:rPr>
          <w:rFonts w:ascii="宋体" w:hAnsi="宋体"/>
          <w:sz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宋体" w:hAnsi="宋体"/>
          <w:sz w:val="22"/>
        </w:rPr>
      </w:pPr>
      <w:r>
        <w:rPr>
          <w:rFonts w:ascii="宋体" w:hAnsi="宋体"/>
          <w:sz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宋体" w:hAnsi="宋体"/>
          <w:sz w:val="22"/>
        </w:rPr>
      </w:pPr>
      <w:r>
        <w:rPr>
          <w:rFonts w:ascii="宋体" w:hAnsi="宋体"/>
          <w:sz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宋体" w:hAnsi="宋体"/>
          <w:sz w:val="22"/>
        </w:rPr>
      </w:pPr>
      <w:r>
        <w:rPr>
          <w:rFonts w:ascii="宋体" w:hAnsi="宋体"/>
          <w:sz w:val="22"/>
        </w:rPr>
        <w:t xml:space="preserve">24、在采用新技术、新工艺、新设备、新材料时，应当对作业人员进行相应的安全生产教育培训。 </w:t>
      </w:r>
    </w:p>
    <w:p>
      <w:pPr>
        <w:spacing w:line="360" w:lineRule="exact"/>
        <w:ind w:firstLine="440" w:firstLineChars="200"/>
        <w:rPr>
          <w:rFonts w:ascii="宋体" w:hAnsi="宋体"/>
          <w:sz w:val="22"/>
        </w:rPr>
      </w:pPr>
      <w:r>
        <w:rPr>
          <w:rFonts w:ascii="宋体" w:hAnsi="宋体"/>
          <w:sz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宋体" w:hAnsi="宋体"/>
          <w:sz w:val="22"/>
        </w:rPr>
      </w:pPr>
      <w:r>
        <w:rPr>
          <w:rFonts w:ascii="宋体" w:hAnsi="宋体"/>
          <w:sz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宋体" w:hAnsi="宋体"/>
          <w:sz w:val="22"/>
        </w:rPr>
      </w:pPr>
      <w:r>
        <w:rPr>
          <w:rFonts w:ascii="宋体" w:hAnsi="宋体"/>
          <w:sz w:val="22"/>
        </w:rPr>
        <w:t>（二）乙方应从事的空防安全管理</w:t>
      </w:r>
    </w:p>
    <w:p>
      <w:pPr>
        <w:spacing w:line="360" w:lineRule="exact"/>
        <w:ind w:firstLine="440" w:firstLineChars="200"/>
        <w:rPr>
          <w:rFonts w:ascii="宋体" w:hAnsi="宋体"/>
          <w:sz w:val="22"/>
        </w:rPr>
      </w:pPr>
      <w:r>
        <w:rPr>
          <w:rFonts w:ascii="宋体" w:hAnsi="宋体"/>
          <w:sz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宋体" w:hAnsi="宋体"/>
          <w:sz w:val="22"/>
        </w:rPr>
      </w:pPr>
      <w:r>
        <w:rPr>
          <w:rFonts w:ascii="宋体" w:hAnsi="宋体"/>
          <w:sz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宋体" w:hAnsi="宋体"/>
          <w:sz w:val="22"/>
        </w:rPr>
      </w:pPr>
      <w:r>
        <w:rPr>
          <w:rFonts w:ascii="宋体" w:hAnsi="宋体"/>
          <w:sz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宋体" w:hAnsi="宋体"/>
          <w:sz w:val="22"/>
        </w:rPr>
      </w:pPr>
      <w:r>
        <w:rPr>
          <w:rFonts w:ascii="宋体" w:hAnsi="宋体"/>
          <w:sz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宋体" w:hAnsi="宋体"/>
          <w:sz w:val="22"/>
        </w:rPr>
      </w:pPr>
      <w:r>
        <w:rPr>
          <w:rFonts w:ascii="宋体" w:hAnsi="宋体"/>
          <w:sz w:val="22"/>
        </w:rPr>
        <w:t>（三）乙方应从事的不停航施工项目安全管理</w:t>
      </w:r>
    </w:p>
    <w:p>
      <w:pPr>
        <w:spacing w:line="360" w:lineRule="exact"/>
        <w:ind w:firstLine="440" w:firstLineChars="200"/>
        <w:rPr>
          <w:rFonts w:ascii="宋体" w:hAnsi="宋体"/>
          <w:sz w:val="22"/>
        </w:rPr>
      </w:pPr>
      <w:r>
        <w:rPr>
          <w:rFonts w:ascii="宋体" w:hAnsi="宋体"/>
          <w:sz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宋体" w:hAnsi="宋体"/>
          <w:sz w:val="22"/>
        </w:rPr>
      </w:pPr>
      <w:r>
        <w:rPr>
          <w:rFonts w:ascii="宋体" w:hAnsi="宋体"/>
          <w:sz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宋体" w:hAnsi="宋体"/>
          <w:sz w:val="22"/>
        </w:rPr>
      </w:pPr>
      <w:r>
        <w:rPr>
          <w:rFonts w:ascii="宋体" w:hAnsi="宋体"/>
          <w:sz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宋体" w:hAnsi="宋体"/>
          <w:sz w:val="22"/>
        </w:rPr>
      </w:pPr>
      <w:r>
        <w:rPr>
          <w:rFonts w:ascii="宋体" w:hAnsi="宋体"/>
          <w:sz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宋体" w:hAnsi="宋体"/>
          <w:sz w:val="22"/>
        </w:rPr>
      </w:pPr>
      <w:r>
        <w:rPr>
          <w:rFonts w:ascii="宋体" w:hAnsi="宋体"/>
          <w:sz w:val="22"/>
        </w:rPr>
        <w:t xml:space="preserve">（四）乙方的文明施工责任 </w:t>
      </w:r>
    </w:p>
    <w:p>
      <w:pPr>
        <w:spacing w:line="360" w:lineRule="exact"/>
        <w:ind w:firstLine="440" w:firstLineChars="200"/>
        <w:rPr>
          <w:rFonts w:ascii="宋体" w:hAnsi="宋体"/>
          <w:sz w:val="22"/>
        </w:rPr>
      </w:pPr>
      <w:r>
        <w:rPr>
          <w:rFonts w:ascii="宋体" w:hAnsi="宋体"/>
          <w:sz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宋体" w:hAnsi="宋体"/>
          <w:sz w:val="22"/>
        </w:rPr>
      </w:pPr>
      <w:r>
        <w:rPr>
          <w:rFonts w:ascii="宋体" w:hAnsi="宋体"/>
          <w:sz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宋体" w:hAnsi="宋体"/>
          <w:sz w:val="22"/>
        </w:rPr>
      </w:pPr>
      <w:r>
        <w:rPr>
          <w:rFonts w:ascii="宋体" w:hAnsi="宋体"/>
          <w:sz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宋体" w:hAnsi="宋体"/>
          <w:sz w:val="22"/>
        </w:rPr>
      </w:pPr>
      <w:r>
        <w:rPr>
          <w:rFonts w:ascii="宋体" w:hAnsi="宋体"/>
          <w:sz w:val="22"/>
        </w:rPr>
        <w:t>（五）乙方应从事的社会治安综合治理</w:t>
      </w:r>
    </w:p>
    <w:p>
      <w:pPr>
        <w:spacing w:line="360" w:lineRule="exact"/>
        <w:ind w:firstLine="440" w:firstLineChars="200"/>
        <w:rPr>
          <w:rFonts w:ascii="宋体" w:hAnsi="宋体"/>
          <w:sz w:val="22"/>
        </w:rPr>
      </w:pPr>
      <w:r>
        <w:rPr>
          <w:rFonts w:ascii="宋体" w:hAnsi="宋体"/>
          <w:sz w:val="22"/>
        </w:rPr>
        <w:t>38、做好内部的治安防范工作，对重要部位和物资，要落实人防、物防和技防的措施，积极配合公安机关组织的治安联防活动。</w:t>
      </w:r>
    </w:p>
    <w:p>
      <w:pPr>
        <w:spacing w:line="360" w:lineRule="exact"/>
        <w:ind w:firstLine="440" w:firstLineChars="200"/>
        <w:rPr>
          <w:rFonts w:ascii="宋体" w:hAnsi="宋体"/>
          <w:sz w:val="22"/>
        </w:rPr>
      </w:pPr>
      <w:r>
        <w:rPr>
          <w:rFonts w:ascii="宋体" w:hAnsi="宋体"/>
          <w:sz w:val="22"/>
        </w:rPr>
        <w:t>39、认真排查、调处各类矛盾，及时消除隐患，杜绝各类社会矛盾引发的群体性事件的发生。</w:t>
      </w:r>
    </w:p>
    <w:p>
      <w:pPr>
        <w:spacing w:line="360" w:lineRule="exact"/>
        <w:ind w:firstLine="440" w:firstLineChars="200"/>
        <w:rPr>
          <w:rFonts w:ascii="宋体" w:hAnsi="宋体"/>
          <w:sz w:val="22"/>
        </w:rPr>
      </w:pPr>
      <w:r>
        <w:rPr>
          <w:rFonts w:ascii="宋体" w:hAnsi="宋体"/>
          <w:sz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宋体" w:hAnsi="宋体"/>
          <w:sz w:val="22"/>
        </w:rPr>
      </w:pPr>
      <w:r>
        <w:rPr>
          <w:rFonts w:ascii="宋体" w:hAnsi="宋体"/>
          <w:sz w:val="22"/>
        </w:rPr>
        <w:t>（六）乙方应从事的消防安全管理</w:t>
      </w:r>
    </w:p>
    <w:p>
      <w:pPr>
        <w:spacing w:line="360" w:lineRule="exact"/>
        <w:ind w:firstLine="440" w:firstLineChars="200"/>
        <w:rPr>
          <w:rFonts w:ascii="宋体" w:hAnsi="宋体"/>
          <w:sz w:val="22"/>
        </w:rPr>
      </w:pPr>
      <w:r>
        <w:rPr>
          <w:rFonts w:ascii="宋体" w:hAnsi="宋体"/>
          <w:sz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宋体" w:hAnsi="宋体"/>
          <w:sz w:val="22"/>
        </w:rPr>
      </w:pPr>
      <w:r>
        <w:rPr>
          <w:rFonts w:ascii="宋体" w:hAnsi="宋体"/>
          <w:sz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宋体" w:hAnsi="宋体"/>
          <w:sz w:val="22"/>
        </w:rPr>
      </w:pPr>
      <w:r>
        <w:rPr>
          <w:rFonts w:ascii="宋体" w:hAnsi="宋体"/>
          <w:sz w:val="22"/>
        </w:rPr>
        <w:t>43、施工中使用明火，使用电、气进行焊接和切割作业，须经机场公安消防管理部门审查批准，未经批准一律不得使用。</w:t>
      </w:r>
    </w:p>
    <w:p>
      <w:pPr>
        <w:spacing w:line="360" w:lineRule="exact"/>
        <w:ind w:firstLine="440" w:firstLineChars="200"/>
        <w:rPr>
          <w:rFonts w:ascii="宋体" w:hAnsi="宋体"/>
          <w:sz w:val="22"/>
        </w:rPr>
      </w:pPr>
      <w:r>
        <w:rPr>
          <w:rFonts w:ascii="宋体" w:hAnsi="宋体"/>
          <w:sz w:val="22"/>
        </w:rPr>
        <w:t>44、加强对施工人员进行消防安全教育，使其熟悉本岗位防火措施、遇险报警、初期扑救及自救逃生的知识和技能。</w:t>
      </w:r>
    </w:p>
    <w:p>
      <w:pPr>
        <w:spacing w:line="360" w:lineRule="exact"/>
        <w:ind w:firstLine="440" w:firstLineChars="200"/>
        <w:rPr>
          <w:rFonts w:ascii="宋体" w:hAnsi="宋体"/>
          <w:sz w:val="22"/>
        </w:rPr>
      </w:pPr>
      <w:r>
        <w:rPr>
          <w:rFonts w:ascii="宋体" w:hAnsi="宋体"/>
          <w:sz w:val="22"/>
        </w:rPr>
        <w:t>（七）乙方应从事的交通安全管理</w:t>
      </w:r>
    </w:p>
    <w:p>
      <w:pPr>
        <w:spacing w:line="360" w:lineRule="exact"/>
        <w:ind w:firstLine="440" w:firstLineChars="200"/>
        <w:rPr>
          <w:rFonts w:ascii="宋体" w:hAnsi="宋体"/>
          <w:sz w:val="22"/>
        </w:rPr>
      </w:pPr>
      <w:r>
        <w:rPr>
          <w:rFonts w:ascii="宋体" w:hAnsi="宋体"/>
          <w:sz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宋体" w:hAnsi="宋体"/>
          <w:sz w:val="22"/>
        </w:rPr>
      </w:pPr>
      <w:r>
        <w:rPr>
          <w:rFonts w:ascii="宋体" w:hAnsi="宋体"/>
          <w:sz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宋体" w:hAnsi="宋体"/>
          <w:sz w:val="22"/>
        </w:rPr>
      </w:pPr>
      <w:r>
        <w:rPr>
          <w:rFonts w:ascii="宋体" w:hAnsi="宋体"/>
          <w:sz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宋体" w:hAnsi="宋体"/>
          <w:sz w:val="22"/>
        </w:rPr>
      </w:pPr>
      <w:r>
        <w:rPr>
          <w:rFonts w:ascii="宋体" w:hAnsi="宋体"/>
          <w:sz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宋体" w:hAnsi="宋体"/>
          <w:sz w:val="22"/>
        </w:rPr>
      </w:pPr>
      <w:r>
        <w:rPr>
          <w:rFonts w:ascii="宋体" w:hAnsi="宋体"/>
          <w:sz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宋体" w:hAnsi="宋体"/>
          <w:b/>
          <w:sz w:val="22"/>
        </w:rPr>
      </w:pPr>
      <w:r>
        <w:rPr>
          <w:rFonts w:ascii="宋体" w:hAnsi="宋体"/>
          <w:b/>
          <w:sz w:val="22"/>
        </w:rPr>
        <w:t>四、违约责任</w:t>
      </w:r>
    </w:p>
    <w:p>
      <w:pPr>
        <w:spacing w:line="360" w:lineRule="exact"/>
        <w:ind w:firstLine="440" w:firstLineChars="200"/>
        <w:rPr>
          <w:rFonts w:ascii="宋体" w:hAnsi="宋体"/>
          <w:sz w:val="22"/>
        </w:rPr>
      </w:pPr>
      <w:r>
        <w:rPr>
          <w:rFonts w:ascii="宋体" w:hAnsi="宋体"/>
          <w:sz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宋体" w:hAnsi="宋体"/>
          <w:sz w:val="22"/>
        </w:rPr>
      </w:pPr>
      <w:r>
        <w:rPr>
          <w:rFonts w:ascii="宋体" w:hAnsi="宋体"/>
          <w:sz w:val="22"/>
        </w:rPr>
        <w:t>51、严禁因乙方行为导致发生飞行事故征侯，违者扣合同总款的20%，如发生飞行事故扣合同年度总款50％，并追究法律责任。</w:t>
      </w:r>
    </w:p>
    <w:p>
      <w:pPr>
        <w:spacing w:line="360" w:lineRule="exact"/>
        <w:ind w:firstLine="440" w:firstLineChars="200"/>
        <w:rPr>
          <w:rFonts w:ascii="宋体" w:hAnsi="宋体"/>
          <w:sz w:val="22"/>
        </w:rPr>
      </w:pPr>
      <w:r>
        <w:rPr>
          <w:rFonts w:ascii="宋体" w:hAnsi="宋体"/>
          <w:sz w:val="22"/>
        </w:rPr>
        <w:t>五、</w:t>
      </w:r>
      <w:r>
        <w:rPr>
          <w:rFonts w:ascii="宋体" w:hAnsi="宋体"/>
          <w:b/>
          <w:sz w:val="22"/>
        </w:rPr>
        <w:t>本协议书附于《</w:t>
      </w:r>
      <w:r>
        <w:rPr>
          <w:rFonts w:hint="eastAsia" w:ascii="宋体" w:hAnsi="宋体"/>
          <w:b/>
          <w:sz w:val="22"/>
          <w:u w:val="single"/>
        </w:rPr>
        <w:t xml:space="preserve"> </w:t>
      </w:r>
      <w:r>
        <w:rPr>
          <w:rFonts w:ascii="宋体" w:hAnsi="宋体"/>
          <w:b/>
          <w:sz w:val="22"/>
          <w:u w:val="single"/>
        </w:rPr>
        <w:t xml:space="preserve">                                         </w:t>
      </w:r>
      <w:r>
        <w:rPr>
          <w:rFonts w:hint="eastAsia" w:ascii="宋体" w:hAnsi="宋体"/>
          <w:b/>
          <w:sz w:val="22"/>
          <w:u w:val="single"/>
        </w:rPr>
        <w:t>合同</w:t>
      </w:r>
      <w:r>
        <w:rPr>
          <w:rFonts w:ascii="宋体" w:hAnsi="宋体"/>
          <w:b/>
          <w:sz w:val="22"/>
        </w:rPr>
        <w:t>》后，</w:t>
      </w:r>
      <w:r>
        <w:rPr>
          <w:rFonts w:hint="eastAsia" w:ascii="宋体" w:hAnsi="宋体"/>
          <w:b/>
          <w:sz w:val="22"/>
        </w:rPr>
        <w:t>甲乙双方</w:t>
      </w:r>
      <w:r>
        <w:rPr>
          <w:rFonts w:ascii="宋体" w:hAnsi="宋体"/>
          <w:b/>
          <w:sz w:val="22"/>
        </w:rPr>
        <w:t>盖章后生效。</w:t>
      </w:r>
    </w:p>
    <w:p>
      <w:pPr>
        <w:adjustRightInd w:val="0"/>
        <w:snapToGrid w:val="0"/>
        <w:spacing w:line="360" w:lineRule="exact"/>
        <w:rPr>
          <w:rFonts w:ascii="宋体" w:hAnsi="宋体"/>
          <w:b/>
          <w:bCs/>
          <w:sz w:val="22"/>
        </w:rPr>
      </w:pPr>
      <w:r>
        <w:rPr>
          <w:rFonts w:ascii="宋体" w:hAnsi="宋体"/>
          <w:b/>
          <w:bCs/>
          <w:sz w:val="22"/>
        </w:rPr>
        <w:t>五、附则：</w:t>
      </w:r>
    </w:p>
    <w:p>
      <w:pPr>
        <w:adjustRightInd w:val="0"/>
        <w:snapToGrid w:val="0"/>
        <w:spacing w:line="360" w:lineRule="exact"/>
        <w:rPr>
          <w:rFonts w:ascii="宋体" w:hAnsi="宋体"/>
          <w:sz w:val="22"/>
        </w:rPr>
      </w:pPr>
      <w:r>
        <w:rPr>
          <w:rFonts w:ascii="宋体" w:hAnsi="宋体"/>
          <w:sz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宋体" w:hAnsi="宋体"/>
          <w:sz w:val="22"/>
        </w:rPr>
      </w:pPr>
      <w:r>
        <w:rPr>
          <w:rFonts w:ascii="宋体" w:hAnsi="宋体"/>
          <w:sz w:val="22"/>
        </w:rPr>
        <w:t>（二）本责任书解释权归甲方。</w:t>
      </w:r>
    </w:p>
    <w:p>
      <w:pPr>
        <w:adjustRightInd w:val="0"/>
        <w:snapToGrid w:val="0"/>
        <w:spacing w:line="360" w:lineRule="exact"/>
        <w:rPr>
          <w:rFonts w:ascii="宋体" w:hAnsi="宋体"/>
          <w:sz w:val="22"/>
        </w:rPr>
      </w:pPr>
    </w:p>
    <w:p>
      <w:pPr>
        <w:rPr>
          <w:rFonts w:ascii="宋体" w:hAnsi="宋体"/>
          <w:b/>
          <w:sz w:val="22"/>
        </w:rPr>
      </w:pPr>
      <w:r>
        <w:rPr>
          <w:rFonts w:hint="eastAsia" w:ascii="宋体" w:hAnsi="宋体"/>
          <w:b/>
          <w:sz w:val="22"/>
        </w:rPr>
        <w:t xml:space="preserve">发    包    人（盖章）：             </w:t>
      </w:r>
      <w:r>
        <w:rPr>
          <w:rFonts w:hint="eastAsia" w:ascii="宋体" w:hAnsi="宋体"/>
          <w:b/>
          <w:sz w:val="22"/>
        </w:rPr>
        <w:tab/>
      </w:r>
      <w:r>
        <w:rPr>
          <w:rFonts w:ascii="宋体" w:hAnsi="宋体"/>
          <w:b/>
          <w:sz w:val="22"/>
        </w:rPr>
        <w:t xml:space="preserve">  </w:t>
      </w:r>
      <w:r>
        <w:rPr>
          <w:rFonts w:hint="eastAsia" w:ascii="宋体" w:hAnsi="宋体"/>
          <w:b/>
          <w:sz w:val="22"/>
        </w:rPr>
        <w:t>承    包    人（盖章）：</w:t>
      </w:r>
    </w:p>
    <w:p>
      <w:pPr>
        <w:widowControl/>
        <w:jc w:val="left"/>
        <w:rPr>
          <w:rFonts w:ascii="宋体" w:hAnsi="宋体"/>
          <w:b/>
          <w:sz w:val="22"/>
        </w:rPr>
      </w:pPr>
      <w:r>
        <w:rPr>
          <w:rFonts w:ascii="宋体" w:hAnsi="宋体"/>
          <w:b/>
          <w:sz w:val="22"/>
        </w:rPr>
        <w:br w:type="page"/>
      </w:r>
    </w:p>
    <w:p>
      <w:pPr>
        <w:jc w:val="center"/>
        <w:rPr>
          <w:b/>
          <w:sz w:val="36"/>
          <w:szCs w:val="36"/>
        </w:rPr>
      </w:pPr>
      <w:r>
        <w:rPr>
          <w:rFonts w:hint="eastAsia"/>
          <w:b/>
          <w:sz w:val="36"/>
          <w:szCs w:val="36"/>
        </w:rPr>
        <w:t>杭州萧山国际机场基建项目安全文明施工考核办法</w:t>
      </w:r>
    </w:p>
    <w:p>
      <w:pPr>
        <w:rPr>
          <w:rFonts w:asciiTheme="minorEastAsia" w:hAnsiTheme="minorEastAsia"/>
          <w:sz w:val="22"/>
        </w:rPr>
      </w:pPr>
    </w:p>
    <w:p>
      <w:pPr>
        <w:spacing w:line="276" w:lineRule="auto"/>
        <w:ind w:firstLine="440" w:firstLineChars="200"/>
        <w:rPr>
          <w:rFonts w:asciiTheme="minorEastAsia" w:hAnsiTheme="minorEastAsia"/>
          <w:sz w:val="22"/>
        </w:rPr>
      </w:pPr>
      <w:r>
        <w:rPr>
          <w:rFonts w:hint="eastAsia" w:asciiTheme="minorEastAsia" w:hAnsiTheme="minorEastAsia"/>
          <w:sz w:val="22"/>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spacing w:line="276" w:lineRule="auto"/>
        <w:ind w:firstLine="440" w:firstLineChars="200"/>
        <w:rPr>
          <w:rFonts w:asciiTheme="minorEastAsia" w:hAnsiTheme="minorEastAsia"/>
          <w:sz w:val="22"/>
        </w:rPr>
      </w:pPr>
      <w:r>
        <w:rPr>
          <w:rFonts w:hint="eastAsia" w:asciiTheme="minorEastAsia" w:hAnsiTheme="minorEastAsia"/>
          <w:sz w:val="22"/>
        </w:rPr>
        <w:t>一、考核原则</w:t>
      </w:r>
    </w:p>
    <w:p>
      <w:pPr>
        <w:spacing w:line="276" w:lineRule="auto"/>
        <w:ind w:firstLine="440" w:firstLineChars="200"/>
        <w:rPr>
          <w:rFonts w:asciiTheme="minorEastAsia" w:hAnsiTheme="minorEastAsia"/>
          <w:sz w:val="22"/>
        </w:rPr>
      </w:pPr>
      <w:r>
        <w:rPr>
          <w:rFonts w:hint="eastAsia" w:asciiTheme="minorEastAsia" w:hAnsiTheme="minorEastAsia"/>
          <w:sz w:val="22"/>
        </w:rPr>
        <w:t>（一）预先通知原则。信导部各工程管理业务科室（包括临时成立的检查小组）对于发现的安全问题隐患，首先开具《安全隐患整改通知书》（以下简称“整改通知书”，附后），施工项目部接到《整改通知书》后在指定期限内未整改到位的，按照本考核办法予以处罚，未预先书面通知的不予处罚。</w:t>
      </w:r>
    </w:p>
    <w:p>
      <w:pPr>
        <w:spacing w:line="276" w:lineRule="auto"/>
        <w:ind w:firstLine="440" w:firstLineChars="200"/>
        <w:rPr>
          <w:rFonts w:asciiTheme="minorEastAsia" w:hAnsiTheme="minorEastAsia"/>
          <w:sz w:val="22"/>
        </w:rPr>
      </w:pPr>
      <w:r>
        <w:rPr>
          <w:rFonts w:hint="eastAsia" w:asciiTheme="minorEastAsia" w:hAnsiTheme="minorEastAsia"/>
          <w:sz w:val="22"/>
        </w:rPr>
        <w:t>（二）奖励与处罚相结合原则。通过考核与评比，在机场公司或信导部组织的各类检查评比中，获得好评的的施工项目部将按照相关规定予以奖励；对违反国家相关法律、法规和安全生产规范、规程、标准及《杭州萧山国际机场安全文明施工协议书》的，将严格按照本考核办法扣罚。</w:t>
      </w:r>
    </w:p>
    <w:p>
      <w:pPr>
        <w:spacing w:line="276" w:lineRule="auto"/>
        <w:ind w:firstLine="440" w:firstLineChars="200"/>
        <w:rPr>
          <w:rFonts w:asciiTheme="minorEastAsia" w:hAnsiTheme="minorEastAsia"/>
          <w:sz w:val="22"/>
        </w:rPr>
      </w:pPr>
      <w:r>
        <w:rPr>
          <w:rFonts w:hint="eastAsia" w:asciiTheme="minorEastAsia" w:hAnsiTheme="minorEastAsia"/>
          <w:sz w:val="22"/>
        </w:rPr>
        <w:t>（三）考核与结算相结合原则。信导部各工程管理业务科室（包括临时成立的检查小组）对其查出的安全问题隐患，经通知仍未整改的，开具《安全文明施工工作联系单》（以下简称“联系单”，附后）督促跟踪整改，并做好备案记录，一并于项目竣工后结算。</w:t>
      </w:r>
    </w:p>
    <w:p>
      <w:pPr>
        <w:spacing w:line="276" w:lineRule="auto"/>
        <w:ind w:firstLine="440" w:firstLineChars="200"/>
        <w:rPr>
          <w:rFonts w:asciiTheme="minorEastAsia" w:hAnsiTheme="minorEastAsia"/>
          <w:sz w:val="22"/>
        </w:rPr>
      </w:pPr>
      <w:r>
        <w:rPr>
          <w:rFonts w:hint="eastAsia" w:asciiTheme="minorEastAsia" w:hAnsiTheme="minorEastAsia"/>
          <w:sz w:val="22"/>
        </w:rPr>
        <w:t>（四）考核与经济利益直接挂钩原则。以《安全文明施工工作联系单》确认的奖惩数额为准。</w:t>
      </w:r>
    </w:p>
    <w:p>
      <w:pPr>
        <w:spacing w:line="276" w:lineRule="auto"/>
        <w:ind w:firstLine="440" w:firstLineChars="200"/>
        <w:rPr>
          <w:rFonts w:asciiTheme="minorEastAsia" w:hAnsiTheme="minorEastAsia"/>
          <w:sz w:val="22"/>
        </w:rPr>
      </w:pPr>
      <w:r>
        <w:rPr>
          <w:rFonts w:hint="eastAsia" w:asciiTheme="minorEastAsia" w:hAnsiTheme="minorEastAsia"/>
          <w:sz w:val="22"/>
        </w:rPr>
        <w:t>二、适用范围</w:t>
      </w:r>
    </w:p>
    <w:p>
      <w:pPr>
        <w:spacing w:line="276" w:lineRule="auto"/>
        <w:ind w:firstLine="440" w:firstLineChars="200"/>
        <w:rPr>
          <w:rFonts w:asciiTheme="minorEastAsia" w:hAnsiTheme="minorEastAsia"/>
          <w:sz w:val="22"/>
        </w:rPr>
      </w:pPr>
      <w:r>
        <w:rPr>
          <w:rFonts w:hint="eastAsia" w:asciiTheme="minorEastAsia" w:hAnsiTheme="minorEastAsia"/>
          <w:sz w:val="22"/>
        </w:rPr>
        <w:t>本考核办法适用于参与杭州萧山国际机场基本建设的各施工监理单位。与总包单位签订分包合同的分包单位纳入对总包单位的考核，不作为被考核主体。</w:t>
      </w:r>
    </w:p>
    <w:p>
      <w:pPr>
        <w:spacing w:line="276" w:lineRule="auto"/>
        <w:ind w:firstLine="440" w:firstLineChars="200"/>
        <w:rPr>
          <w:rFonts w:asciiTheme="minorEastAsia" w:hAnsiTheme="minorEastAsia"/>
          <w:sz w:val="22"/>
        </w:rPr>
      </w:pPr>
      <w:r>
        <w:rPr>
          <w:rFonts w:hint="eastAsia" w:asciiTheme="minorEastAsia" w:hAnsiTheme="minorEastAsia"/>
          <w:sz w:val="22"/>
        </w:rPr>
        <w:t>三、考核程序</w:t>
      </w:r>
    </w:p>
    <w:p>
      <w:pPr>
        <w:spacing w:line="276" w:lineRule="auto"/>
        <w:ind w:firstLine="440" w:firstLineChars="200"/>
        <w:rPr>
          <w:rFonts w:asciiTheme="minorEastAsia" w:hAnsiTheme="minorEastAsia"/>
          <w:sz w:val="22"/>
        </w:rPr>
      </w:pPr>
      <w:r>
        <w:rPr>
          <w:rFonts w:hint="eastAsia" w:asciiTheme="minorEastAsia" w:hAnsiTheme="minorEastAsia"/>
          <w:sz w:val="22"/>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spacing w:line="276" w:lineRule="auto"/>
        <w:ind w:firstLine="440" w:firstLineChars="200"/>
        <w:rPr>
          <w:rFonts w:asciiTheme="minorEastAsia" w:hAnsiTheme="minorEastAsia"/>
          <w:sz w:val="22"/>
        </w:rPr>
      </w:pPr>
      <w:r>
        <w:rPr>
          <w:rFonts w:hint="eastAsia" w:asciiTheme="minorEastAsia" w:hAnsiTheme="minorEastAsia"/>
          <w:sz w:val="22"/>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spacing w:line="276" w:lineRule="auto"/>
        <w:ind w:firstLine="440" w:firstLineChars="200"/>
        <w:rPr>
          <w:rFonts w:asciiTheme="minorEastAsia" w:hAnsiTheme="minorEastAsia"/>
          <w:sz w:val="22"/>
        </w:rPr>
      </w:pPr>
      <w:r>
        <w:rPr>
          <w:rFonts w:hint="eastAsia" w:asciiTheme="minorEastAsia" w:hAnsiTheme="minorEastAsia"/>
          <w:sz w:val="22"/>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或监理项目部签章后，由检查人员签字，检查部门盖章后签发。《安全文明施工工作联系单》一式四份，签发人、责任施工项目部、责任监理项目部各持一份，报信导部一份。</w:t>
      </w:r>
    </w:p>
    <w:p>
      <w:pPr>
        <w:spacing w:line="276" w:lineRule="auto"/>
        <w:ind w:firstLine="440" w:firstLineChars="200"/>
        <w:rPr>
          <w:rFonts w:asciiTheme="minorEastAsia" w:hAnsiTheme="minorEastAsia"/>
          <w:sz w:val="22"/>
        </w:rPr>
      </w:pPr>
      <w:r>
        <w:rPr>
          <w:rFonts w:hint="eastAsia" w:asciiTheme="minorEastAsia" w:hAnsiTheme="minorEastAsia"/>
          <w:sz w:val="22"/>
        </w:rPr>
        <w:t>（四）考核最终汇总兑现。各施工项目部工程结束后由信导部计算出累计处罚总数，从工程履约保证金中扣除，但不得超过工程履约保证金的</w:t>
      </w:r>
      <w:r>
        <w:rPr>
          <w:rFonts w:asciiTheme="minorEastAsia" w:hAnsiTheme="minorEastAsia"/>
          <w:sz w:val="22"/>
        </w:rPr>
        <w:t>20%</w:t>
      </w:r>
      <w:r>
        <w:rPr>
          <w:rFonts w:hint="eastAsia" w:asciiTheme="minorEastAsia" w:hAnsiTheme="minorEastAsia"/>
          <w:sz w:val="22"/>
        </w:rPr>
        <w:t>。</w:t>
      </w:r>
    </w:p>
    <w:p>
      <w:pPr>
        <w:spacing w:line="276" w:lineRule="auto"/>
        <w:ind w:firstLine="440" w:firstLineChars="200"/>
        <w:rPr>
          <w:rFonts w:asciiTheme="minorEastAsia" w:hAnsiTheme="minorEastAsia"/>
          <w:sz w:val="22"/>
        </w:rPr>
      </w:pPr>
      <w:r>
        <w:rPr>
          <w:rFonts w:hint="eastAsia" w:asciiTheme="minorEastAsia" w:hAnsiTheme="minorEastAsia"/>
          <w:sz w:val="22"/>
        </w:rPr>
        <w:t>四、其它</w:t>
      </w:r>
    </w:p>
    <w:p>
      <w:pPr>
        <w:spacing w:line="276" w:lineRule="auto"/>
        <w:ind w:firstLine="440" w:firstLineChars="200"/>
        <w:rPr>
          <w:rFonts w:asciiTheme="minorEastAsia" w:hAnsiTheme="minorEastAsia"/>
          <w:sz w:val="22"/>
        </w:rPr>
      </w:pPr>
      <w:r>
        <w:rPr>
          <w:rFonts w:hint="eastAsia" w:asciiTheme="minorEastAsia" w:hAnsiTheme="minorEastAsia"/>
          <w:sz w:val="22"/>
        </w:rPr>
        <w:t>（一）施工项目部突破《杭州萧山国际机场安全文明施工协议书》安全控制目标内容之一的，不属于本办法考核范围，由信导部依据有关规定直接进行处罚。</w:t>
      </w:r>
    </w:p>
    <w:p>
      <w:pPr>
        <w:spacing w:line="276" w:lineRule="auto"/>
        <w:ind w:firstLine="440" w:firstLineChars="200"/>
        <w:rPr>
          <w:rFonts w:asciiTheme="minorEastAsia" w:hAnsiTheme="minorEastAsia"/>
          <w:sz w:val="22"/>
        </w:rPr>
      </w:pPr>
      <w:r>
        <w:rPr>
          <w:rFonts w:hint="eastAsia" w:asciiTheme="minorEastAsia" w:hAnsiTheme="minorEastAsia"/>
          <w:sz w:val="22"/>
        </w:rPr>
        <w:t>（二）《处罚标准》中所称的“协议”是指机场公司与施工项目部签订的《杭州萧山国际机场安全文明施工协议书》及各种协议文件；“建标”是指《建筑施工安全检查标准》（</w:t>
      </w:r>
      <w:r>
        <w:rPr>
          <w:rFonts w:asciiTheme="minorEastAsia" w:hAnsiTheme="minorEastAsia"/>
          <w:sz w:val="22"/>
        </w:rPr>
        <w:t>JGJ59-2011</w:t>
      </w:r>
      <w:r>
        <w:rPr>
          <w:rFonts w:hint="eastAsia" w:asciiTheme="minorEastAsia" w:hAnsiTheme="minorEastAsia"/>
          <w:sz w:val="22"/>
        </w:rPr>
        <w:t>）。</w:t>
      </w:r>
    </w:p>
    <w:p>
      <w:pPr>
        <w:spacing w:line="276" w:lineRule="auto"/>
        <w:ind w:firstLine="440" w:firstLineChars="200"/>
        <w:rPr>
          <w:rFonts w:asciiTheme="minorEastAsia" w:hAnsiTheme="minorEastAsia"/>
          <w:sz w:val="22"/>
        </w:rPr>
      </w:pPr>
      <w:r>
        <w:rPr>
          <w:rFonts w:hint="eastAsia" w:asciiTheme="minorEastAsia" w:hAnsiTheme="minorEastAsia"/>
          <w:sz w:val="22"/>
        </w:rPr>
        <w:t>（三）施工项目部收到《安全文明施工工作联系单》后，在指定期限内仍未整改到位，加倍处罚直至整改到位为止。</w:t>
      </w:r>
    </w:p>
    <w:p>
      <w:pPr>
        <w:spacing w:line="276" w:lineRule="auto"/>
        <w:ind w:firstLine="440" w:firstLineChars="200"/>
        <w:rPr>
          <w:rFonts w:asciiTheme="minorEastAsia" w:hAnsiTheme="minorEastAsia"/>
          <w:sz w:val="22"/>
        </w:rPr>
      </w:pPr>
      <w:r>
        <w:rPr>
          <w:rFonts w:hint="eastAsia" w:asciiTheme="minorEastAsia" w:hAnsiTheme="minorEastAsia"/>
          <w:sz w:val="22"/>
        </w:rPr>
        <w:t>（四）本考核办法未作规定，但已违反国家相关法律、法规和安全生产规范、规程、标准及《杭州萧山国际机场安全文明施工协议书》的行为，由信导部参照《处罚标准》相关规定进行处罚。</w:t>
      </w:r>
    </w:p>
    <w:p>
      <w:pPr>
        <w:spacing w:line="276" w:lineRule="auto"/>
        <w:ind w:firstLine="440" w:firstLineChars="200"/>
        <w:rPr>
          <w:rFonts w:asciiTheme="minorEastAsia" w:hAnsiTheme="minorEastAsia"/>
          <w:sz w:val="22"/>
        </w:rPr>
      </w:pPr>
      <w:r>
        <w:rPr>
          <w:rFonts w:hint="eastAsia" w:asciiTheme="minorEastAsia" w:hAnsiTheme="minorEastAsia"/>
          <w:sz w:val="22"/>
        </w:rPr>
        <w:t>（五）本考核办法以实际发文为准。</w:t>
      </w:r>
    </w:p>
    <w:p/>
    <w:p>
      <w:r>
        <w:t xml:space="preserve">    </w:t>
      </w:r>
    </w:p>
    <w:p>
      <w:pPr>
        <w:jc w:val="center"/>
      </w:pPr>
      <w:r>
        <w:rPr>
          <w:rFonts w:hint="eastAsia"/>
        </w:rPr>
        <w:t>安全文明施工处罚标准</w:t>
      </w:r>
    </w:p>
    <w:p/>
    <w:tbl>
      <w:tblPr>
        <w:tblStyle w:val="14"/>
        <w:tblW w:w="98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6660"/>
        <w:gridCol w:w="7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序列号</w:t>
            </w:r>
          </w:p>
        </w:tc>
        <w:tc>
          <w:tcPr>
            <w:tcW w:w="6660" w:type="dxa"/>
            <w:vAlign w:val="center"/>
          </w:tcPr>
          <w:p>
            <w:r>
              <w:rPr>
                <w:rFonts w:hint="eastAsia"/>
              </w:rPr>
              <w:t>内</w:t>
            </w:r>
            <w:r>
              <w:t xml:space="preserve">       </w:t>
            </w:r>
            <w:r>
              <w:rPr>
                <w:rFonts w:hint="eastAsia"/>
              </w:rPr>
              <w:t>容</w:t>
            </w:r>
          </w:p>
        </w:tc>
        <w:tc>
          <w:tcPr>
            <w:tcW w:w="720" w:type="dxa"/>
            <w:vAlign w:val="center"/>
          </w:tcPr>
          <w:p>
            <w:r>
              <w:rPr>
                <w:rFonts w:hint="eastAsia"/>
              </w:rPr>
              <w:t>依据</w:t>
            </w:r>
          </w:p>
        </w:tc>
        <w:tc>
          <w:tcPr>
            <w:tcW w:w="1440" w:type="dxa"/>
            <w:vAlign w:val="center"/>
          </w:tcPr>
          <w:p>
            <w:r>
              <w:rPr>
                <w:rFonts w:hint="eastAsia"/>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p>
        </w:tc>
        <w:tc>
          <w:tcPr>
            <w:tcW w:w="6660" w:type="dxa"/>
            <w:vAlign w:val="center"/>
          </w:tcPr>
          <w:p>
            <w:r>
              <w:rPr>
                <w:rFonts w:hint="eastAsia"/>
              </w:rPr>
              <w:t>隔离区施工</w:t>
            </w:r>
          </w:p>
        </w:tc>
        <w:tc>
          <w:tcPr>
            <w:tcW w:w="720" w:type="dxa"/>
            <w:vAlign w:val="center"/>
          </w:tcPr>
          <w:p/>
        </w:tc>
        <w:tc>
          <w:tcPr>
            <w:tcW w:w="144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w:t>
            </w:r>
          </w:p>
        </w:tc>
        <w:tc>
          <w:tcPr>
            <w:tcW w:w="6660" w:type="dxa"/>
          </w:tcPr>
          <w:p>
            <w:r>
              <w:rPr>
                <w:rFonts w:hint="eastAsia"/>
              </w:rPr>
              <w:t>未按照杭州国际机场隔离区施工组织方案、安全保障措施进行施工作业影响机场正常运行或造成不安全事件的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20000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.2</w:t>
            </w:r>
          </w:p>
        </w:tc>
        <w:tc>
          <w:tcPr>
            <w:tcW w:w="6660" w:type="dxa"/>
          </w:tcPr>
          <w:p>
            <w:r>
              <w:rPr>
                <w:rFonts w:hint="eastAsia"/>
              </w:rPr>
              <w:t>无故不参加各类隔离区施工例会、专题会议的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.3</w:t>
            </w:r>
          </w:p>
        </w:tc>
        <w:tc>
          <w:tcPr>
            <w:tcW w:w="6660" w:type="dxa"/>
          </w:tcPr>
          <w:p>
            <w:r>
              <w:rPr>
                <w:rFonts w:hint="eastAsia"/>
              </w:rPr>
              <w:t>未对施工人员进行空防安全和运行安全教育培训或教育培训无台帐记录的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.4</w:t>
            </w:r>
          </w:p>
        </w:tc>
        <w:tc>
          <w:tcPr>
            <w:tcW w:w="6660" w:type="dxa"/>
          </w:tcPr>
          <w:p>
            <w:r>
              <w:rPr>
                <w:rFonts w:hint="eastAsia"/>
              </w:rPr>
              <w:t>施工进场前未对施工人员进行安全教育或交底的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.5</w:t>
            </w:r>
          </w:p>
        </w:tc>
        <w:tc>
          <w:tcPr>
            <w:tcW w:w="6660" w:type="dxa"/>
          </w:tcPr>
          <w:p>
            <w:r>
              <w:rPr>
                <w:rFonts w:hint="eastAsia"/>
              </w:rPr>
              <w:t>管理人员擅离岗位、未实施全程监管或未有效履行安全管理职责的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.6</w:t>
            </w:r>
          </w:p>
        </w:tc>
        <w:tc>
          <w:tcPr>
            <w:tcW w:w="6660" w:type="dxa"/>
          </w:tcPr>
          <w:p>
            <w:r>
              <w:rPr>
                <w:rFonts w:hint="eastAsia"/>
              </w:rPr>
              <w:t>现场不服从机场或信导部现场管理人员指挥、管理的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.7</w:t>
            </w:r>
          </w:p>
        </w:tc>
        <w:tc>
          <w:tcPr>
            <w:tcW w:w="6660" w:type="dxa"/>
            <w:vAlign w:val="center"/>
          </w:tcPr>
          <w:p>
            <w:r>
              <w:rPr>
                <w:rFonts w:hint="eastAsia"/>
              </w:rPr>
              <w:t>未按规定设置或撤除警戒围栏的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.8</w:t>
            </w:r>
          </w:p>
        </w:tc>
        <w:tc>
          <w:tcPr>
            <w:tcW w:w="6660" w:type="dxa"/>
            <w:vAlign w:val="center"/>
          </w:tcPr>
          <w:p>
            <w:r>
              <w:rPr>
                <w:rFonts w:hint="eastAsia"/>
              </w:rPr>
              <w:t>施工人员擅自侵入飞行活动区的</w:t>
            </w:r>
          </w:p>
        </w:tc>
        <w:tc>
          <w:tcPr>
            <w:tcW w:w="720" w:type="dxa"/>
            <w:vAlign w:val="center"/>
          </w:tcPr>
          <w:p>
            <w:r>
              <w:rPr>
                <w:rFonts w:hint="eastAsia"/>
              </w:rPr>
              <w:t>协议</w:t>
            </w:r>
          </w:p>
        </w:tc>
        <w:tc>
          <w:tcPr>
            <w:tcW w:w="1440" w:type="dxa"/>
            <w:vAlign w:val="center"/>
          </w:tcPr>
          <w:p>
            <w:r>
              <w:t>20000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.9</w:t>
            </w:r>
          </w:p>
        </w:tc>
        <w:tc>
          <w:tcPr>
            <w:tcW w:w="6660" w:type="dxa"/>
          </w:tcPr>
          <w:p>
            <w:r>
              <w:rPr>
                <w:rFonts w:hint="eastAsia"/>
              </w:rPr>
              <w:t>施工人员攀爬、翻越、跨越隔离围栏及其他安全防护设施或向控制区内传递物品等，尚未影响机场正常运行的</w:t>
            </w:r>
          </w:p>
        </w:tc>
        <w:tc>
          <w:tcPr>
            <w:tcW w:w="720" w:type="dxa"/>
            <w:vAlign w:val="center"/>
          </w:tcPr>
          <w:p>
            <w:r>
              <w:rPr>
                <w:rFonts w:hint="eastAsia"/>
              </w:rPr>
              <w:t>协议</w:t>
            </w:r>
          </w:p>
        </w:tc>
        <w:tc>
          <w:tcPr>
            <w:tcW w:w="1440" w:type="dxa"/>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.10</w:t>
            </w:r>
          </w:p>
        </w:tc>
        <w:tc>
          <w:tcPr>
            <w:tcW w:w="6660" w:type="dxa"/>
            <w:vAlign w:val="center"/>
          </w:tcPr>
          <w:p>
            <w:r>
              <w:rPr>
                <w:rFonts w:hint="eastAsia"/>
              </w:rPr>
              <w:t>施工人员擅自超越指定施工活动范围的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.11</w:t>
            </w:r>
          </w:p>
        </w:tc>
        <w:tc>
          <w:tcPr>
            <w:tcW w:w="6660" w:type="dxa"/>
            <w:vAlign w:val="center"/>
          </w:tcPr>
          <w:p>
            <w:r>
              <w:rPr>
                <w:rFonts w:hint="eastAsia"/>
              </w:rPr>
              <w:t>不按要求作业，挖破或挖断地下管线</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.12</w:t>
            </w:r>
          </w:p>
        </w:tc>
        <w:tc>
          <w:tcPr>
            <w:tcW w:w="6660" w:type="dxa"/>
            <w:vAlign w:val="center"/>
          </w:tcPr>
          <w:p>
            <w:r>
              <w:rPr>
                <w:rFonts w:hint="eastAsia"/>
              </w:rPr>
              <w:t>未做到工完场清，沿线道面、施工现场遗留工具、材料、垃圾未及时清理清扫的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.13</w:t>
            </w:r>
          </w:p>
        </w:tc>
        <w:tc>
          <w:tcPr>
            <w:tcW w:w="6660" w:type="dxa"/>
            <w:vAlign w:val="center"/>
          </w:tcPr>
          <w:p>
            <w:r>
              <w:rPr>
                <w:rFonts w:hint="eastAsia"/>
              </w:rPr>
              <w:t>发生其它违反《民用机场运行安全管理规定》（</w:t>
            </w:r>
            <w:r>
              <w:t>191</w:t>
            </w:r>
            <w:r>
              <w:rPr>
                <w:rFonts w:hint="eastAsia"/>
              </w:rPr>
              <w:t>号令）和杭州萧山国际机场安全运行管理规定行为的</w:t>
            </w:r>
          </w:p>
        </w:tc>
        <w:tc>
          <w:tcPr>
            <w:tcW w:w="720" w:type="dxa"/>
            <w:vAlign w:val="center"/>
          </w:tcPr>
          <w:p>
            <w:r>
              <w:rPr>
                <w:rFonts w:hint="eastAsia"/>
              </w:rPr>
              <w:t>方案</w:t>
            </w:r>
          </w:p>
        </w:tc>
        <w:tc>
          <w:tcPr>
            <w:tcW w:w="1440" w:type="dxa"/>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w:t>
            </w:r>
          </w:p>
        </w:tc>
        <w:tc>
          <w:tcPr>
            <w:tcW w:w="6660" w:type="dxa"/>
            <w:vAlign w:val="center"/>
          </w:tcPr>
          <w:p>
            <w:r>
              <w:rPr>
                <w:rFonts w:hint="eastAsia"/>
              </w:rPr>
              <w:t>空防安全</w:t>
            </w:r>
          </w:p>
        </w:tc>
        <w:tc>
          <w:tcPr>
            <w:tcW w:w="720" w:type="dxa"/>
            <w:vAlign w:val="center"/>
          </w:tcPr>
          <w:p/>
        </w:tc>
        <w:tc>
          <w:tcPr>
            <w:tcW w:w="144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w:t>
            </w:r>
          </w:p>
        </w:tc>
        <w:tc>
          <w:tcPr>
            <w:tcW w:w="6660" w:type="dxa"/>
          </w:tcPr>
          <w:p>
            <w:r>
              <w:rPr>
                <w:rFonts w:hint="eastAsia"/>
              </w:rPr>
              <w:t>进入控制区的人员不服从机场管理人员的管理、检查的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2.2</w:t>
            </w:r>
          </w:p>
        </w:tc>
        <w:tc>
          <w:tcPr>
            <w:tcW w:w="6660" w:type="dxa"/>
          </w:tcPr>
          <w:p>
            <w:r>
              <w:rPr>
                <w:rFonts w:hint="eastAsia"/>
              </w:rPr>
              <w:t>把关不严，提供虚假证明、证件或其它相关资料申办控制区人员通行证的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2.3</w:t>
            </w:r>
          </w:p>
        </w:tc>
        <w:tc>
          <w:tcPr>
            <w:tcW w:w="6660" w:type="dxa"/>
          </w:tcPr>
          <w:p>
            <w:r>
              <w:rPr>
                <w:rFonts w:hint="eastAsia"/>
              </w:rPr>
              <w:t>提供虚假车辆、设备证件、检验记录和保险凭证申办《车辆通行证》的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2.4</w:t>
            </w:r>
          </w:p>
        </w:tc>
        <w:tc>
          <w:tcPr>
            <w:tcW w:w="6660" w:type="dxa"/>
          </w:tcPr>
          <w:p>
            <w:r>
              <w:rPr>
                <w:rFonts w:hint="eastAsia"/>
              </w:rPr>
              <w:t>车辆证件、检验记录和保险凭证过期失效未补办后续手续，仍进入控制区施工作业的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2.5</w:t>
            </w:r>
          </w:p>
        </w:tc>
        <w:tc>
          <w:tcPr>
            <w:tcW w:w="6660" w:type="dxa"/>
          </w:tcPr>
          <w:p>
            <w:r>
              <w:rPr>
                <w:rFonts w:hint="eastAsia"/>
              </w:rPr>
              <w:t>未建立控制区通行证统一保管制度，无控制区通行证管理台帐或台帐记录不全的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2.6</w:t>
            </w:r>
          </w:p>
        </w:tc>
        <w:tc>
          <w:tcPr>
            <w:tcW w:w="6660" w:type="dxa"/>
          </w:tcPr>
          <w:p>
            <w:r>
              <w:rPr>
                <w:rFonts w:hint="eastAsia"/>
              </w:rPr>
              <w:t>发生无证施工人员进入控制区的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2.7</w:t>
            </w:r>
          </w:p>
        </w:tc>
        <w:tc>
          <w:tcPr>
            <w:tcW w:w="6660" w:type="dxa"/>
          </w:tcPr>
          <w:p>
            <w:r>
              <w:rPr>
                <w:rFonts w:hint="eastAsia"/>
              </w:rPr>
              <w:t>发生施工人员转借、涂改、冒用他人通行证的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2.8</w:t>
            </w:r>
          </w:p>
        </w:tc>
        <w:tc>
          <w:tcPr>
            <w:tcW w:w="6660" w:type="dxa"/>
          </w:tcPr>
          <w:p>
            <w:r>
              <w:rPr>
                <w:rFonts w:hint="eastAsia"/>
              </w:rPr>
              <w:t>人员、车辆通行证保管不善，造成丢失；或通行证遗失不及时上报的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2.9</w:t>
            </w:r>
          </w:p>
        </w:tc>
        <w:tc>
          <w:tcPr>
            <w:tcW w:w="6660" w:type="dxa"/>
          </w:tcPr>
          <w:p>
            <w:r>
              <w:rPr>
                <w:rFonts w:hint="eastAsia"/>
              </w:rPr>
              <w:t>人员调离、辞退、开除，车辆重新调配，或通行证到期，证件未在规定时限内交回注销的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2.10</w:t>
            </w:r>
          </w:p>
        </w:tc>
        <w:tc>
          <w:tcPr>
            <w:tcW w:w="6660" w:type="dxa"/>
          </w:tcPr>
          <w:p>
            <w:r>
              <w:rPr>
                <w:rFonts w:hint="eastAsia"/>
              </w:rPr>
              <w:t>施工队伍中有违法、犯罪人员，隐瞒不报的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2.11</w:t>
            </w:r>
          </w:p>
        </w:tc>
        <w:tc>
          <w:tcPr>
            <w:tcW w:w="6660" w:type="dxa"/>
          </w:tcPr>
          <w:p>
            <w:r>
              <w:rPr>
                <w:rFonts w:hint="eastAsia"/>
              </w:rPr>
              <w:t>毗邻控制区施工，未安装沿场区监控探头或监控探头存有盲区（段），监控无专人值守或值守人员离岗脱岗的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2.12</w:t>
            </w:r>
          </w:p>
        </w:tc>
        <w:tc>
          <w:tcPr>
            <w:tcW w:w="6660" w:type="dxa"/>
          </w:tcPr>
          <w:p>
            <w:r>
              <w:rPr>
                <w:rFonts w:hint="eastAsia"/>
              </w:rPr>
              <w:t>毗邻控制区施工，沿场区未设置专门看护的固定和巡逻保安岗位、保安人员擅离岗位或保安人员未履职管理的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2.13</w:t>
            </w:r>
          </w:p>
        </w:tc>
        <w:tc>
          <w:tcPr>
            <w:tcW w:w="6660" w:type="dxa"/>
          </w:tcPr>
          <w:p>
            <w:r>
              <w:rPr>
                <w:rFonts w:hint="eastAsia"/>
              </w:rPr>
              <w:t>在机场区域内燃放烟花、爆竹，或施放气球、风筝等升空物体的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2.14</w:t>
            </w:r>
          </w:p>
        </w:tc>
        <w:tc>
          <w:tcPr>
            <w:tcW w:w="6660" w:type="dxa"/>
          </w:tcPr>
          <w:p>
            <w:r>
              <w:rPr>
                <w:rFonts w:hint="eastAsia"/>
              </w:rPr>
              <w:t>在机场区域内饲养猫、狗、鸡、鸭等牲畜、动物的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2.15</w:t>
            </w:r>
          </w:p>
        </w:tc>
        <w:tc>
          <w:tcPr>
            <w:tcW w:w="6660" w:type="dxa"/>
          </w:tcPr>
          <w:p>
            <w:r>
              <w:rPr>
                <w:rFonts w:hint="eastAsia"/>
              </w:rPr>
              <w:t>其它违反民用航空安全、法律、法规和机场空防安全管理规定的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w:t>
            </w:r>
          </w:p>
        </w:tc>
        <w:tc>
          <w:tcPr>
            <w:tcW w:w="6660" w:type="dxa"/>
          </w:tcPr>
          <w:p>
            <w:r>
              <w:rPr>
                <w:rFonts w:hint="eastAsia"/>
              </w:rPr>
              <w:t>安全生产</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3.1</w:t>
            </w:r>
          </w:p>
        </w:tc>
        <w:tc>
          <w:tcPr>
            <w:tcW w:w="6660" w:type="dxa"/>
          </w:tcPr>
          <w:p>
            <w:r>
              <w:rPr>
                <w:rFonts w:hint="eastAsia"/>
              </w:rPr>
              <w:t>安全生产管理体制</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3.1.1</w:t>
            </w:r>
          </w:p>
        </w:tc>
        <w:tc>
          <w:tcPr>
            <w:tcW w:w="6660" w:type="dxa"/>
          </w:tcPr>
          <w:p>
            <w:r>
              <w:rPr>
                <w:rFonts w:hint="eastAsia"/>
              </w:rPr>
              <w:t>安全管理制度不健全，项目经理、项目技术负责人等各类管理人员（包括安全员、资料员、质控员）未按相关规定要求到位的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3.1.2</w:t>
            </w:r>
          </w:p>
        </w:tc>
        <w:tc>
          <w:tcPr>
            <w:tcW w:w="6660" w:type="dxa"/>
          </w:tcPr>
          <w:p>
            <w:r>
              <w:rPr>
                <w:rFonts w:hint="eastAsia"/>
              </w:rPr>
              <w:t>安全制度执行不力，无考核机制或考核制度执行不严</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3.1.3</w:t>
            </w:r>
          </w:p>
        </w:tc>
        <w:tc>
          <w:tcPr>
            <w:tcW w:w="6660" w:type="dxa"/>
            <w:tcBorders>
              <w:bottom w:val="single" w:color="auto" w:sz="2" w:space="0"/>
            </w:tcBorders>
          </w:tcPr>
          <w:p>
            <w:r>
              <w:rPr>
                <w:rFonts w:hint="eastAsia"/>
              </w:rPr>
              <w:t>安全责任制未建立</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3.1.4</w:t>
            </w:r>
          </w:p>
        </w:tc>
        <w:tc>
          <w:tcPr>
            <w:tcW w:w="6660" w:type="dxa"/>
            <w:tcBorders>
              <w:bottom w:val="single" w:color="auto" w:sz="2" w:space="0"/>
            </w:tcBorders>
          </w:tcPr>
          <w:p>
            <w:r>
              <w:rPr>
                <w:rFonts w:hint="eastAsia"/>
              </w:rPr>
              <w:t>安全责任制不健全，未层层签订至班组或岗位的各级安全责任书</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top w:val="single" w:color="auto" w:sz="2" w:space="0"/>
              <w:bottom w:val="single" w:color="auto" w:sz="2" w:space="0"/>
            </w:tcBorders>
            <w:vAlign w:val="center"/>
          </w:tcPr>
          <w:p>
            <w:r>
              <w:t>3.1.5</w:t>
            </w:r>
          </w:p>
        </w:tc>
        <w:tc>
          <w:tcPr>
            <w:tcW w:w="6660" w:type="dxa"/>
            <w:tcBorders>
              <w:top w:val="single" w:color="auto" w:sz="2" w:space="0"/>
              <w:bottom w:val="single" w:color="auto" w:sz="2" w:space="0"/>
            </w:tcBorders>
          </w:tcPr>
          <w:p>
            <w:r>
              <w:rPr>
                <w:rFonts w:hint="eastAsia"/>
              </w:rPr>
              <w:t>各级各部门未执行责任制的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3.1.6</w:t>
            </w:r>
          </w:p>
        </w:tc>
        <w:tc>
          <w:tcPr>
            <w:tcW w:w="6660" w:type="dxa"/>
            <w:tcBorders>
              <w:bottom w:val="single" w:color="auto" w:sz="2" w:space="0"/>
            </w:tcBorders>
          </w:tcPr>
          <w:p>
            <w:r>
              <w:rPr>
                <w:rFonts w:hint="eastAsia"/>
              </w:rPr>
              <w:t>经济承包中无安全生产、文明施工目标管理或目标管理不落实</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008" w:type="dxa"/>
            <w:tcBorders>
              <w:top w:val="single" w:color="auto" w:sz="2" w:space="0"/>
              <w:bottom w:val="single" w:color="auto" w:sz="2" w:space="0"/>
            </w:tcBorders>
            <w:vAlign w:val="center"/>
          </w:tcPr>
          <w:p>
            <w:r>
              <w:t>3.1.7</w:t>
            </w:r>
          </w:p>
        </w:tc>
        <w:tc>
          <w:tcPr>
            <w:tcW w:w="6660" w:type="dxa"/>
            <w:tcBorders>
              <w:top w:val="single" w:color="auto" w:sz="2" w:space="0"/>
              <w:bottom w:val="single" w:color="auto" w:sz="2" w:space="0"/>
            </w:tcBorders>
          </w:tcPr>
          <w:p>
            <w:r>
              <w:rPr>
                <w:rFonts w:hint="eastAsia"/>
              </w:rPr>
              <w:t>未制定各工种安全技术操作规程的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08" w:type="dxa"/>
            <w:tcBorders>
              <w:top w:val="single" w:color="auto" w:sz="2" w:space="0"/>
              <w:bottom w:val="single" w:color="auto" w:sz="2" w:space="0"/>
            </w:tcBorders>
            <w:vAlign w:val="center"/>
          </w:tcPr>
          <w:p>
            <w:r>
              <w:t>3.1.8</w:t>
            </w:r>
          </w:p>
        </w:tc>
        <w:tc>
          <w:tcPr>
            <w:tcW w:w="6660" w:type="dxa"/>
            <w:tcBorders>
              <w:top w:val="single" w:color="auto" w:sz="2" w:space="0"/>
              <w:bottom w:val="single" w:color="auto" w:sz="2" w:space="0"/>
            </w:tcBorders>
          </w:tcPr>
          <w:p>
            <w:r>
              <w:rPr>
                <w:rFonts w:hint="eastAsia"/>
              </w:rPr>
              <w:t>专（兼）职安全员不按规定如数到位的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3.1.9</w:t>
            </w:r>
          </w:p>
        </w:tc>
        <w:tc>
          <w:tcPr>
            <w:tcW w:w="6660" w:type="dxa"/>
            <w:tcBorders>
              <w:bottom w:val="single" w:color="auto" w:sz="2" w:space="0"/>
            </w:tcBorders>
          </w:tcPr>
          <w:p>
            <w:r>
              <w:rPr>
                <w:rFonts w:hint="eastAsia"/>
              </w:rPr>
              <w:t>单位内部安全网络未建立或不健全</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3.1.10</w:t>
            </w:r>
          </w:p>
        </w:tc>
        <w:tc>
          <w:tcPr>
            <w:tcW w:w="6660" w:type="dxa"/>
            <w:tcBorders>
              <w:bottom w:val="single" w:color="auto" w:sz="2" w:space="0"/>
            </w:tcBorders>
          </w:tcPr>
          <w:p>
            <w:r>
              <w:rPr>
                <w:rFonts w:hint="eastAsia"/>
              </w:rPr>
              <w:t>拒绝或拖延加入基建安全网络</w:t>
            </w:r>
          </w:p>
        </w:tc>
        <w:tc>
          <w:tcPr>
            <w:tcW w:w="720" w:type="dxa"/>
            <w:tcBorders>
              <w:bottom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3.1.11</w:t>
            </w:r>
          </w:p>
        </w:tc>
        <w:tc>
          <w:tcPr>
            <w:tcW w:w="6660" w:type="dxa"/>
            <w:tcBorders>
              <w:bottom w:val="single" w:color="auto" w:sz="2" w:space="0"/>
            </w:tcBorders>
          </w:tcPr>
          <w:p>
            <w:r>
              <w:rPr>
                <w:rFonts w:hint="eastAsia"/>
              </w:rPr>
              <w:t>无故不参加信导部组织的各种安全会议、网络活动</w:t>
            </w:r>
          </w:p>
        </w:tc>
        <w:tc>
          <w:tcPr>
            <w:tcW w:w="720" w:type="dxa"/>
            <w:tcBorders>
              <w:bottom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3.1.12</w:t>
            </w:r>
          </w:p>
        </w:tc>
        <w:tc>
          <w:tcPr>
            <w:tcW w:w="6660" w:type="dxa"/>
            <w:tcBorders>
              <w:bottom w:val="single" w:color="auto" w:sz="2" w:space="0"/>
            </w:tcBorders>
          </w:tcPr>
          <w:p>
            <w:r>
              <w:rPr>
                <w:rFonts w:hint="eastAsia"/>
              </w:rPr>
              <w:t>不按规定开展各级、各类安全教育培训，未按规定设置民工学校</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3.1.13</w:t>
            </w:r>
          </w:p>
        </w:tc>
        <w:tc>
          <w:tcPr>
            <w:tcW w:w="6660" w:type="dxa"/>
            <w:tcBorders>
              <w:bottom w:val="single" w:color="auto" w:sz="2" w:space="0"/>
            </w:tcBorders>
          </w:tcPr>
          <w:p>
            <w:r>
              <w:rPr>
                <w:rFonts w:hint="eastAsia"/>
              </w:rPr>
              <w:t>对施工人员无安全教育或安全教育无针对性</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3.1.14</w:t>
            </w:r>
          </w:p>
        </w:tc>
        <w:tc>
          <w:tcPr>
            <w:tcW w:w="6660" w:type="dxa"/>
            <w:tcBorders>
              <w:bottom w:val="single" w:color="auto" w:sz="2" w:space="0"/>
            </w:tcBorders>
          </w:tcPr>
          <w:p>
            <w:r>
              <w:rPr>
                <w:rFonts w:hint="eastAsia"/>
              </w:rPr>
              <w:t>无日常安全检查、定期安全检查、专项安全检查记录或记录不全</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jc w:val="center"/>
        </w:trPr>
        <w:tc>
          <w:tcPr>
            <w:tcW w:w="1008" w:type="dxa"/>
            <w:tcBorders>
              <w:bottom w:val="single" w:color="auto" w:sz="2" w:space="0"/>
            </w:tcBorders>
            <w:vAlign w:val="center"/>
          </w:tcPr>
          <w:p>
            <w:r>
              <w:t>3.1.15</w:t>
            </w:r>
          </w:p>
        </w:tc>
        <w:tc>
          <w:tcPr>
            <w:tcW w:w="6660" w:type="dxa"/>
            <w:tcBorders>
              <w:bottom w:val="single" w:color="auto" w:sz="2" w:space="0"/>
            </w:tcBorders>
          </w:tcPr>
          <w:p>
            <w:r>
              <w:rPr>
                <w:rFonts w:hint="eastAsia"/>
              </w:rPr>
              <w:t>无安全管理台账或安全管理台账缺失不全</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3.1.16</w:t>
            </w:r>
          </w:p>
        </w:tc>
        <w:tc>
          <w:tcPr>
            <w:tcW w:w="6660" w:type="dxa"/>
            <w:tcBorders>
              <w:bottom w:val="single" w:color="auto" w:sz="2" w:space="0"/>
            </w:tcBorders>
          </w:tcPr>
          <w:p>
            <w:r>
              <w:rPr>
                <w:rFonts w:hint="eastAsia"/>
              </w:rPr>
              <w:t>对查出的隐患整改做不到定人、定时间、定措施进行整改落实的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1008" w:type="dxa"/>
            <w:tcBorders>
              <w:top w:val="single" w:color="auto" w:sz="2" w:space="0"/>
            </w:tcBorders>
            <w:vAlign w:val="center"/>
          </w:tcPr>
          <w:p>
            <w:r>
              <w:t>3.1.17</w:t>
            </w:r>
          </w:p>
        </w:tc>
        <w:tc>
          <w:tcPr>
            <w:tcW w:w="6660" w:type="dxa"/>
            <w:tcBorders>
              <w:top w:val="single" w:color="auto" w:sz="2" w:space="0"/>
            </w:tcBorders>
          </w:tcPr>
          <w:p>
            <w:r>
              <w:rPr>
                <w:rFonts w:hint="eastAsia"/>
              </w:rPr>
              <w:t>对隐患整改通知书所列项目未如期整改完成的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3.2</w:t>
            </w:r>
          </w:p>
        </w:tc>
        <w:tc>
          <w:tcPr>
            <w:tcW w:w="6660" w:type="dxa"/>
          </w:tcPr>
          <w:p>
            <w:r>
              <w:rPr>
                <w:rFonts w:hint="eastAsia"/>
              </w:rPr>
              <w:t>施工组织</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r>
              <w:t>3.2.1</w:t>
            </w:r>
          </w:p>
        </w:tc>
        <w:tc>
          <w:tcPr>
            <w:tcW w:w="6660" w:type="dxa"/>
            <w:tcBorders>
              <w:bottom w:val="single" w:color="auto" w:sz="2" w:space="0"/>
            </w:tcBorders>
          </w:tcPr>
          <w:p>
            <w:r>
              <w:rPr>
                <w:rFonts w:hint="eastAsia"/>
              </w:rPr>
              <w:t>无施工组织设计或施工组织设计未经审批的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r>
              <w:t>3.2.2</w:t>
            </w:r>
          </w:p>
        </w:tc>
        <w:tc>
          <w:tcPr>
            <w:tcW w:w="6660" w:type="dxa"/>
            <w:tcBorders>
              <w:top w:val="single" w:color="auto" w:sz="2" w:space="0"/>
              <w:bottom w:val="single" w:color="auto" w:sz="2" w:space="0"/>
            </w:tcBorders>
          </w:tcPr>
          <w:p>
            <w:r>
              <w:rPr>
                <w:rFonts w:hint="eastAsia"/>
              </w:rPr>
              <w:t>施工组织设计中无安全措施或安全措施不全面、无针对性</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r>
              <w:t>3.2.3</w:t>
            </w:r>
          </w:p>
        </w:tc>
        <w:tc>
          <w:tcPr>
            <w:tcW w:w="6660" w:type="dxa"/>
            <w:tcBorders>
              <w:top w:val="single" w:color="auto" w:sz="2" w:space="0"/>
              <w:bottom w:val="single" w:color="auto" w:sz="2" w:space="0"/>
            </w:tcBorders>
          </w:tcPr>
          <w:p>
            <w:r>
              <w:rPr>
                <w:rFonts w:hint="eastAsia"/>
              </w:rPr>
              <w:t>专业性较强、危险性较大的项目，未单独编制专项安全施工组织设计、未制定专项施工方案或未经过专家论证的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r>
              <w:t>3.2.4</w:t>
            </w:r>
          </w:p>
        </w:tc>
        <w:tc>
          <w:tcPr>
            <w:tcW w:w="6660" w:type="dxa"/>
            <w:tcBorders>
              <w:top w:val="single" w:color="auto" w:sz="2" w:space="0"/>
              <w:bottom w:val="single" w:color="auto" w:sz="2" w:space="0"/>
            </w:tcBorders>
          </w:tcPr>
          <w:p>
            <w:r>
              <w:rPr>
                <w:rFonts w:hint="eastAsia"/>
              </w:rPr>
              <w:t>施工组织设计安全措施未落实或落实有漏项的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1008" w:type="dxa"/>
            <w:tcBorders>
              <w:top w:val="single" w:color="auto" w:sz="2" w:space="0"/>
            </w:tcBorders>
            <w:vAlign w:val="center"/>
          </w:tcPr>
          <w:p>
            <w:r>
              <w:t>3.2.5</w:t>
            </w:r>
          </w:p>
        </w:tc>
        <w:tc>
          <w:tcPr>
            <w:tcW w:w="6660" w:type="dxa"/>
            <w:tcBorders>
              <w:top w:val="single" w:color="auto" w:sz="2" w:space="0"/>
            </w:tcBorders>
          </w:tcPr>
          <w:p>
            <w:r>
              <w:rPr>
                <w:rFonts w:hint="eastAsia"/>
              </w:rPr>
              <w:t>不按规定进行安全技术交底，或交底不全、交底针对性不强</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w:t>
            </w:r>
          </w:p>
        </w:tc>
        <w:tc>
          <w:tcPr>
            <w:tcW w:w="6660" w:type="dxa"/>
          </w:tcPr>
          <w:p>
            <w:r>
              <w:rPr>
                <w:rFonts w:hint="eastAsia"/>
              </w:rPr>
              <w:t>现场安全设施和措施</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3.3.1</w:t>
            </w:r>
          </w:p>
        </w:tc>
        <w:tc>
          <w:tcPr>
            <w:tcW w:w="6660" w:type="dxa"/>
          </w:tcPr>
          <w:p>
            <w:r>
              <w:rPr>
                <w:rFonts w:hint="eastAsia"/>
              </w:rPr>
              <w:t>使用国家明令淘汰、禁止使用的危及施工安全的工艺、设备、材料的。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bottom w:val="single" w:color="auto" w:sz="2" w:space="0"/>
            </w:tcBorders>
            <w:vAlign w:val="center"/>
          </w:tcPr>
          <w:p>
            <w:r>
              <w:t>3.3.2</w:t>
            </w:r>
          </w:p>
        </w:tc>
        <w:tc>
          <w:tcPr>
            <w:tcW w:w="6660" w:type="dxa"/>
            <w:tcBorders>
              <w:bottom w:val="single" w:color="auto" w:sz="2" w:space="0"/>
            </w:tcBorders>
          </w:tcPr>
          <w:p>
            <w:r>
              <w:rPr>
                <w:rFonts w:hint="eastAsia"/>
              </w:rPr>
              <w:t>地面开挖作业未对毗邻建筑物、构筑物和地下管线等采取专项防护措施的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jc w:val="center"/>
        </w:trPr>
        <w:tc>
          <w:tcPr>
            <w:tcW w:w="1008" w:type="dxa"/>
            <w:tcBorders>
              <w:top w:val="single" w:color="auto" w:sz="2" w:space="0"/>
              <w:bottom w:val="single" w:color="auto" w:sz="2" w:space="0"/>
            </w:tcBorders>
            <w:vAlign w:val="center"/>
          </w:tcPr>
          <w:p>
            <w:r>
              <w:t>3.3.3</w:t>
            </w:r>
          </w:p>
        </w:tc>
        <w:tc>
          <w:tcPr>
            <w:tcW w:w="6660" w:type="dxa"/>
            <w:tcBorders>
              <w:top w:val="single" w:color="auto" w:sz="2" w:space="0"/>
              <w:bottom w:val="single" w:color="auto" w:sz="2" w:space="0"/>
            </w:tcBorders>
          </w:tcPr>
          <w:p>
            <w:r>
              <w:rPr>
                <w:rFonts w:hint="eastAsia"/>
              </w:rPr>
              <w:t>基坑支护无方案或不按方案实施的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3.3.4</w:t>
            </w:r>
          </w:p>
        </w:tc>
        <w:tc>
          <w:tcPr>
            <w:tcW w:w="6660" w:type="dxa"/>
            <w:tcBorders>
              <w:top w:val="single" w:color="auto" w:sz="2" w:space="0"/>
            </w:tcBorders>
          </w:tcPr>
          <w:p>
            <w:r>
              <w:rPr>
                <w:rFonts w:hint="eastAsia"/>
              </w:rPr>
              <w:t>未按规定进行基坑支护变形监测和对毗邻建筑物、重要管线、道路进行沉降观测的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008" w:type="dxa"/>
            <w:tcBorders>
              <w:bottom w:val="single" w:color="auto" w:sz="2" w:space="0"/>
            </w:tcBorders>
            <w:vAlign w:val="center"/>
          </w:tcPr>
          <w:p>
            <w:r>
              <w:t>3.3.5</w:t>
            </w:r>
          </w:p>
        </w:tc>
        <w:tc>
          <w:tcPr>
            <w:tcW w:w="6660" w:type="dxa"/>
            <w:tcBorders>
              <w:bottom w:val="single" w:color="auto" w:sz="2" w:space="0"/>
            </w:tcBorders>
          </w:tcPr>
          <w:p>
            <w:r>
              <w:rPr>
                <w:rFonts w:hint="eastAsia"/>
              </w:rPr>
              <w:t>支护设施产生局部变形未采取措施调整的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1008" w:type="dxa"/>
            <w:tcBorders>
              <w:top w:val="single" w:color="auto" w:sz="2" w:space="0"/>
            </w:tcBorders>
            <w:vAlign w:val="center"/>
          </w:tcPr>
          <w:p>
            <w:r>
              <w:t>3.3.6</w:t>
            </w:r>
          </w:p>
        </w:tc>
        <w:tc>
          <w:tcPr>
            <w:tcW w:w="6660" w:type="dxa"/>
            <w:tcBorders>
              <w:top w:val="single" w:color="auto" w:sz="2" w:space="0"/>
            </w:tcBorders>
          </w:tcPr>
          <w:p>
            <w:r>
              <w:rPr>
                <w:rFonts w:hint="eastAsia"/>
              </w:rPr>
              <w:t>基坑施工未设置有效排水措施，或深基础施工采用坑外降水，无防止临近建筑危险沉降措施的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3.3.7</w:t>
            </w:r>
          </w:p>
        </w:tc>
        <w:tc>
          <w:tcPr>
            <w:tcW w:w="6660" w:type="dxa"/>
            <w:tcBorders>
              <w:top w:val="single" w:color="auto" w:sz="2" w:space="0"/>
            </w:tcBorders>
          </w:tcPr>
          <w:p>
            <w:r>
              <w:rPr>
                <w:rFonts w:hint="eastAsia"/>
              </w:rPr>
              <w:t>积土、料具堆放、机械设备施工距槽边距离小于设计规定，又无措施的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3.3.8</w:t>
            </w:r>
          </w:p>
        </w:tc>
        <w:tc>
          <w:tcPr>
            <w:tcW w:w="6660" w:type="dxa"/>
          </w:tcPr>
          <w:p>
            <w:r>
              <w:rPr>
                <w:rFonts w:hint="eastAsia"/>
              </w:rPr>
              <w:t>基坑内作业人员无必要安全防护措施和充足照明的</w:t>
            </w:r>
          </w:p>
        </w:tc>
        <w:tc>
          <w:tcPr>
            <w:tcW w:w="720" w:type="dxa"/>
            <w:vAlign w:val="center"/>
          </w:tcPr>
          <w:p>
            <w:r>
              <w:rPr>
                <w:rFonts w:hint="eastAsia"/>
              </w:rPr>
              <w:t>建标</w:t>
            </w:r>
          </w:p>
        </w:tc>
        <w:tc>
          <w:tcPr>
            <w:tcW w:w="1440" w:type="dxa"/>
            <w:vAlign w:val="center"/>
          </w:tcPr>
          <w:p>
            <w:r>
              <w:t>200</w:t>
            </w:r>
            <w:r>
              <w:rPr>
                <w:rFonts w:hint="eastAsia"/>
              </w:rPr>
              <w:t>元</w:t>
            </w:r>
            <w:r>
              <w:t>/</w:t>
            </w:r>
            <w:r>
              <w:rPr>
                <w:rFonts w:hint="eastAsia"/>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008" w:type="dxa"/>
            <w:tcBorders>
              <w:bottom w:val="single" w:color="auto" w:sz="2" w:space="0"/>
            </w:tcBorders>
            <w:vAlign w:val="center"/>
          </w:tcPr>
          <w:p>
            <w:r>
              <w:t>3.3.9</w:t>
            </w:r>
          </w:p>
        </w:tc>
        <w:tc>
          <w:tcPr>
            <w:tcW w:w="6660" w:type="dxa"/>
            <w:tcBorders>
              <w:bottom w:val="single" w:color="auto" w:sz="2" w:space="0"/>
            </w:tcBorders>
          </w:tcPr>
          <w:p>
            <w:r>
              <w:rPr>
                <w:rFonts w:hint="eastAsia"/>
              </w:rPr>
              <w:t>支模架施工未按施工专项方案实施的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tcBorders>
            <w:vAlign w:val="center"/>
          </w:tcPr>
          <w:p>
            <w:r>
              <w:t>3.3.10</w:t>
            </w:r>
          </w:p>
        </w:tc>
        <w:tc>
          <w:tcPr>
            <w:tcW w:w="6660" w:type="dxa"/>
            <w:tcBorders>
              <w:top w:val="single" w:color="auto" w:sz="2" w:space="0"/>
            </w:tcBorders>
          </w:tcPr>
          <w:p>
            <w:r>
              <w:rPr>
                <w:rFonts w:hint="eastAsia"/>
              </w:rPr>
              <w:t>临边无防护措施，防护设施不规范或有空档、超过间隙的</w:t>
            </w:r>
          </w:p>
        </w:tc>
        <w:tc>
          <w:tcPr>
            <w:tcW w:w="720" w:type="dxa"/>
            <w:tcBorders>
              <w:top w:val="single" w:color="auto" w:sz="2" w:space="0"/>
            </w:tcBorders>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r>
              <w:t>3.3.11</w:t>
            </w:r>
          </w:p>
        </w:tc>
        <w:tc>
          <w:tcPr>
            <w:tcW w:w="6660" w:type="dxa"/>
            <w:tcBorders>
              <w:bottom w:val="single" w:color="auto" w:sz="2" w:space="0"/>
            </w:tcBorders>
          </w:tcPr>
          <w:p>
            <w:r>
              <w:rPr>
                <w:rFonts w:hint="eastAsia"/>
              </w:rPr>
              <w:t>高处作业不按规定设置防坠网或防坠网规格、材质、覆盖面积不符合要求的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r>
              <w:t>3.3.12</w:t>
            </w:r>
          </w:p>
        </w:tc>
        <w:tc>
          <w:tcPr>
            <w:tcW w:w="6660" w:type="dxa"/>
            <w:tcBorders>
              <w:bottom w:val="single" w:color="auto" w:sz="2" w:space="0"/>
            </w:tcBorders>
          </w:tcPr>
          <w:p>
            <w:r>
              <w:rPr>
                <w:rFonts w:hint="eastAsia"/>
              </w:rPr>
              <w:t>各种洞（井）口、梯口、通道口无防护措施，防护措施不符合要求或不严密，未形成定型化、工具化的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r>
              <w:t>3.3.13</w:t>
            </w:r>
          </w:p>
        </w:tc>
        <w:tc>
          <w:tcPr>
            <w:tcW w:w="6660" w:type="dxa"/>
            <w:tcBorders>
              <w:bottom w:val="single" w:color="auto" w:sz="2" w:space="0"/>
            </w:tcBorders>
          </w:tcPr>
          <w:p>
            <w:r>
              <w:rPr>
                <w:rFonts w:hint="eastAsia"/>
              </w:rPr>
              <w:t>电梯井不封闭，电梯井内每隔两层</w:t>
            </w:r>
            <w:r>
              <w:t>(</w:t>
            </w:r>
            <w:r>
              <w:rPr>
                <w:rFonts w:hint="eastAsia"/>
              </w:rPr>
              <w:t>不大于</w:t>
            </w:r>
            <w:r>
              <w:t>l0m)</w:t>
            </w:r>
            <w:r>
              <w:rPr>
                <w:rFonts w:hint="eastAsia"/>
              </w:rPr>
              <w:t>少一道平网的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1008" w:type="dxa"/>
            <w:tcBorders>
              <w:bottom w:val="single" w:color="auto" w:sz="2" w:space="0"/>
            </w:tcBorders>
            <w:vAlign w:val="center"/>
          </w:tcPr>
          <w:p>
            <w:r>
              <w:t>3.3.14</w:t>
            </w:r>
          </w:p>
        </w:tc>
        <w:tc>
          <w:tcPr>
            <w:tcW w:w="6660" w:type="dxa"/>
            <w:tcBorders>
              <w:bottom w:val="single" w:color="auto" w:sz="2" w:space="0"/>
            </w:tcBorders>
          </w:tcPr>
          <w:p>
            <w:r>
              <w:rPr>
                <w:rFonts w:hint="eastAsia"/>
              </w:rPr>
              <w:t>通道口无防护棚，通道口防护不严或防护棚不牢固、材质不符合要求的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tcBorders>
            <w:vAlign w:val="center"/>
          </w:tcPr>
          <w:p>
            <w:r>
              <w:t>3.3.15</w:t>
            </w:r>
          </w:p>
        </w:tc>
        <w:tc>
          <w:tcPr>
            <w:tcW w:w="6660" w:type="dxa"/>
            <w:tcBorders>
              <w:top w:val="single" w:color="auto" w:sz="2" w:space="0"/>
            </w:tcBorders>
          </w:tcPr>
          <w:p>
            <w:r>
              <w:rPr>
                <w:rFonts w:hint="eastAsia"/>
              </w:rPr>
              <w:t>脚手架、升降、吊装等设施设备的拆装队伍没有取得资格证书的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008" w:type="dxa"/>
            <w:tcBorders>
              <w:top w:val="single" w:color="auto" w:sz="2" w:space="0"/>
            </w:tcBorders>
            <w:vAlign w:val="center"/>
          </w:tcPr>
          <w:p>
            <w:r>
              <w:t>3.3.16</w:t>
            </w:r>
          </w:p>
        </w:tc>
        <w:tc>
          <w:tcPr>
            <w:tcW w:w="6660" w:type="dxa"/>
            <w:tcBorders>
              <w:top w:val="single" w:color="auto" w:sz="2" w:space="0"/>
            </w:tcBorders>
          </w:tcPr>
          <w:p>
            <w:r>
              <w:rPr>
                <w:rFonts w:hint="eastAsia"/>
              </w:rPr>
              <w:t>脚手架、脚手板等不按要求搭设，空隙过大或材质不符合要求的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3.3.17</w:t>
            </w:r>
          </w:p>
        </w:tc>
        <w:tc>
          <w:tcPr>
            <w:tcW w:w="6660" w:type="dxa"/>
          </w:tcPr>
          <w:p>
            <w:r>
              <w:rPr>
                <w:rFonts w:hint="eastAsia"/>
              </w:rPr>
              <w:t>安全密目网不牢固、不严密或材质、设置不符合要求的</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3.3.18</w:t>
            </w:r>
          </w:p>
        </w:tc>
        <w:tc>
          <w:tcPr>
            <w:tcW w:w="6660" w:type="dxa"/>
          </w:tcPr>
          <w:p>
            <w:r>
              <w:rPr>
                <w:rFonts w:hint="eastAsia"/>
              </w:rPr>
              <w:t>脚手架超载或荷载不均匀、堆放杂物或垃圾清理不及时的</w:t>
            </w:r>
          </w:p>
        </w:tc>
        <w:tc>
          <w:tcPr>
            <w:tcW w:w="720" w:type="dxa"/>
            <w:vAlign w:val="center"/>
          </w:tcPr>
          <w:p>
            <w:r>
              <w:rPr>
                <w:rFonts w:hint="eastAsia"/>
              </w:rPr>
              <w:t>建标</w:t>
            </w:r>
          </w:p>
        </w:tc>
        <w:tc>
          <w:tcPr>
            <w:tcW w:w="1440" w:type="dxa"/>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r>
              <w:t>3.3.19</w:t>
            </w:r>
          </w:p>
        </w:tc>
        <w:tc>
          <w:tcPr>
            <w:tcW w:w="6660" w:type="dxa"/>
            <w:tcBorders>
              <w:top w:val="single" w:color="auto" w:sz="2" w:space="0"/>
              <w:bottom w:val="single" w:color="auto" w:sz="2" w:space="0"/>
            </w:tcBorders>
          </w:tcPr>
          <w:p>
            <w:r>
              <w:rPr>
                <w:rFonts w:hint="eastAsia"/>
              </w:rPr>
              <w:t>未设专用通道或通道设置不符合要求的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3.3.20</w:t>
            </w:r>
          </w:p>
        </w:tc>
        <w:tc>
          <w:tcPr>
            <w:tcW w:w="6660" w:type="dxa"/>
          </w:tcPr>
          <w:p>
            <w:r>
              <w:rPr>
                <w:rFonts w:hint="eastAsia"/>
              </w:rPr>
              <w:t>脚手架拆卸时不实行区域隔离，无专人看护等保护性安全措施的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1008" w:type="dxa"/>
            <w:tcBorders>
              <w:top w:val="single" w:color="auto" w:sz="2" w:space="0"/>
              <w:bottom w:val="single" w:color="auto" w:sz="2" w:space="0"/>
            </w:tcBorders>
            <w:vAlign w:val="center"/>
          </w:tcPr>
          <w:p>
            <w:r>
              <w:t>3.3.21</w:t>
            </w:r>
          </w:p>
        </w:tc>
        <w:tc>
          <w:tcPr>
            <w:tcW w:w="6660" w:type="dxa"/>
            <w:tcBorders>
              <w:top w:val="single" w:color="auto" w:sz="2" w:space="0"/>
              <w:bottom w:val="single" w:color="auto" w:sz="2" w:space="0"/>
            </w:tcBorders>
          </w:tcPr>
          <w:p>
            <w:r>
              <w:rPr>
                <w:rFonts w:hint="eastAsia"/>
              </w:rPr>
              <w:t>移动脚手架安全措施不到位，存在安全隐患的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3.3.22</w:t>
            </w:r>
          </w:p>
        </w:tc>
        <w:tc>
          <w:tcPr>
            <w:tcW w:w="6660" w:type="dxa"/>
            <w:tcBorders>
              <w:top w:val="single" w:color="auto" w:sz="2" w:space="0"/>
            </w:tcBorders>
          </w:tcPr>
          <w:p>
            <w:r>
              <w:rPr>
                <w:rFonts w:hint="eastAsia"/>
              </w:rPr>
              <w:t>卸料台搭设不符合设计要求或不按规范要求搭建的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3.3.23</w:t>
            </w:r>
          </w:p>
        </w:tc>
        <w:tc>
          <w:tcPr>
            <w:tcW w:w="6660" w:type="dxa"/>
          </w:tcPr>
          <w:p>
            <w:r>
              <w:rPr>
                <w:rFonts w:hint="eastAsia"/>
              </w:rPr>
              <w:t>升降、吊装作业未设警戒区、无专业人员指挥、无专人警戒或管理的</w:t>
            </w:r>
          </w:p>
        </w:tc>
        <w:tc>
          <w:tcPr>
            <w:tcW w:w="720" w:type="dxa"/>
            <w:vAlign w:val="center"/>
          </w:tcPr>
          <w:p>
            <w:r>
              <w:rPr>
                <w:rFonts w:hint="eastAsia"/>
              </w:rPr>
              <w:t>建标</w:t>
            </w:r>
          </w:p>
        </w:tc>
        <w:tc>
          <w:tcPr>
            <w:tcW w:w="1440" w:type="dxa"/>
            <w:tcBorders>
              <w:top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3.3.24</w:t>
            </w:r>
          </w:p>
        </w:tc>
        <w:tc>
          <w:tcPr>
            <w:tcW w:w="6660" w:type="dxa"/>
          </w:tcPr>
          <w:p>
            <w:r>
              <w:rPr>
                <w:rFonts w:hint="eastAsia"/>
              </w:rPr>
              <w:t>升降、吊装设备无围栏、防护门，无安全警示等安全设施的</w:t>
            </w:r>
          </w:p>
        </w:tc>
        <w:tc>
          <w:tcPr>
            <w:tcW w:w="720" w:type="dxa"/>
            <w:vAlign w:val="center"/>
          </w:tcPr>
          <w:p>
            <w:r>
              <w:rPr>
                <w:rFonts w:hint="eastAsia"/>
              </w:rPr>
              <w:t>建标</w:t>
            </w:r>
          </w:p>
        </w:tc>
        <w:tc>
          <w:tcPr>
            <w:tcW w:w="1440" w:type="dxa"/>
            <w:tcBorders>
              <w:top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3.3.25</w:t>
            </w:r>
          </w:p>
        </w:tc>
        <w:tc>
          <w:tcPr>
            <w:tcW w:w="6660" w:type="dxa"/>
          </w:tcPr>
          <w:p>
            <w:r>
              <w:rPr>
                <w:rFonts w:hint="eastAsia"/>
              </w:rPr>
              <w:t>升降、吊装设备无防坠装置或防坠装置不符合设计、规范要求的</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3.3.26</w:t>
            </w:r>
          </w:p>
        </w:tc>
        <w:tc>
          <w:tcPr>
            <w:tcW w:w="6660" w:type="dxa"/>
          </w:tcPr>
          <w:p>
            <w:r>
              <w:rPr>
                <w:rFonts w:hint="eastAsia"/>
              </w:rPr>
              <w:t>升降、吊装设备钢丝绳绳径倍数不足、磨损、断丝超标，地锚埋没不符合设计要求</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3.3.27</w:t>
            </w:r>
          </w:p>
        </w:tc>
        <w:tc>
          <w:tcPr>
            <w:tcW w:w="6660" w:type="dxa"/>
          </w:tcPr>
          <w:p>
            <w:r>
              <w:rPr>
                <w:rFonts w:hint="eastAsia"/>
              </w:rPr>
              <w:t>升降、吊装设备无专人日常维护，未按规定定期检验、检查或检查无记录，检验检查出的问题不及时整改的</w:t>
            </w:r>
          </w:p>
        </w:tc>
        <w:tc>
          <w:tcPr>
            <w:tcW w:w="720" w:type="dxa"/>
            <w:vAlign w:val="center"/>
          </w:tcPr>
          <w:p>
            <w:r>
              <w:rPr>
                <w:rFonts w:hint="eastAsia"/>
              </w:rPr>
              <w:t>建标</w:t>
            </w:r>
          </w:p>
        </w:tc>
        <w:tc>
          <w:tcPr>
            <w:tcW w:w="1440" w:type="dxa"/>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3.3.28</w:t>
            </w:r>
          </w:p>
        </w:tc>
        <w:tc>
          <w:tcPr>
            <w:tcW w:w="6660" w:type="dxa"/>
          </w:tcPr>
          <w:p>
            <w:r>
              <w:rPr>
                <w:rFonts w:hint="eastAsia"/>
              </w:rPr>
              <w:t>违章操作或违章使用升降、吊装设备，超重作业的</w:t>
            </w:r>
          </w:p>
        </w:tc>
        <w:tc>
          <w:tcPr>
            <w:tcW w:w="720" w:type="dxa"/>
            <w:vAlign w:val="center"/>
          </w:tcPr>
          <w:p>
            <w:r>
              <w:rPr>
                <w:rFonts w:hint="eastAsia"/>
              </w:rPr>
              <w:t>建标</w:t>
            </w:r>
          </w:p>
        </w:tc>
        <w:tc>
          <w:tcPr>
            <w:tcW w:w="1440" w:type="dxa"/>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3.3.29</w:t>
            </w:r>
          </w:p>
        </w:tc>
        <w:tc>
          <w:tcPr>
            <w:tcW w:w="6660" w:type="dxa"/>
          </w:tcPr>
          <w:p>
            <w:r>
              <w:rPr>
                <w:rFonts w:hint="eastAsia"/>
              </w:rPr>
              <w:t>移动式吊装装置不符合设计、方案和规范要求，存在安全隐患的</w:t>
            </w:r>
          </w:p>
        </w:tc>
        <w:tc>
          <w:tcPr>
            <w:tcW w:w="720" w:type="dxa"/>
            <w:vAlign w:val="center"/>
          </w:tcPr>
          <w:p>
            <w:r>
              <w:rPr>
                <w:rFonts w:hint="eastAsia"/>
              </w:rPr>
              <w:t>建标</w:t>
            </w:r>
          </w:p>
        </w:tc>
        <w:tc>
          <w:tcPr>
            <w:tcW w:w="1440" w:type="dxa"/>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3.3.30</w:t>
            </w:r>
          </w:p>
        </w:tc>
        <w:tc>
          <w:tcPr>
            <w:tcW w:w="6660" w:type="dxa"/>
          </w:tcPr>
          <w:p>
            <w:r>
              <w:rPr>
                <w:rFonts w:hint="eastAsia"/>
              </w:rPr>
              <w:t>钢丝绳、绳卡、地锚等不符合规范和安全要求</w:t>
            </w:r>
            <w:r>
              <w:t>,</w:t>
            </w:r>
            <w:r>
              <w:rPr>
                <w:rFonts w:hint="eastAsia"/>
              </w:rPr>
              <w:t>或钢丝绳锈蚀、缺油、磨损超标的</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bottom w:val="single" w:color="auto" w:sz="2" w:space="0"/>
            </w:tcBorders>
            <w:vAlign w:val="center"/>
          </w:tcPr>
          <w:p>
            <w:r>
              <w:t>3.3.31</w:t>
            </w:r>
          </w:p>
        </w:tc>
        <w:tc>
          <w:tcPr>
            <w:tcW w:w="6660" w:type="dxa"/>
            <w:tcBorders>
              <w:top w:val="single" w:color="auto" w:sz="2" w:space="0"/>
              <w:bottom w:val="single" w:color="auto" w:sz="2" w:space="0"/>
            </w:tcBorders>
          </w:tcPr>
          <w:p>
            <w:r>
              <w:rPr>
                <w:rFonts w:hint="eastAsia"/>
              </w:rPr>
              <w:t>无防风、避雷装置和措施，或防风避雷装置措施不符合要求的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3.3.32</w:t>
            </w:r>
          </w:p>
        </w:tc>
        <w:tc>
          <w:tcPr>
            <w:tcW w:w="6660" w:type="dxa"/>
          </w:tcPr>
          <w:p>
            <w:r>
              <w:rPr>
                <w:rFonts w:hint="eastAsia"/>
              </w:rPr>
              <w:t>各类用电设施、设备、施工机具未做保护接零、无漏电保护装置的</w:t>
            </w:r>
          </w:p>
        </w:tc>
        <w:tc>
          <w:tcPr>
            <w:tcW w:w="720" w:type="dxa"/>
            <w:vAlign w:val="center"/>
          </w:tcPr>
          <w:p>
            <w:r>
              <w:rPr>
                <w:rFonts w:hint="eastAsia"/>
              </w:rPr>
              <w:t>建标</w:t>
            </w:r>
          </w:p>
        </w:tc>
        <w:tc>
          <w:tcPr>
            <w:tcW w:w="1440" w:type="dxa"/>
            <w:tcBorders>
              <w:top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08" w:type="dxa"/>
            <w:tcBorders>
              <w:top w:val="single" w:color="auto" w:sz="2" w:space="0"/>
              <w:bottom w:val="single" w:color="auto" w:sz="2" w:space="0"/>
            </w:tcBorders>
            <w:vAlign w:val="center"/>
          </w:tcPr>
          <w:p>
            <w:r>
              <w:t>3.3.33</w:t>
            </w:r>
          </w:p>
        </w:tc>
        <w:tc>
          <w:tcPr>
            <w:tcW w:w="6660" w:type="dxa"/>
            <w:tcBorders>
              <w:top w:val="single" w:color="auto" w:sz="2" w:space="0"/>
              <w:bottom w:val="single" w:color="auto" w:sz="2" w:space="0"/>
            </w:tcBorders>
          </w:tcPr>
          <w:p>
            <w:r>
              <w:rPr>
                <w:rFonts w:hint="eastAsia"/>
              </w:rPr>
              <w:t>机具、设备使用无安全防护装置或保险装置的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3.3.34</w:t>
            </w:r>
          </w:p>
        </w:tc>
        <w:tc>
          <w:tcPr>
            <w:tcW w:w="6660" w:type="dxa"/>
          </w:tcPr>
          <w:p>
            <w:r>
              <w:rPr>
                <w:rFonts w:hint="eastAsia"/>
              </w:rPr>
              <w:t>使用Ⅰ类手持电动工具不按规定穿戴绝缘用品的</w:t>
            </w:r>
          </w:p>
        </w:tc>
        <w:tc>
          <w:tcPr>
            <w:tcW w:w="720" w:type="dxa"/>
            <w:vAlign w:val="center"/>
          </w:tcPr>
          <w:p>
            <w:r>
              <w:rPr>
                <w:rFonts w:hint="eastAsia"/>
              </w:rPr>
              <w:t>建标</w:t>
            </w:r>
          </w:p>
        </w:tc>
        <w:tc>
          <w:tcPr>
            <w:tcW w:w="1440" w:type="dxa"/>
            <w:vAlign w:val="center"/>
          </w:tcPr>
          <w:p>
            <w:r>
              <w:t>200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3.3.35</w:t>
            </w:r>
          </w:p>
        </w:tc>
        <w:tc>
          <w:tcPr>
            <w:tcW w:w="6660" w:type="dxa"/>
          </w:tcPr>
          <w:p>
            <w:r>
              <w:rPr>
                <w:rFonts w:hint="eastAsia"/>
              </w:rPr>
              <w:t>施工机具无人操作时未切断电源的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3.3.36</w:t>
            </w:r>
          </w:p>
        </w:tc>
        <w:tc>
          <w:tcPr>
            <w:tcW w:w="6660" w:type="dxa"/>
          </w:tcPr>
          <w:p>
            <w:r>
              <w:rPr>
                <w:rFonts w:hint="eastAsia"/>
              </w:rPr>
              <w:t>电焊机无防雨罩的，焊把线接头超过</w:t>
            </w:r>
            <w:r>
              <w:t>3</w:t>
            </w:r>
            <w:r>
              <w:rPr>
                <w:rFonts w:hint="eastAsia"/>
              </w:rPr>
              <w:t>处或绝缘老化的</w:t>
            </w:r>
          </w:p>
        </w:tc>
        <w:tc>
          <w:tcPr>
            <w:tcW w:w="720" w:type="dxa"/>
            <w:vAlign w:val="center"/>
          </w:tcPr>
          <w:p>
            <w:r>
              <w:rPr>
                <w:rFonts w:hint="eastAsia"/>
              </w:rPr>
              <w:t>建标</w:t>
            </w:r>
          </w:p>
        </w:tc>
        <w:tc>
          <w:tcPr>
            <w:tcW w:w="1440" w:type="dxa"/>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3.3.37</w:t>
            </w:r>
          </w:p>
        </w:tc>
        <w:tc>
          <w:tcPr>
            <w:tcW w:w="6660" w:type="dxa"/>
          </w:tcPr>
          <w:p>
            <w:r>
              <w:rPr>
                <w:rFonts w:hint="eastAsia"/>
              </w:rPr>
              <w:t>各机械作业场所无防雨棚和作业台不安全的</w:t>
            </w:r>
          </w:p>
        </w:tc>
        <w:tc>
          <w:tcPr>
            <w:tcW w:w="720" w:type="dxa"/>
            <w:vAlign w:val="center"/>
          </w:tcPr>
          <w:p>
            <w:r>
              <w:rPr>
                <w:rFonts w:hint="eastAsia"/>
              </w:rPr>
              <w:t>建标</w:t>
            </w:r>
          </w:p>
        </w:tc>
        <w:tc>
          <w:tcPr>
            <w:tcW w:w="1440" w:type="dxa"/>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w:t>
            </w:r>
          </w:p>
        </w:tc>
        <w:tc>
          <w:tcPr>
            <w:tcW w:w="6660" w:type="dxa"/>
          </w:tcPr>
          <w:p>
            <w:r>
              <w:rPr>
                <w:rFonts w:hint="eastAsia"/>
              </w:rPr>
              <w:t>现场安全管理</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3.4.1</w:t>
            </w:r>
          </w:p>
        </w:tc>
        <w:tc>
          <w:tcPr>
            <w:tcW w:w="6660" w:type="dxa"/>
          </w:tcPr>
          <w:p>
            <w:r>
              <w:rPr>
                <w:rFonts w:hint="eastAsia"/>
              </w:rPr>
              <w:t>各类操作人员无证上岗的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3.4.2</w:t>
            </w:r>
          </w:p>
        </w:tc>
        <w:tc>
          <w:tcPr>
            <w:tcW w:w="6660" w:type="dxa"/>
          </w:tcPr>
          <w:p>
            <w:r>
              <w:rPr>
                <w:rFonts w:hint="eastAsia"/>
              </w:rPr>
              <w:t>专业性较强、危险性较大施工作业，现场无专业人员、安全管理人员旁站看护的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3.4.3</w:t>
            </w:r>
          </w:p>
        </w:tc>
        <w:tc>
          <w:tcPr>
            <w:tcW w:w="6660" w:type="dxa"/>
          </w:tcPr>
          <w:p>
            <w:r>
              <w:rPr>
                <w:rFonts w:hint="eastAsia"/>
              </w:rPr>
              <w:t>作业人员不服管理、违反规章制度和操作规程冒险作业的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3.4.4</w:t>
            </w:r>
          </w:p>
        </w:tc>
        <w:tc>
          <w:tcPr>
            <w:tcW w:w="6660" w:type="dxa"/>
          </w:tcPr>
          <w:p>
            <w:r>
              <w:rPr>
                <w:rFonts w:hint="eastAsia"/>
              </w:rPr>
              <w:t>施工人员不戴安全帽、高处作业人员不系安全带或不按要求系安全带</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3.4.5</w:t>
            </w:r>
          </w:p>
        </w:tc>
        <w:tc>
          <w:tcPr>
            <w:tcW w:w="6660" w:type="dxa"/>
          </w:tcPr>
          <w:p>
            <w:r>
              <w:rPr>
                <w:rFonts w:hint="eastAsia"/>
              </w:rPr>
              <w:t>现场未按规定采取设置安全网等保障措施的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3.4.6</w:t>
            </w:r>
          </w:p>
        </w:tc>
        <w:tc>
          <w:tcPr>
            <w:tcW w:w="6660" w:type="dxa"/>
            <w:tcBorders>
              <w:top w:val="single" w:color="auto" w:sz="2" w:space="0"/>
            </w:tcBorders>
          </w:tcPr>
          <w:p>
            <w:r>
              <w:rPr>
                <w:rFonts w:hint="eastAsia"/>
              </w:rPr>
              <w:t>施工人员在施工现场抽烟的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3.5</w:t>
            </w:r>
          </w:p>
        </w:tc>
        <w:tc>
          <w:tcPr>
            <w:tcW w:w="6660" w:type="dxa"/>
          </w:tcPr>
          <w:p>
            <w:r>
              <w:rPr>
                <w:rFonts w:hint="eastAsia"/>
              </w:rPr>
              <w:t>施工用电</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1008" w:type="dxa"/>
            <w:tcBorders>
              <w:bottom w:val="single" w:color="auto" w:sz="2" w:space="0"/>
            </w:tcBorders>
            <w:vAlign w:val="center"/>
          </w:tcPr>
          <w:p>
            <w:r>
              <w:t>3.5.1</w:t>
            </w:r>
          </w:p>
        </w:tc>
        <w:tc>
          <w:tcPr>
            <w:tcW w:w="6660" w:type="dxa"/>
            <w:tcBorders>
              <w:bottom w:val="single" w:color="auto" w:sz="2" w:space="0"/>
            </w:tcBorders>
          </w:tcPr>
          <w:p>
            <w:r>
              <w:rPr>
                <w:rFonts w:hint="eastAsia"/>
              </w:rPr>
              <w:t>外电小于安全距离无防护措施、防护措施不符合要求的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1008" w:type="dxa"/>
            <w:tcBorders>
              <w:top w:val="single" w:color="auto" w:sz="2" w:space="0"/>
            </w:tcBorders>
            <w:vAlign w:val="center"/>
          </w:tcPr>
          <w:p>
            <w:r>
              <w:t>3.5.2</w:t>
            </w:r>
          </w:p>
        </w:tc>
        <w:tc>
          <w:tcPr>
            <w:tcW w:w="6660" w:type="dxa"/>
            <w:tcBorders>
              <w:top w:val="single" w:color="auto" w:sz="2" w:space="0"/>
            </w:tcBorders>
          </w:tcPr>
          <w:p>
            <w:r>
              <w:rPr>
                <w:rFonts w:hint="eastAsia"/>
              </w:rPr>
              <w:t>未采用</w:t>
            </w:r>
            <w:r>
              <w:t>TN—S</w:t>
            </w:r>
            <w:r>
              <w:rPr>
                <w:rFonts w:hint="eastAsia"/>
              </w:rPr>
              <w:t>接零保护系统的、三级漏电保护系统的；专用保护零线（</w:t>
            </w:r>
            <w:r>
              <w:t>PE</w:t>
            </w:r>
            <w:r>
              <w:rPr>
                <w:rFonts w:hint="eastAsia"/>
              </w:rPr>
              <w:t>线）设置不符合要求的、或保护零线（</w:t>
            </w:r>
            <w:r>
              <w:t>PE</w:t>
            </w:r>
            <w:r>
              <w:rPr>
                <w:rFonts w:hint="eastAsia"/>
              </w:rPr>
              <w:t>线）与工作零线（</w:t>
            </w:r>
            <w:r>
              <w:t>N</w:t>
            </w:r>
            <w:r>
              <w:rPr>
                <w:rFonts w:hint="eastAsia"/>
              </w:rPr>
              <w:t>线）混接的；纯动力电未用四芯电缆的，动力带照明电未使用五芯电缆的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r>
              <w:t>3.5.3</w:t>
            </w:r>
          </w:p>
        </w:tc>
        <w:tc>
          <w:tcPr>
            <w:tcW w:w="6660" w:type="dxa"/>
            <w:tcBorders>
              <w:bottom w:val="single" w:color="auto" w:sz="2" w:space="0"/>
            </w:tcBorders>
          </w:tcPr>
          <w:p>
            <w:r>
              <w:rPr>
                <w:rFonts w:hint="eastAsia"/>
              </w:rPr>
              <w:t>开关箱</w:t>
            </w:r>
            <w:r>
              <w:t>(</w:t>
            </w:r>
            <w:r>
              <w:rPr>
                <w:rFonts w:hint="eastAsia"/>
              </w:rPr>
              <w:t>末级</w:t>
            </w:r>
            <w:r>
              <w:t>)</w:t>
            </w:r>
            <w:r>
              <w:rPr>
                <w:rFonts w:hint="eastAsia"/>
              </w:rPr>
              <w:t>无漏电保护或保护器失灵、漏电保护装置参数不匹配</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r>
              <w:t>3.5.4</w:t>
            </w:r>
          </w:p>
        </w:tc>
        <w:tc>
          <w:tcPr>
            <w:tcW w:w="6660" w:type="dxa"/>
            <w:tcBorders>
              <w:top w:val="single" w:color="auto" w:sz="2" w:space="0"/>
              <w:bottom w:val="single" w:color="auto" w:sz="2" w:space="0"/>
            </w:tcBorders>
          </w:tcPr>
          <w:p>
            <w:r>
              <w:rPr>
                <w:rFonts w:hint="eastAsia"/>
              </w:rPr>
              <w:t>违反“</w:t>
            </w:r>
            <w:r>
              <w:t>—</w:t>
            </w:r>
            <w:r>
              <w:rPr>
                <w:rFonts w:hint="eastAsia"/>
              </w:rPr>
              <w:t>机、一闸、一漏、一箱”的配置原则</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r>
              <w:t>3.5.5</w:t>
            </w:r>
          </w:p>
        </w:tc>
        <w:tc>
          <w:tcPr>
            <w:tcW w:w="6660" w:type="dxa"/>
            <w:tcBorders>
              <w:top w:val="single" w:color="auto" w:sz="2" w:space="0"/>
              <w:bottom w:val="single" w:color="auto" w:sz="2" w:space="0"/>
            </w:tcBorders>
          </w:tcPr>
          <w:p>
            <w:r>
              <w:rPr>
                <w:rFonts w:hint="eastAsia"/>
              </w:rPr>
              <w:t>安装位置不当、周围杂物多不便操作、存在安全隐患</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bottom w:val="single" w:color="auto" w:sz="2" w:space="0"/>
            </w:tcBorders>
            <w:vAlign w:val="center"/>
          </w:tcPr>
          <w:p>
            <w:r>
              <w:t>3.5.6</w:t>
            </w:r>
          </w:p>
        </w:tc>
        <w:tc>
          <w:tcPr>
            <w:tcW w:w="6660" w:type="dxa"/>
            <w:tcBorders>
              <w:top w:val="single" w:color="auto" w:sz="2" w:space="0"/>
              <w:bottom w:val="single" w:color="auto" w:sz="2" w:space="0"/>
            </w:tcBorders>
          </w:tcPr>
          <w:p>
            <w:r>
              <w:rPr>
                <w:rFonts w:hint="eastAsia"/>
              </w:rPr>
              <w:t>电箱下引出线混乱、配电箱内多路配电无标记的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r>
              <w:t>3.5.7</w:t>
            </w:r>
          </w:p>
        </w:tc>
        <w:tc>
          <w:tcPr>
            <w:tcW w:w="6660" w:type="dxa"/>
            <w:tcBorders>
              <w:bottom w:val="single" w:color="auto" w:sz="2" w:space="0"/>
            </w:tcBorders>
          </w:tcPr>
          <w:p>
            <w:r>
              <w:rPr>
                <w:rFonts w:hint="eastAsia"/>
              </w:rPr>
              <w:t>电箱无门、无锁、无防雨措施或无责任人的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top w:val="single" w:color="auto" w:sz="2" w:space="0"/>
              <w:bottom w:val="single" w:color="auto" w:sz="2" w:space="0"/>
            </w:tcBorders>
            <w:vAlign w:val="center"/>
          </w:tcPr>
          <w:p>
            <w:r>
              <w:t>3.5.8</w:t>
            </w:r>
          </w:p>
        </w:tc>
        <w:tc>
          <w:tcPr>
            <w:tcW w:w="6660" w:type="dxa"/>
            <w:tcBorders>
              <w:top w:val="single" w:color="auto" w:sz="2" w:space="0"/>
              <w:bottom w:val="single" w:color="auto" w:sz="2" w:space="0"/>
            </w:tcBorders>
          </w:tcPr>
          <w:p>
            <w:r>
              <w:rPr>
                <w:rFonts w:hint="eastAsia"/>
              </w:rPr>
              <w:t>室内线路及灯具安全高度低于</w:t>
            </w:r>
            <w:r>
              <w:t>2.4m</w:t>
            </w:r>
            <w:r>
              <w:rPr>
                <w:rFonts w:hint="eastAsia"/>
              </w:rPr>
              <w:t>未使用安全电压供电的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bottom w:val="single" w:color="auto" w:sz="2" w:space="0"/>
            </w:tcBorders>
            <w:vAlign w:val="center"/>
          </w:tcPr>
          <w:p>
            <w:r>
              <w:t>3.5.9</w:t>
            </w:r>
          </w:p>
        </w:tc>
        <w:tc>
          <w:tcPr>
            <w:tcW w:w="6660" w:type="dxa"/>
            <w:tcBorders>
              <w:top w:val="single" w:color="auto" w:sz="2" w:space="0"/>
              <w:bottom w:val="single" w:color="auto" w:sz="2" w:space="0"/>
            </w:tcBorders>
          </w:tcPr>
          <w:p>
            <w:r>
              <w:rPr>
                <w:rFonts w:hint="eastAsia"/>
              </w:rPr>
              <w:t>潮湿作业环境中未使用</w:t>
            </w:r>
            <w:r>
              <w:t>36v</w:t>
            </w:r>
            <w:r>
              <w:rPr>
                <w:rFonts w:hint="eastAsia"/>
              </w:rPr>
              <w:t>以下安全电压照明灯具的、手持照明灯未使用</w:t>
            </w:r>
            <w:r>
              <w:t>36v</w:t>
            </w:r>
            <w:r>
              <w:rPr>
                <w:rFonts w:hint="eastAsia"/>
              </w:rPr>
              <w:t>及以下电源供电</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jc w:val="center"/>
        </w:trPr>
        <w:tc>
          <w:tcPr>
            <w:tcW w:w="1008" w:type="dxa"/>
            <w:tcBorders>
              <w:top w:val="single" w:color="auto" w:sz="2" w:space="0"/>
              <w:bottom w:val="single" w:color="auto" w:sz="2" w:space="0"/>
            </w:tcBorders>
            <w:vAlign w:val="center"/>
          </w:tcPr>
          <w:p>
            <w:r>
              <w:t>3.5.10</w:t>
            </w:r>
          </w:p>
        </w:tc>
        <w:tc>
          <w:tcPr>
            <w:tcW w:w="6660" w:type="dxa"/>
            <w:tcBorders>
              <w:top w:val="single" w:color="auto" w:sz="2" w:space="0"/>
              <w:bottom w:val="single" w:color="auto" w:sz="2" w:space="0"/>
            </w:tcBorders>
          </w:tcPr>
          <w:p>
            <w:r>
              <w:rPr>
                <w:rFonts w:hint="eastAsia"/>
              </w:rPr>
              <w:t>电线老化、破皮、未按规范包扎的、电线私拉乱接、无过路保护的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008" w:type="dxa"/>
            <w:tcBorders>
              <w:top w:val="single" w:color="auto" w:sz="2" w:space="0"/>
              <w:bottom w:val="single" w:color="auto" w:sz="2" w:space="0"/>
            </w:tcBorders>
            <w:vAlign w:val="center"/>
          </w:tcPr>
          <w:p>
            <w:r>
              <w:t>3.5.11</w:t>
            </w:r>
          </w:p>
        </w:tc>
        <w:tc>
          <w:tcPr>
            <w:tcW w:w="6660" w:type="dxa"/>
            <w:tcBorders>
              <w:top w:val="single" w:color="auto" w:sz="2" w:space="0"/>
              <w:bottom w:val="single" w:color="auto" w:sz="2" w:space="0"/>
            </w:tcBorders>
          </w:tcPr>
          <w:p>
            <w:r>
              <w:rPr>
                <w:rFonts w:hint="eastAsia"/>
              </w:rPr>
              <w:t>电杆、横担、架空线路不符合施工规范要求</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1008" w:type="dxa"/>
            <w:tcBorders>
              <w:top w:val="single" w:color="auto" w:sz="2" w:space="0"/>
              <w:bottom w:val="single" w:color="auto" w:sz="2" w:space="0"/>
            </w:tcBorders>
            <w:vAlign w:val="center"/>
          </w:tcPr>
          <w:p>
            <w:r>
              <w:t>3.5.12</w:t>
            </w:r>
          </w:p>
        </w:tc>
        <w:tc>
          <w:tcPr>
            <w:tcW w:w="6660" w:type="dxa"/>
            <w:tcBorders>
              <w:top w:val="single" w:color="auto" w:sz="2" w:space="0"/>
              <w:bottom w:val="single" w:color="auto" w:sz="2" w:space="0"/>
            </w:tcBorders>
          </w:tcPr>
          <w:p>
            <w:r>
              <w:rPr>
                <w:rFonts w:hint="eastAsia"/>
              </w:rPr>
              <w:t>无用电管理档案、无接地极阻值摇测记录、电工巡视维修记录或填写不真实的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008" w:type="dxa"/>
            <w:tcBorders>
              <w:top w:val="single" w:color="auto" w:sz="2" w:space="0"/>
            </w:tcBorders>
            <w:vAlign w:val="center"/>
          </w:tcPr>
          <w:p>
            <w:r>
              <w:t>4</w:t>
            </w:r>
          </w:p>
        </w:tc>
        <w:tc>
          <w:tcPr>
            <w:tcW w:w="6660" w:type="dxa"/>
            <w:tcBorders>
              <w:top w:val="single" w:color="auto" w:sz="2" w:space="0"/>
            </w:tcBorders>
          </w:tcPr>
          <w:p>
            <w:r>
              <w:rPr>
                <w:rFonts w:hint="eastAsia"/>
              </w:rPr>
              <w:t>消防安全与危险品管理</w:t>
            </w:r>
          </w:p>
        </w:tc>
        <w:tc>
          <w:tcPr>
            <w:tcW w:w="720" w:type="dxa"/>
            <w:tcBorders>
              <w:top w:val="single" w:color="auto" w:sz="2" w:space="0"/>
            </w:tcBorders>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4.1</w:t>
            </w:r>
          </w:p>
        </w:tc>
        <w:tc>
          <w:tcPr>
            <w:tcW w:w="6660" w:type="dxa"/>
            <w:tcBorders>
              <w:top w:val="single" w:color="auto" w:sz="2" w:space="0"/>
            </w:tcBorders>
          </w:tcPr>
          <w:p>
            <w:r>
              <w:rPr>
                <w:rFonts w:hint="eastAsia"/>
              </w:rPr>
              <w:t>未制定消防安全管理规章制度或规章制度不健全的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4.2</w:t>
            </w:r>
          </w:p>
        </w:tc>
        <w:tc>
          <w:tcPr>
            <w:tcW w:w="6660" w:type="dxa"/>
            <w:tcBorders>
              <w:top w:val="single" w:color="auto" w:sz="2" w:space="0"/>
            </w:tcBorders>
          </w:tcPr>
          <w:p>
            <w:r>
              <w:rPr>
                <w:rFonts w:hint="eastAsia"/>
              </w:rPr>
              <w:t>未制定各工种用火、用电、使用易燃材料等各项消防安全操作规程的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4.3</w:t>
            </w:r>
          </w:p>
        </w:tc>
        <w:tc>
          <w:tcPr>
            <w:tcW w:w="6660" w:type="dxa"/>
            <w:tcBorders>
              <w:top w:val="single" w:color="auto" w:sz="2" w:space="0"/>
            </w:tcBorders>
          </w:tcPr>
          <w:p>
            <w:r>
              <w:rPr>
                <w:rFonts w:hint="eastAsia"/>
              </w:rPr>
              <w:t>未健全消防安全网络（配备专职或兼职消防员），并报备的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4.4</w:t>
            </w:r>
          </w:p>
        </w:tc>
        <w:tc>
          <w:tcPr>
            <w:tcW w:w="6660" w:type="dxa"/>
            <w:tcBorders>
              <w:top w:val="single" w:color="auto" w:sz="2" w:space="0"/>
            </w:tcBorders>
          </w:tcPr>
          <w:p>
            <w:r>
              <w:rPr>
                <w:rFonts w:hint="eastAsia"/>
              </w:rPr>
              <w:t>无专（兼）职义务消防队，或消防队员未掌握基本消防知识和操作技能的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4.5</w:t>
            </w:r>
          </w:p>
        </w:tc>
        <w:tc>
          <w:tcPr>
            <w:tcW w:w="6660" w:type="dxa"/>
            <w:tcBorders>
              <w:top w:val="single" w:color="auto" w:sz="2" w:space="0"/>
            </w:tcBorders>
          </w:tcPr>
          <w:p>
            <w:r>
              <w:rPr>
                <w:rFonts w:hint="eastAsia"/>
              </w:rPr>
              <w:t>未制定灭火和应急疏散预案并开展消防应急演练的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4.6</w:t>
            </w:r>
          </w:p>
        </w:tc>
        <w:tc>
          <w:tcPr>
            <w:tcW w:w="6660" w:type="dxa"/>
            <w:tcBorders>
              <w:top w:val="single" w:color="auto" w:sz="2" w:space="0"/>
            </w:tcBorders>
          </w:tcPr>
          <w:p>
            <w:r>
              <w:rPr>
                <w:rFonts w:hint="eastAsia"/>
              </w:rPr>
              <w:t>未组织开展各类防火检查，并及时采取措施整改发现的隐患、问题的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4.7</w:t>
            </w:r>
          </w:p>
        </w:tc>
        <w:tc>
          <w:tcPr>
            <w:tcW w:w="6660" w:type="dxa"/>
            <w:tcBorders>
              <w:top w:val="single" w:color="auto" w:sz="2" w:space="0"/>
            </w:tcBorders>
          </w:tcPr>
          <w:p>
            <w:r>
              <w:rPr>
                <w:rFonts w:hint="eastAsia"/>
              </w:rPr>
              <w:t>对重大消防安全隐患未能及时整改、处理的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4.8</w:t>
            </w:r>
          </w:p>
        </w:tc>
        <w:tc>
          <w:tcPr>
            <w:tcW w:w="6660" w:type="dxa"/>
            <w:tcBorders>
              <w:top w:val="single" w:color="auto" w:sz="2" w:space="0"/>
            </w:tcBorders>
          </w:tcPr>
          <w:p>
            <w:r>
              <w:rPr>
                <w:rFonts w:hint="eastAsia"/>
              </w:rPr>
              <w:t>未建立消防安全管理台帐或台帐缺失的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4.9</w:t>
            </w:r>
          </w:p>
        </w:tc>
        <w:tc>
          <w:tcPr>
            <w:tcW w:w="6660" w:type="dxa"/>
            <w:tcBorders>
              <w:top w:val="single" w:color="auto" w:sz="2" w:space="0"/>
            </w:tcBorders>
          </w:tcPr>
          <w:p>
            <w:r>
              <w:rPr>
                <w:rFonts w:hint="eastAsia"/>
              </w:rPr>
              <w:t>未组织开展消防安全知识教育培训，施工人员不了解本岗位防火措施、遇险报警、初期扑救及自救逃生的知识和技能的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4.10</w:t>
            </w:r>
          </w:p>
        </w:tc>
        <w:tc>
          <w:tcPr>
            <w:tcW w:w="6660" w:type="dxa"/>
            <w:tcBorders>
              <w:top w:val="single" w:color="auto" w:sz="2" w:space="0"/>
            </w:tcBorders>
          </w:tcPr>
          <w:p>
            <w:r>
              <w:rPr>
                <w:rFonts w:hint="eastAsia"/>
              </w:rPr>
              <w:t>施工现场未设置必要足够安全疏散指示标志、防火禁烟标志机场火警电话的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4.11</w:t>
            </w:r>
          </w:p>
        </w:tc>
        <w:tc>
          <w:tcPr>
            <w:tcW w:w="6660" w:type="dxa"/>
          </w:tcPr>
          <w:p>
            <w:r>
              <w:rPr>
                <w:rFonts w:hint="eastAsia"/>
              </w:rPr>
              <w:t>重点消防部位无人看护或巡视、无消防警示标志牌，值守巡视人员脱岗或不履行职责的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4.12</w:t>
            </w:r>
          </w:p>
        </w:tc>
        <w:tc>
          <w:tcPr>
            <w:tcW w:w="6660" w:type="dxa"/>
            <w:tcBorders>
              <w:top w:val="single" w:color="auto" w:sz="2" w:space="0"/>
            </w:tcBorders>
          </w:tcPr>
          <w:p>
            <w:r>
              <w:rPr>
                <w:rFonts w:hint="eastAsia"/>
              </w:rPr>
              <w:t>易燃、易爆物品不按规定进行分类存放或管理不善、无人看护、管理的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4.13</w:t>
            </w:r>
          </w:p>
        </w:tc>
        <w:tc>
          <w:tcPr>
            <w:tcW w:w="6660" w:type="dxa"/>
          </w:tcPr>
          <w:p>
            <w:r>
              <w:rPr>
                <w:rFonts w:hint="eastAsia"/>
              </w:rPr>
              <w:t>未设或侵占疏散通道、安全出口、消防通道，或通道出口不畅通、应急照明不符合规定的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4.14</w:t>
            </w:r>
          </w:p>
        </w:tc>
        <w:tc>
          <w:tcPr>
            <w:tcW w:w="6660" w:type="dxa"/>
          </w:tcPr>
          <w:p>
            <w:r>
              <w:rPr>
                <w:rFonts w:hint="eastAsia"/>
              </w:rPr>
              <w:t>工地现场未设置消火水源（消火栓）或消火水源不齐全、不合理，不能满足消防要求的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top w:val="single" w:color="auto" w:sz="2" w:space="0"/>
              <w:bottom w:val="single" w:color="auto" w:sz="2" w:space="0"/>
            </w:tcBorders>
            <w:vAlign w:val="center"/>
          </w:tcPr>
          <w:p>
            <w:r>
              <w:t>4.15</w:t>
            </w:r>
          </w:p>
        </w:tc>
        <w:tc>
          <w:tcPr>
            <w:tcW w:w="6660" w:type="dxa"/>
            <w:tcBorders>
              <w:top w:val="single" w:color="auto" w:sz="2" w:space="0"/>
              <w:bottom w:val="single" w:color="auto" w:sz="2" w:space="0"/>
            </w:tcBorders>
          </w:tcPr>
          <w:p>
            <w:r>
              <w:rPr>
                <w:rFonts w:hint="eastAsia"/>
              </w:rPr>
              <w:t>工地现场灭火器、灭火砂、水桶、铁锹等消防设施、器材配置不全、不足、失效，或被遮挡影响使用，或被挪作他用的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4.16</w:t>
            </w:r>
          </w:p>
        </w:tc>
        <w:tc>
          <w:tcPr>
            <w:tcW w:w="6660" w:type="dxa"/>
          </w:tcPr>
          <w:p>
            <w:r>
              <w:rPr>
                <w:rFonts w:hint="eastAsia"/>
              </w:rPr>
              <w:t>灭火器材无专人维护、保养、检查和登记管理的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4.17</w:t>
            </w:r>
          </w:p>
        </w:tc>
        <w:tc>
          <w:tcPr>
            <w:tcW w:w="6660" w:type="dxa"/>
          </w:tcPr>
          <w:p>
            <w:r>
              <w:rPr>
                <w:rFonts w:hint="eastAsia"/>
              </w:rPr>
              <w:t>违章关闭消防设施、切断电源或挪用消防灭火器材的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4.18</w:t>
            </w:r>
          </w:p>
        </w:tc>
        <w:tc>
          <w:tcPr>
            <w:tcW w:w="6660" w:type="dxa"/>
          </w:tcPr>
          <w:p>
            <w:r>
              <w:rPr>
                <w:rFonts w:hint="eastAsia"/>
              </w:rPr>
              <w:t>动火作业未经机场公安消防管理部门审查批准的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tcBorders>
            <w:vAlign w:val="center"/>
          </w:tcPr>
          <w:p>
            <w:r>
              <w:t>4.19</w:t>
            </w:r>
          </w:p>
        </w:tc>
        <w:tc>
          <w:tcPr>
            <w:tcW w:w="6660" w:type="dxa"/>
            <w:tcBorders>
              <w:top w:val="single" w:color="auto" w:sz="2" w:space="0"/>
            </w:tcBorders>
          </w:tcPr>
          <w:p>
            <w:r>
              <w:rPr>
                <w:rFonts w:hint="eastAsia"/>
              </w:rPr>
              <w:t>施工现场未及时清理地面可燃物，动火作业未清理地面可燃物的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4.20</w:t>
            </w:r>
          </w:p>
        </w:tc>
        <w:tc>
          <w:tcPr>
            <w:tcW w:w="6660" w:type="dxa"/>
          </w:tcPr>
          <w:p>
            <w:r>
              <w:rPr>
                <w:rFonts w:hint="eastAsia"/>
              </w:rPr>
              <w:t>动火作业无接火盆、现场无看火人、灭火器材配备不足、过期、失效的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4.21</w:t>
            </w:r>
          </w:p>
        </w:tc>
        <w:tc>
          <w:tcPr>
            <w:tcW w:w="6660" w:type="dxa"/>
          </w:tcPr>
          <w:p>
            <w:r>
              <w:rPr>
                <w:rFonts w:hint="eastAsia"/>
              </w:rPr>
              <w:t>动火作业火花隔层溅落未采取有效安全措施的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4.22</w:t>
            </w:r>
          </w:p>
        </w:tc>
        <w:tc>
          <w:tcPr>
            <w:tcW w:w="6660" w:type="dxa"/>
            <w:tcBorders>
              <w:top w:val="single" w:color="auto" w:sz="2" w:space="0"/>
            </w:tcBorders>
          </w:tcPr>
          <w:p>
            <w:r>
              <w:rPr>
                <w:rFonts w:hint="eastAsia"/>
              </w:rPr>
              <w:t>气瓶无标准色标，无防震圈和防护帽的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4.23</w:t>
            </w:r>
          </w:p>
        </w:tc>
        <w:tc>
          <w:tcPr>
            <w:tcW w:w="6660" w:type="dxa"/>
          </w:tcPr>
          <w:p>
            <w:r>
              <w:rPr>
                <w:rFonts w:hint="eastAsia"/>
              </w:rPr>
              <w:t>气瓶横放或气瓶间距小于</w:t>
            </w:r>
            <w:r>
              <w:t>5</w:t>
            </w:r>
            <w:r>
              <w:rPr>
                <w:rFonts w:hint="eastAsia"/>
              </w:rPr>
              <w:t>米、距明火小于</w:t>
            </w:r>
            <w:r>
              <w:t>10</w:t>
            </w:r>
            <w:r>
              <w:rPr>
                <w:rFonts w:hint="eastAsia"/>
              </w:rPr>
              <w:t>米又无隔离措施的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4.24</w:t>
            </w:r>
          </w:p>
        </w:tc>
        <w:tc>
          <w:tcPr>
            <w:tcW w:w="6660" w:type="dxa"/>
          </w:tcPr>
          <w:p>
            <w:r>
              <w:rPr>
                <w:rFonts w:hint="eastAsia"/>
              </w:rPr>
              <w:t>乙炔瓶使用或存放时平放或不按规定存放的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4.25</w:t>
            </w:r>
          </w:p>
        </w:tc>
        <w:tc>
          <w:tcPr>
            <w:tcW w:w="6660" w:type="dxa"/>
          </w:tcPr>
          <w:p>
            <w:r>
              <w:rPr>
                <w:rFonts w:hint="eastAsia"/>
              </w:rPr>
              <w:t>发生其它违反国家消防法律法规，消防安全管理规章制度现象的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w:t>
            </w:r>
          </w:p>
        </w:tc>
        <w:tc>
          <w:tcPr>
            <w:tcW w:w="6660" w:type="dxa"/>
            <w:tcBorders>
              <w:bottom w:val="single" w:color="auto" w:sz="2" w:space="0"/>
            </w:tcBorders>
          </w:tcPr>
          <w:p>
            <w:r>
              <w:rPr>
                <w:rFonts w:hint="eastAsia"/>
              </w:rPr>
              <w:t>文明施工</w:t>
            </w:r>
          </w:p>
        </w:tc>
        <w:tc>
          <w:tcPr>
            <w:tcW w:w="720" w:type="dxa"/>
            <w:tcBorders>
              <w:bottom w:val="single" w:color="auto" w:sz="2" w:space="0"/>
            </w:tcBorders>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w:t>
            </w:r>
          </w:p>
        </w:tc>
        <w:tc>
          <w:tcPr>
            <w:tcW w:w="6660" w:type="dxa"/>
            <w:tcBorders>
              <w:bottom w:val="single" w:color="auto" w:sz="2" w:space="0"/>
            </w:tcBorders>
          </w:tcPr>
          <w:p>
            <w:r>
              <w:rPr>
                <w:rFonts w:hint="eastAsia"/>
              </w:rPr>
              <w:t>施工工地未按照投标承诺实行标化管理的要求进行建设和管理的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5.2</w:t>
            </w:r>
          </w:p>
        </w:tc>
        <w:tc>
          <w:tcPr>
            <w:tcW w:w="6660" w:type="dxa"/>
            <w:tcBorders>
              <w:bottom w:val="single" w:color="auto" w:sz="2" w:space="0"/>
            </w:tcBorders>
          </w:tcPr>
          <w:p>
            <w:r>
              <w:rPr>
                <w:rFonts w:hint="eastAsia"/>
              </w:rPr>
              <w:t>施工现场未建立生活设施、管理制度和日常检查、考核制度。</w:t>
            </w:r>
            <w:r>
              <w:t xml:space="preserve"> </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008" w:type="dxa"/>
            <w:tcBorders>
              <w:bottom w:val="single" w:color="auto" w:sz="2" w:space="0"/>
            </w:tcBorders>
            <w:vAlign w:val="center"/>
          </w:tcPr>
          <w:p>
            <w:r>
              <w:t>5.3</w:t>
            </w:r>
          </w:p>
        </w:tc>
        <w:tc>
          <w:tcPr>
            <w:tcW w:w="6660" w:type="dxa"/>
            <w:tcBorders>
              <w:bottom w:val="single" w:color="auto" w:sz="2" w:space="0"/>
            </w:tcBorders>
          </w:tcPr>
          <w:p>
            <w:r>
              <w:rPr>
                <w:rFonts w:hint="eastAsia"/>
              </w:rPr>
              <w:t>建筑材料、构件、料具堆放零乱，堆放不齐，未标名品、种型的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5.4</w:t>
            </w:r>
          </w:p>
        </w:tc>
        <w:tc>
          <w:tcPr>
            <w:tcW w:w="6660" w:type="dxa"/>
            <w:tcBorders>
              <w:bottom w:val="single" w:color="auto" w:sz="2" w:space="0"/>
            </w:tcBorders>
          </w:tcPr>
          <w:p>
            <w:r>
              <w:rPr>
                <w:rFonts w:hint="eastAsia"/>
              </w:rPr>
              <w:t>工地道路不做硬化处理，工地地面无绿化，道面任意占用、工地内道路不畅通的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5.5</w:t>
            </w:r>
          </w:p>
        </w:tc>
        <w:tc>
          <w:tcPr>
            <w:tcW w:w="6660" w:type="dxa"/>
            <w:tcBorders>
              <w:bottom w:val="single" w:color="auto" w:sz="2" w:space="0"/>
            </w:tcBorders>
          </w:tcPr>
          <w:p>
            <w:r>
              <w:rPr>
                <w:rFonts w:hint="eastAsia"/>
              </w:rPr>
              <w:t>施工现场无排水设施或排水不全、不通畅的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5.6</w:t>
            </w:r>
          </w:p>
        </w:tc>
        <w:tc>
          <w:tcPr>
            <w:tcW w:w="6660" w:type="dxa"/>
            <w:tcBorders>
              <w:bottom w:val="single" w:color="auto" w:sz="2" w:space="0"/>
            </w:tcBorders>
          </w:tcPr>
          <w:p>
            <w:r>
              <w:rPr>
                <w:rFonts w:hint="eastAsia"/>
              </w:rPr>
              <w:t>无防止泥浆、污水、废水外流或堵塞下水道和排水河道措施的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5.7</w:t>
            </w:r>
          </w:p>
        </w:tc>
        <w:tc>
          <w:tcPr>
            <w:tcW w:w="6660" w:type="dxa"/>
            <w:tcBorders>
              <w:bottom w:val="single" w:color="auto" w:sz="2" w:space="0"/>
            </w:tcBorders>
          </w:tcPr>
          <w:p>
            <w:r>
              <w:rPr>
                <w:rFonts w:hint="eastAsia"/>
              </w:rPr>
              <w:t>工地地面（楼层面）存在积水、积雪现象的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5.8</w:t>
            </w:r>
          </w:p>
        </w:tc>
        <w:tc>
          <w:tcPr>
            <w:tcW w:w="6660" w:type="dxa"/>
            <w:tcBorders>
              <w:bottom w:val="single" w:color="auto" w:sz="2" w:space="0"/>
            </w:tcBorders>
          </w:tcPr>
          <w:p>
            <w:r>
              <w:rPr>
                <w:rFonts w:hint="eastAsia"/>
              </w:rPr>
              <w:t>施工现场、周围的建筑和生活垃圾不及时清扫、清运和处理或现场焚烧垃圾、有毒有害物质的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5.9</w:t>
            </w:r>
          </w:p>
        </w:tc>
        <w:tc>
          <w:tcPr>
            <w:tcW w:w="6660" w:type="dxa"/>
            <w:tcBorders>
              <w:bottom w:val="single" w:color="auto" w:sz="2" w:space="0"/>
            </w:tcBorders>
          </w:tcPr>
          <w:p>
            <w:r>
              <w:rPr>
                <w:rFonts w:hint="eastAsia"/>
              </w:rPr>
              <w:t>施工现场临时厕所设置不足或不符合卫生要求的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5.10</w:t>
            </w:r>
          </w:p>
        </w:tc>
        <w:tc>
          <w:tcPr>
            <w:tcW w:w="6660" w:type="dxa"/>
            <w:tcBorders>
              <w:bottom w:val="single" w:color="auto" w:sz="2" w:space="0"/>
            </w:tcBorders>
          </w:tcPr>
          <w:p>
            <w:r>
              <w:rPr>
                <w:rFonts w:hint="eastAsia"/>
              </w:rPr>
              <w:t>施工人员随地大小便的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5.11</w:t>
            </w:r>
          </w:p>
        </w:tc>
        <w:tc>
          <w:tcPr>
            <w:tcW w:w="6660" w:type="dxa"/>
            <w:tcBorders>
              <w:bottom w:val="single" w:color="auto" w:sz="2" w:space="0"/>
            </w:tcBorders>
          </w:tcPr>
          <w:p>
            <w:r>
              <w:rPr>
                <w:rFonts w:hint="eastAsia"/>
              </w:rPr>
              <w:t>未做到工完场地清的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5.12</w:t>
            </w:r>
          </w:p>
        </w:tc>
        <w:tc>
          <w:tcPr>
            <w:tcW w:w="6660" w:type="dxa"/>
            <w:tcBorders>
              <w:bottom w:val="single" w:color="auto" w:sz="2" w:space="0"/>
            </w:tcBorders>
          </w:tcPr>
          <w:p>
            <w:r>
              <w:rPr>
                <w:rFonts w:hint="eastAsia"/>
              </w:rPr>
              <w:t>不按规定高度、材质及美观要求设置工地围挡、围墙的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5.13</w:t>
            </w:r>
          </w:p>
        </w:tc>
        <w:tc>
          <w:tcPr>
            <w:tcW w:w="6660" w:type="dxa"/>
            <w:tcBorders>
              <w:bottom w:val="single" w:color="auto" w:sz="2" w:space="0"/>
            </w:tcBorders>
          </w:tcPr>
          <w:p>
            <w:r>
              <w:rPr>
                <w:rFonts w:hint="eastAsia"/>
              </w:rPr>
              <w:t>不按规定对工地现场实施封闭管理的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5.14</w:t>
            </w:r>
          </w:p>
        </w:tc>
        <w:tc>
          <w:tcPr>
            <w:tcW w:w="6660" w:type="dxa"/>
            <w:tcBorders>
              <w:bottom w:val="single" w:color="auto" w:sz="2" w:space="0"/>
            </w:tcBorders>
          </w:tcPr>
          <w:p>
            <w:r>
              <w:rPr>
                <w:rFonts w:hint="eastAsia"/>
              </w:rPr>
              <w:t>无门卫和无门卫制度，或门卫制度执行不严格，存在人员、车辆无证任意进出的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5.15</w:t>
            </w:r>
          </w:p>
        </w:tc>
        <w:tc>
          <w:tcPr>
            <w:tcW w:w="6660" w:type="dxa"/>
            <w:tcBorders>
              <w:bottom w:val="single" w:color="auto" w:sz="2" w:space="0"/>
            </w:tcBorders>
          </w:tcPr>
          <w:p>
            <w:r>
              <w:rPr>
                <w:rFonts w:hint="eastAsia"/>
              </w:rPr>
              <w:t>现场未按安全标志总平面图设置安全标志的，或安全标志、警示标志残缺不全的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5.16</w:t>
            </w:r>
          </w:p>
        </w:tc>
        <w:tc>
          <w:tcPr>
            <w:tcW w:w="6660" w:type="dxa"/>
            <w:tcBorders>
              <w:bottom w:val="single" w:color="auto" w:sz="2" w:space="0"/>
            </w:tcBorders>
          </w:tcPr>
          <w:p>
            <w:r>
              <w:rPr>
                <w:rFonts w:hint="eastAsia"/>
              </w:rPr>
              <w:t>夜间施工照明设施不足、无现场管理员和安全员看护，存在安全隐患的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w:t>
            </w:r>
          </w:p>
        </w:tc>
        <w:tc>
          <w:tcPr>
            <w:tcW w:w="6660" w:type="dxa"/>
          </w:tcPr>
          <w:p>
            <w:r>
              <w:rPr>
                <w:rFonts w:hint="eastAsia"/>
              </w:rPr>
              <w:t>临时宿舍管理</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w:t>
            </w:r>
          </w:p>
        </w:tc>
        <w:tc>
          <w:tcPr>
            <w:tcW w:w="6660" w:type="dxa"/>
          </w:tcPr>
          <w:p>
            <w:r>
              <w:rPr>
                <w:rFonts w:hint="eastAsia"/>
              </w:rPr>
              <w:t>宿舍区管理制度不健全，未落实日常管理责任人</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6.2</w:t>
            </w:r>
          </w:p>
        </w:tc>
        <w:tc>
          <w:tcPr>
            <w:tcW w:w="6660" w:type="dxa"/>
          </w:tcPr>
          <w:p>
            <w:r>
              <w:rPr>
                <w:rFonts w:hint="eastAsia"/>
              </w:rPr>
              <w:t>宿舍区无专（兼）职治安、防火、卫生管理监督巡视员</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6.3</w:t>
            </w:r>
          </w:p>
        </w:tc>
        <w:tc>
          <w:tcPr>
            <w:tcW w:w="6660" w:type="dxa"/>
          </w:tcPr>
          <w:p>
            <w:r>
              <w:rPr>
                <w:rFonts w:hint="eastAsia"/>
              </w:rPr>
              <w:t>宿舍区未实行封闭管理，留宿外来人员无登记制度、存在男女混居现象的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6.4</w:t>
            </w:r>
          </w:p>
        </w:tc>
        <w:tc>
          <w:tcPr>
            <w:tcW w:w="6660" w:type="dxa"/>
          </w:tcPr>
          <w:p>
            <w:r>
              <w:rPr>
                <w:rFonts w:hint="eastAsia"/>
              </w:rPr>
              <w:t>在尚未竣工的建筑物内设置临设的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6.5</w:t>
            </w:r>
          </w:p>
        </w:tc>
        <w:tc>
          <w:tcPr>
            <w:tcW w:w="6660" w:type="dxa"/>
          </w:tcPr>
          <w:p>
            <w:r>
              <w:rPr>
                <w:rFonts w:hint="eastAsia"/>
              </w:rPr>
              <w:t>临时宿舍、设施未经验收合格投入使用的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6.6</w:t>
            </w:r>
          </w:p>
        </w:tc>
        <w:tc>
          <w:tcPr>
            <w:tcW w:w="6660" w:type="dxa"/>
          </w:tcPr>
          <w:p>
            <w:r>
              <w:rPr>
                <w:rFonts w:hint="eastAsia"/>
              </w:rPr>
              <w:t>临时宿舍、设施无抗大风（</w:t>
            </w:r>
            <w:r>
              <w:t>10</w:t>
            </w:r>
            <w:r>
              <w:rPr>
                <w:rFonts w:hint="eastAsia"/>
              </w:rPr>
              <w:t>级以上）、防雷击措施的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6.7</w:t>
            </w:r>
          </w:p>
        </w:tc>
        <w:tc>
          <w:tcPr>
            <w:tcW w:w="6660" w:type="dxa"/>
          </w:tcPr>
          <w:p>
            <w:r>
              <w:rPr>
                <w:rFonts w:hint="eastAsia"/>
              </w:rPr>
              <w:t>宿舍区消防器材配备不足或失效的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6.8</w:t>
            </w:r>
          </w:p>
        </w:tc>
        <w:tc>
          <w:tcPr>
            <w:tcW w:w="6660" w:type="dxa"/>
          </w:tcPr>
          <w:p>
            <w:r>
              <w:rPr>
                <w:rFonts w:hint="eastAsia"/>
              </w:rPr>
              <w:t>宿舍内未设置独立的漏电、短路保护器和足够数量的安全插座，存在私拉乱接电线现象的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008" w:type="dxa"/>
            <w:vAlign w:val="center"/>
          </w:tcPr>
          <w:p>
            <w:r>
              <w:t>6.9</w:t>
            </w:r>
          </w:p>
        </w:tc>
        <w:tc>
          <w:tcPr>
            <w:tcW w:w="6660" w:type="dxa"/>
          </w:tcPr>
          <w:p>
            <w:r>
              <w:rPr>
                <w:rFonts w:hint="eastAsia"/>
              </w:rPr>
              <w:t>宿舍内（包括值班室）违规使用大功率电器的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6.10</w:t>
            </w:r>
          </w:p>
        </w:tc>
        <w:tc>
          <w:tcPr>
            <w:tcW w:w="6660" w:type="dxa"/>
          </w:tcPr>
          <w:p>
            <w:r>
              <w:rPr>
                <w:rFonts w:hint="eastAsia"/>
              </w:rPr>
              <w:t>宿舍内混杂堆放工具、用具、易燃易爆或有毒物品的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6.11</w:t>
            </w:r>
          </w:p>
        </w:tc>
        <w:tc>
          <w:tcPr>
            <w:tcW w:w="6660" w:type="dxa"/>
          </w:tcPr>
          <w:p>
            <w:r>
              <w:rPr>
                <w:rFonts w:hint="eastAsia"/>
              </w:rPr>
              <w:t>宿舍内垃圾无人清扫，生活用品放置零乱的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6.12</w:t>
            </w:r>
          </w:p>
        </w:tc>
        <w:tc>
          <w:tcPr>
            <w:tcW w:w="6660" w:type="dxa"/>
          </w:tcPr>
          <w:p>
            <w:r>
              <w:rPr>
                <w:rFonts w:hint="eastAsia"/>
              </w:rPr>
              <w:t>无卫生防病宣传教育</w:t>
            </w:r>
            <w:r>
              <w:t>,</w:t>
            </w:r>
            <w:r>
              <w:rPr>
                <w:rFonts w:hint="eastAsia"/>
              </w:rPr>
              <w:t>或无保健医药箱、急救器材、急救措施和经培训的急救人员的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6.13</w:t>
            </w:r>
          </w:p>
        </w:tc>
        <w:tc>
          <w:tcPr>
            <w:tcW w:w="6660" w:type="dxa"/>
          </w:tcPr>
          <w:p>
            <w:r>
              <w:rPr>
                <w:rFonts w:hint="eastAsia"/>
              </w:rPr>
              <w:t>食堂卫生管理制度不全，管理不善，设施不全，卫生不符合要求，未按要求设置足够数量开水炉、电热水器或饮用水保温桶等基本生活设施的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6.14</w:t>
            </w:r>
          </w:p>
        </w:tc>
        <w:tc>
          <w:tcPr>
            <w:tcW w:w="6660" w:type="dxa"/>
          </w:tcPr>
          <w:p>
            <w:r>
              <w:rPr>
                <w:rFonts w:hint="eastAsia"/>
              </w:rPr>
              <w:t>宿舍区未提供为作业人员晾晒衣物的场地和设施</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008" w:type="dxa"/>
            <w:tcBorders>
              <w:top w:val="single" w:color="auto" w:sz="2" w:space="0"/>
            </w:tcBorders>
            <w:vAlign w:val="center"/>
          </w:tcPr>
          <w:p>
            <w:r>
              <w:t>6.15</w:t>
            </w:r>
          </w:p>
        </w:tc>
        <w:tc>
          <w:tcPr>
            <w:tcW w:w="6660" w:type="dxa"/>
            <w:tcBorders>
              <w:top w:val="single" w:color="auto" w:sz="2" w:space="0"/>
            </w:tcBorders>
          </w:tcPr>
          <w:p>
            <w:r>
              <w:rPr>
                <w:rFonts w:hint="eastAsia"/>
              </w:rPr>
              <w:t>宿舍区未设置水冲式厕所和符合要求淋浴室的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bottom w:val="single" w:color="auto" w:sz="2" w:space="0"/>
            </w:tcBorders>
            <w:vAlign w:val="center"/>
          </w:tcPr>
          <w:p>
            <w:r>
              <w:t>6.16</w:t>
            </w:r>
          </w:p>
        </w:tc>
        <w:tc>
          <w:tcPr>
            <w:tcW w:w="6660" w:type="dxa"/>
            <w:tcBorders>
              <w:top w:val="single" w:color="auto" w:sz="2" w:space="0"/>
              <w:bottom w:val="single" w:color="auto" w:sz="2" w:space="0"/>
            </w:tcBorders>
          </w:tcPr>
          <w:p>
            <w:r>
              <w:rPr>
                <w:rFonts w:hint="eastAsia"/>
              </w:rPr>
              <w:t>宿舍生活区未设置施工人员学习娱乐场所的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6.17</w:t>
            </w:r>
          </w:p>
        </w:tc>
        <w:tc>
          <w:tcPr>
            <w:tcW w:w="6660" w:type="dxa"/>
          </w:tcPr>
          <w:p>
            <w:r>
              <w:rPr>
                <w:rFonts w:hint="eastAsia"/>
              </w:rPr>
              <w:t>宿舍区墙壁屋顶不严密、门窗不齐全，或通风效果差的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6.18</w:t>
            </w:r>
          </w:p>
        </w:tc>
        <w:tc>
          <w:tcPr>
            <w:tcW w:w="6660" w:type="dxa"/>
          </w:tcPr>
          <w:p>
            <w:r>
              <w:rPr>
                <w:rFonts w:hint="eastAsia"/>
              </w:rPr>
              <w:t>宿舍无保暖、防暑、防蚊虫叮咬措施的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6.19</w:t>
            </w:r>
          </w:p>
        </w:tc>
        <w:tc>
          <w:tcPr>
            <w:tcW w:w="6660" w:type="dxa"/>
          </w:tcPr>
          <w:p>
            <w:r>
              <w:rPr>
                <w:rFonts w:hint="eastAsia"/>
              </w:rPr>
              <w:t>宿舍生活区、大门口及周围毗邻区域垃圾未装容器，垃圾清扫、清运不及时、排水不畅，环境卫生不符合要求的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bl>
    <w:p/>
    <w:p/>
    <w:p/>
    <w:p>
      <w:pPr>
        <w:jc w:val="center"/>
      </w:pPr>
      <w:r>
        <w:br w:type="page"/>
      </w:r>
      <w:r>
        <w:rPr>
          <w:rFonts w:hint="eastAsia"/>
        </w:rPr>
        <w:t>安全隐患整改通知书</w:t>
      </w:r>
    </w:p>
    <w:p>
      <w:r>
        <w:t xml:space="preserve">                                            </w:t>
      </w:r>
      <w:r>
        <w:rPr>
          <w:rFonts w:hint="eastAsia"/>
        </w:rPr>
        <w:t>基建（安）第</w:t>
      </w:r>
      <w:r>
        <w:t xml:space="preserve">   </w:t>
      </w:r>
      <w:r>
        <w:rPr>
          <w:rFonts w:hint="eastAsia"/>
        </w:rPr>
        <w:t>号</w:t>
      </w:r>
    </w:p>
    <w:tbl>
      <w:tblPr>
        <w:tblStyle w:val="14"/>
        <w:tblW w:w="9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r>
              <w:rPr>
                <w:rFonts w:hint="eastAsia"/>
              </w:rPr>
              <w:t>工程名称</w:t>
            </w:r>
          </w:p>
        </w:tc>
        <w:tc>
          <w:tcPr>
            <w:tcW w:w="2730" w:type="dxa"/>
            <w:vAlign w:val="center"/>
          </w:tcPr>
          <w:p/>
        </w:tc>
        <w:tc>
          <w:tcPr>
            <w:tcW w:w="2250" w:type="dxa"/>
            <w:vAlign w:val="center"/>
          </w:tcPr>
          <w:p>
            <w:r>
              <w:rPr>
                <w:rFonts w:hint="eastAsia"/>
              </w:rPr>
              <w:t>责任施工项目部</w:t>
            </w:r>
          </w:p>
        </w:tc>
        <w:tc>
          <w:tcPr>
            <w:tcW w:w="2473"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r>
              <w:rPr>
                <w:rFonts w:hint="eastAsia"/>
              </w:rPr>
              <w:t>责任监理项目部</w:t>
            </w:r>
          </w:p>
        </w:tc>
        <w:tc>
          <w:tcPr>
            <w:tcW w:w="2730" w:type="dxa"/>
            <w:vAlign w:val="center"/>
          </w:tcPr>
          <w:p/>
        </w:tc>
        <w:tc>
          <w:tcPr>
            <w:tcW w:w="2250" w:type="dxa"/>
            <w:vAlign w:val="center"/>
          </w:tcPr>
          <w:p>
            <w:r>
              <w:rPr>
                <w:rFonts w:hint="eastAsia"/>
              </w:rPr>
              <w:t>责任人（甲方）</w:t>
            </w:r>
          </w:p>
        </w:tc>
        <w:tc>
          <w:tcPr>
            <w:tcW w:w="2473"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41" w:type="dxa"/>
            <w:vAlign w:val="center"/>
          </w:tcPr>
          <w:p>
            <w:r>
              <w:rPr>
                <w:rFonts w:hint="eastAsia"/>
              </w:rPr>
              <w:t>序号</w:t>
            </w:r>
          </w:p>
        </w:tc>
        <w:tc>
          <w:tcPr>
            <w:tcW w:w="4095" w:type="dxa"/>
            <w:gridSpan w:val="2"/>
            <w:vAlign w:val="center"/>
          </w:tcPr>
          <w:p>
            <w:r>
              <w:rPr>
                <w:rFonts w:hint="eastAsia"/>
              </w:rPr>
              <w:t>存在的安全隐患</w:t>
            </w:r>
          </w:p>
        </w:tc>
        <w:tc>
          <w:tcPr>
            <w:tcW w:w="3300" w:type="dxa"/>
            <w:gridSpan w:val="2"/>
            <w:vAlign w:val="center"/>
          </w:tcPr>
          <w:p>
            <w:r>
              <w:rPr>
                <w:rFonts w:hint="eastAsia"/>
              </w:rPr>
              <w:t>整改建议</w:t>
            </w:r>
          </w:p>
        </w:tc>
        <w:tc>
          <w:tcPr>
            <w:tcW w:w="1423" w:type="dxa"/>
            <w:vAlign w:val="center"/>
          </w:tcPr>
          <w:p>
            <w:r>
              <w:rPr>
                <w:rFonts w:hint="eastAsia"/>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8"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1"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1"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4" w:hRule="atLeast"/>
          <w:jc w:val="center"/>
        </w:trPr>
        <w:tc>
          <w:tcPr>
            <w:tcW w:w="4936" w:type="dxa"/>
            <w:gridSpan w:val="3"/>
          </w:tcPr>
          <w:p>
            <w:r>
              <w:rPr>
                <w:rFonts w:hint="eastAsia"/>
              </w:rPr>
              <w:t>责任单位项目部（签章）：</w:t>
            </w:r>
          </w:p>
        </w:tc>
        <w:tc>
          <w:tcPr>
            <w:tcW w:w="4723" w:type="dxa"/>
            <w:gridSpan w:val="3"/>
          </w:tcPr>
          <w:p>
            <w:r>
              <w:rPr>
                <w:rFonts w:hint="eastAsia"/>
              </w:rPr>
              <w:t>检查人员（签字）：</w:t>
            </w:r>
          </w:p>
          <w:p/>
          <w:p>
            <w:r>
              <w:rPr>
                <w:rFonts w:hint="eastAsia"/>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jc w:val="center"/>
        </w:trPr>
        <w:tc>
          <w:tcPr>
            <w:tcW w:w="9659" w:type="dxa"/>
            <w:gridSpan w:val="6"/>
          </w:tcPr>
          <w:p>
            <w:r>
              <w:t xml:space="preserve">                           </w:t>
            </w:r>
          </w:p>
          <w:p>
            <w:r>
              <w:rPr>
                <w:rFonts w:hint="eastAsia"/>
              </w:rPr>
              <w:t>检查部门（签章）</w:t>
            </w:r>
          </w:p>
          <w:p>
            <w:r>
              <w:t xml:space="preserve">                                          </w:t>
            </w:r>
          </w:p>
          <w:p>
            <w:r>
              <w:rPr>
                <w:rFonts w:hint="eastAsia"/>
              </w:rPr>
              <w:t>二○　　年　　月　　　日</w:t>
            </w:r>
          </w:p>
        </w:tc>
      </w:tr>
    </w:tbl>
    <w:p>
      <w:r>
        <w:rPr>
          <w:rFonts w:hint="eastAsia"/>
        </w:rPr>
        <w:t>注：</w:t>
      </w:r>
      <w:r>
        <w:t>1</w:t>
      </w:r>
      <w:r>
        <w:rPr>
          <w:rFonts w:hint="eastAsia"/>
        </w:rPr>
        <w:t>、施工项目部收到本通知单后，须在指定时限内完成整改，并递交《施工安全隐患整改回复单》；</w:t>
      </w:r>
      <w:r>
        <w:t>2</w:t>
      </w:r>
      <w:r>
        <w:rPr>
          <w:rFonts w:hint="eastAsia"/>
        </w:rPr>
        <w:t>、本通知书一式三份，检查人员、责任施工项目部、责任监理项目部各持一份。</w:t>
      </w:r>
      <w:r>
        <w:t>3</w:t>
      </w:r>
      <w:r>
        <w:rPr>
          <w:rFonts w:hint="eastAsia"/>
        </w:rPr>
        <w:t>、表格中的签章是指签字或盖章。</w:t>
      </w:r>
    </w:p>
    <w:p>
      <w:pPr>
        <w:jc w:val="center"/>
      </w:pPr>
      <w:r>
        <w:br w:type="page"/>
      </w:r>
      <w:r>
        <w:rPr>
          <w:rFonts w:hint="eastAsia"/>
        </w:rPr>
        <w:t>安全文明施工工作联系单（处罚）</w:t>
      </w:r>
    </w:p>
    <w:p>
      <w:r>
        <w:rPr>
          <w:rFonts w:hint="eastAsia"/>
        </w:rPr>
        <w:t>基建（安）第</w:t>
      </w:r>
      <w:r>
        <w:t xml:space="preserve">   </w:t>
      </w:r>
      <w:r>
        <w:rPr>
          <w:rFonts w:hint="eastAsia"/>
        </w:rPr>
        <w:t>号</w:t>
      </w:r>
    </w:p>
    <w:tbl>
      <w:tblPr>
        <w:tblStyle w:val="14"/>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2476" w:type="dxa"/>
            <w:gridSpan w:val="3"/>
            <w:vAlign w:val="center"/>
          </w:tcPr>
          <w:p>
            <w:r>
              <w:rPr>
                <w:rFonts w:hint="eastAsia"/>
              </w:rPr>
              <w:t>责任单位项目部</w:t>
            </w:r>
          </w:p>
        </w:tc>
        <w:tc>
          <w:tcPr>
            <w:tcW w:w="7258"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381" w:type="dxa"/>
            <w:vMerge w:val="restart"/>
            <w:vAlign w:val="center"/>
          </w:tcPr>
          <w:p>
            <w:r>
              <w:rPr>
                <w:rFonts w:hint="eastAsia"/>
              </w:rPr>
              <w:t>整改通知书编号</w:t>
            </w:r>
          </w:p>
        </w:tc>
        <w:tc>
          <w:tcPr>
            <w:tcW w:w="8353" w:type="dxa"/>
            <w:gridSpan w:val="6"/>
            <w:vAlign w:val="center"/>
          </w:tcPr>
          <w:p>
            <w:r>
              <w:rPr>
                <w:rFonts w:hint="eastAsia"/>
              </w:rPr>
              <w:t>处</w:t>
            </w:r>
            <w:r>
              <w:t xml:space="preserve">   </w:t>
            </w:r>
            <w:r>
              <w:rPr>
                <w:rFonts w:hint="eastAsia"/>
              </w:rPr>
              <w:t>罚</w:t>
            </w:r>
            <w:r>
              <w:t xml:space="preserve">    </w:t>
            </w:r>
            <w:r>
              <w:rPr>
                <w:rFonts w:hint="eastAsia"/>
              </w:rPr>
              <w:t>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381" w:type="dxa"/>
            <w:vMerge w:val="continue"/>
            <w:vAlign w:val="center"/>
          </w:tcPr>
          <w:p/>
        </w:tc>
        <w:tc>
          <w:tcPr>
            <w:tcW w:w="1967" w:type="dxa"/>
            <w:gridSpan w:val="4"/>
            <w:vAlign w:val="center"/>
          </w:tcPr>
          <w:p>
            <w:r>
              <w:rPr>
                <w:rFonts w:hint="eastAsia"/>
              </w:rPr>
              <w:t>处罚数额（元）</w:t>
            </w:r>
          </w:p>
        </w:tc>
        <w:tc>
          <w:tcPr>
            <w:tcW w:w="6386" w:type="dxa"/>
            <w:gridSpan w:val="2"/>
            <w:vAlign w:val="center"/>
          </w:tcPr>
          <w:p>
            <w:r>
              <w:rPr>
                <w:rFonts w:hint="eastAsia"/>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908" w:type="dxa"/>
            <w:gridSpan w:val="2"/>
            <w:vAlign w:val="center"/>
          </w:tcPr>
          <w:p>
            <w:r>
              <w:rPr>
                <w:rFonts w:hint="eastAsia"/>
              </w:rPr>
              <w:t>处罚合计（元）</w:t>
            </w:r>
          </w:p>
        </w:tc>
        <w:tc>
          <w:tcPr>
            <w:tcW w:w="1440" w:type="dxa"/>
            <w:gridSpan w:val="3"/>
            <w:vAlign w:val="center"/>
          </w:tcPr>
          <w:p/>
        </w:tc>
        <w:tc>
          <w:tcPr>
            <w:tcW w:w="3148" w:type="dxa"/>
            <w:vAlign w:val="center"/>
          </w:tcPr>
          <w:p>
            <w:r>
              <w:rPr>
                <w:rFonts w:hint="eastAsia"/>
              </w:rPr>
              <w:t>检查人员</w:t>
            </w:r>
          </w:p>
        </w:tc>
        <w:tc>
          <w:tcPr>
            <w:tcW w:w="323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4" w:hRule="atLeast"/>
          <w:jc w:val="center"/>
        </w:trPr>
        <w:tc>
          <w:tcPr>
            <w:tcW w:w="3244" w:type="dxa"/>
            <w:gridSpan w:val="4"/>
          </w:tcPr>
          <w:p>
            <w:r>
              <w:rPr>
                <w:rFonts w:hint="eastAsia"/>
              </w:rPr>
              <w:t>责任施工项目部（签章）</w:t>
            </w:r>
          </w:p>
        </w:tc>
        <w:tc>
          <w:tcPr>
            <w:tcW w:w="3252" w:type="dxa"/>
            <w:gridSpan w:val="2"/>
          </w:tcPr>
          <w:p>
            <w:r>
              <w:rPr>
                <w:rFonts w:hint="eastAsia"/>
              </w:rPr>
              <w:t>责任监理项目部（签章）</w:t>
            </w:r>
          </w:p>
          <w:p/>
          <w:p/>
          <w:p/>
          <w:p/>
        </w:tc>
        <w:tc>
          <w:tcPr>
            <w:tcW w:w="3238" w:type="dxa"/>
          </w:tcPr>
          <w:p>
            <w:r>
              <w:rPr>
                <w:rFonts w:hint="eastAsia"/>
              </w:rPr>
              <w:t>签发部门（签章）</w:t>
            </w:r>
          </w:p>
          <w:p/>
          <w:p/>
          <w:p>
            <w:r>
              <w:rPr>
                <w:rFonts w:hint="eastAsia"/>
              </w:rPr>
              <w:t>二○</w:t>
            </w:r>
            <w:r>
              <w:t xml:space="preserve">   </w:t>
            </w:r>
            <w:r>
              <w:rPr>
                <w:rFonts w:hint="eastAsia"/>
              </w:rPr>
              <w:t>年</w:t>
            </w:r>
            <w:r>
              <w:t xml:space="preserve">   </w:t>
            </w:r>
            <w:r>
              <w:rPr>
                <w:rFonts w:hint="eastAsia"/>
              </w:rPr>
              <w:t>月</w:t>
            </w:r>
            <w:r>
              <w:t xml:space="preserve">    </w:t>
            </w:r>
            <w:r>
              <w:rPr>
                <w:rFonts w:hint="eastAsia"/>
              </w:rPr>
              <w:t>日</w:t>
            </w:r>
          </w:p>
        </w:tc>
      </w:tr>
    </w:tbl>
    <w:p>
      <w:pPr>
        <w:rPr>
          <w:rFonts w:eastAsia="黑体" w:cs="Calibri"/>
          <w:kern w:val="0"/>
          <w:sz w:val="32"/>
        </w:rPr>
      </w:pPr>
      <w:r>
        <w:rPr>
          <w:rFonts w:hint="eastAsia"/>
        </w:rPr>
        <w:t>注：</w:t>
      </w:r>
      <w:r>
        <w:t>1</w:t>
      </w:r>
      <w:r>
        <w:rPr>
          <w:rFonts w:hint="eastAsia"/>
        </w:rPr>
        <w:t>、本扣分通知单一式四份，信导部、签发人、责任施工项目部和责任监理项目部各持一份。</w:t>
      </w:r>
      <w:r>
        <w:t>2</w:t>
      </w:r>
      <w:r>
        <w:rPr>
          <w:rFonts w:hint="eastAsia"/>
        </w:rPr>
        <w:t>、表格中的签章是指签字或盖章。</w:t>
      </w:r>
      <w:bookmarkStart w:id="124" w:name="_Toc25339"/>
      <w:bookmarkStart w:id="125" w:name="_Toc321925456"/>
    </w:p>
    <w:p/>
    <w:p/>
    <w:p>
      <w:pPr>
        <w:jc w:val="center"/>
        <w:rPr>
          <w:rFonts w:eastAsia="黑体" w:cs="Calibri"/>
          <w:kern w:val="0"/>
          <w:sz w:val="32"/>
        </w:rPr>
      </w:pPr>
    </w:p>
    <w:p>
      <w:pPr>
        <w:keepNext/>
        <w:keepLines/>
        <w:spacing w:line="15" w:lineRule="auto"/>
        <w:jc w:val="center"/>
        <w:rPr>
          <w:rFonts w:eastAsia="黑体" w:cs="Calibri"/>
          <w:kern w:val="0"/>
          <w:sz w:val="32"/>
        </w:rPr>
      </w:pPr>
    </w:p>
    <w:bookmarkEnd w:id="124"/>
    <w:bookmarkEnd w:id="125"/>
    <w:p>
      <w:pPr>
        <w:pStyle w:val="2"/>
        <w:spacing w:before="0" w:after="0"/>
        <w:rPr>
          <w:rFonts w:ascii="Calibri" w:hAnsi="Calibri" w:eastAsia="黑体" w:cs="Calibri"/>
          <w:kern w:val="0"/>
          <w:sz w:val="32"/>
        </w:rPr>
      </w:pPr>
      <w:bookmarkStart w:id="126" w:name="_Toc29892"/>
    </w:p>
    <w:p>
      <w:pPr>
        <w:pStyle w:val="4"/>
        <w:spacing w:line="360" w:lineRule="exact"/>
        <w:ind w:firstLine="420"/>
        <w:rPr>
          <w:rFonts w:hAnsi="宋体" w:cs="Calibri"/>
          <w:bCs/>
          <w:sz w:val="22"/>
          <w:szCs w:val="22"/>
        </w:rPr>
      </w:pPr>
    </w:p>
    <w:p>
      <w:pPr>
        <w:pStyle w:val="4"/>
        <w:spacing w:line="360" w:lineRule="exact"/>
        <w:ind w:firstLine="420"/>
        <w:rPr>
          <w:rFonts w:hAnsi="宋体" w:cs="Calibri"/>
          <w:bCs/>
          <w:sz w:val="22"/>
          <w:szCs w:val="22"/>
        </w:rPr>
      </w:pPr>
    </w:p>
    <w:p>
      <w:pPr>
        <w:pStyle w:val="4"/>
        <w:spacing w:line="360" w:lineRule="exact"/>
        <w:ind w:firstLine="420"/>
        <w:rPr>
          <w:rFonts w:hAnsi="宋体" w:cs="Calibri"/>
          <w:bCs/>
          <w:sz w:val="22"/>
          <w:szCs w:val="22"/>
        </w:rPr>
      </w:pPr>
    </w:p>
    <w:p>
      <w:pPr>
        <w:pStyle w:val="4"/>
        <w:spacing w:line="360" w:lineRule="exact"/>
        <w:ind w:firstLine="420"/>
        <w:rPr>
          <w:rFonts w:hAnsi="宋体" w:cs="Calibri"/>
          <w:bCs/>
          <w:sz w:val="22"/>
          <w:szCs w:val="22"/>
        </w:rPr>
      </w:pPr>
    </w:p>
    <w:p>
      <w:pPr>
        <w:pStyle w:val="2"/>
        <w:spacing w:before="0" w:after="0"/>
        <w:jc w:val="center"/>
        <w:rPr>
          <w:rFonts w:hAnsi="宋体" w:cs="Calibri"/>
          <w:sz w:val="22"/>
          <w:szCs w:val="22"/>
        </w:rPr>
      </w:pPr>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p>
    <w:bookmarkEnd w:id="126"/>
    <w:p>
      <w:pPr>
        <w:pStyle w:val="4"/>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4"/>
        <w:spacing w:line="360" w:lineRule="exact"/>
        <w:rPr>
          <w:rFonts w:hAnsi="宋体" w:cs="Calibri"/>
          <w:b/>
          <w:bCs/>
          <w:sz w:val="22"/>
          <w:szCs w:val="22"/>
        </w:rPr>
      </w:pPr>
      <w:r>
        <w:rPr>
          <w:rFonts w:hAnsi="宋体" w:cs="Calibri"/>
          <w:b/>
          <w:bCs/>
          <w:sz w:val="22"/>
          <w:szCs w:val="22"/>
        </w:rPr>
        <w:t>一、评标原则</w:t>
      </w:r>
    </w:p>
    <w:p>
      <w:pPr>
        <w:pStyle w:val="4"/>
        <w:spacing w:line="360" w:lineRule="exact"/>
        <w:ind w:firstLine="420"/>
        <w:rPr>
          <w:rFonts w:hAnsi="宋体" w:cs="Calibri"/>
          <w:sz w:val="22"/>
          <w:szCs w:val="22"/>
        </w:rPr>
      </w:pPr>
      <w:r>
        <w:rPr>
          <w:rFonts w:hAnsi="宋体" w:cs="Calibri"/>
          <w:bCs/>
          <w:sz w:val="22"/>
          <w:szCs w:val="22"/>
        </w:rPr>
        <w:t>评标应遵循公平、公正、科学、择优的原则。</w:t>
      </w:r>
    </w:p>
    <w:p>
      <w:pPr>
        <w:pStyle w:val="4"/>
        <w:spacing w:line="360" w:lineRule="exact"/>
        <w:rPr>
          <w:rFonts w:hAnsi="宋体" w:cs="Calibri"/>
          <w:b/>
          <w:bCs/>
          <w:sz w:val="22"/>
          <w:szCs w:val="22"/>
        </w:rPr>
      </w:pPr>
      <w:r>
        <w:rPr>
          <w:rFonts w:hAnsi="宋体" w:cs="Calibri"/>
          <w:b/>
          <w:bCs/>
          <w:sz w:val="22"/>
          <w:szCs w:val="22"/>
        </w:rPr>
        <w:t>二、评标组织</w:t>
      </w:r>
    </w:p>
    <w:p>
      <w:pPr>
        <w:pStyle w:val="4"/>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否决投标处理</w:t>
      </w:r>
      <w:r>
        <w:rPr>
          <w:rFonts w:ascii="宋体" w:hAnsi="宋体" w:cs="Calibri"/>
          <w:b/>
          <w:bCs/>
          <w:kern w:val="0"/>
          <w:sz w:val="22"/>
        </w:rPr>
        <w:t>，</w:t>
      </w:r>
      <w:r>
        <w:rPr>
          <w:rFonts w:ascii="宋体" w:hAnsi="宋体" w:cs="Calibri"/>
          <w:bCs/>
          <w:kern w:val="0"/>
          <w:sz w:val="22"/>
        </w:rPr>
        <w:t>不再进行详细评审：</w:t>
      </w:r>
    </w:p>
    <w:p>
      <w:pPr>
        <w:spacing w:line="360" w:lineRule="exact"/>
        <w:ind w:firstLine="471"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1"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1"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Calibri"/>
          <w:sz w:val="22"/>
        </w:rPr>
      </w:pPr>
      <w:r>
        <w:rPr>
          <w:rFonts w:ascii="宋体" w:hAnsi="宋体" w:cs="Calibri"/>
          <w:sz w:val="22"/>
        </w:rPr>
        <w:t>5、</w:t>
      </w:r>
      <w:r>
        <w:rPr>
          <w:rFonts w:hint="eastAsia" w:ascii="宋体" w:hAnsi="宋体" w:cs="Calibri"/>
          <w:sz w:val="22"/>
        </w:rPr>
        <w:t>供货</w:t>
      </w:r>
      <w:r>
        <w:rPr>
          <w:rFonts w:ascii="宋体" w:hAnsi="宋体" w:cs="Calibri"/>
          <w:sz w:val="22"/>
        </w:rPr>
        <w:t>期不满足招标文件要求的；</w:t>
      </w:r>
    </w:p>
    <w:p>
      <w:pPr>
        <w:spacing w:line="360" w:lineRule="exact"/>
        <w:ind w:firstLine="471"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1"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1"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1"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1"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估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4"/>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3.3.1商务报价分70分</w:t>
      </w:r>
    </w:p>
    <w:p>
      <w:pPr>
        <w:pStyle w:val="4"/>
        <w:adjustRightInd w:val="0"/>
        <w:snapToGrid w:val="0"/>
        <w:spacing w:line="360" w:lineRule="exact"/>
        <w:ind w:firstLine="440" w:firstLineChars="200"/>
        <w:rPr>
          <w:rFonts w:hAnsi="宋体"/>
          <w:b/>
          <w:sz w:val="22"/>
          <w:szCs w:val="22"/>
        </w:rPr>
      </w:pP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报价评分应在投标报价响应招标文件要求的基础上，取所有有效投标报价按以下规则计算：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（1）有效投标报价平均值的计算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当n（有效投标报价数量，下同）≤5时，取所有有效投标报价的算术平均值；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当5＜n≤7时，取所有有效投标报价去掉1个最高和1个最低值后的算术平均值；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当7＜n≤10时，取所有有效投标报价去掉2个最高和2个最低值后的算术平均值；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当n＞10时，取所有有效投标报价去掉3个最高和3个最低值后的算术平均值。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（2）评标基准价的确定：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评标基准价：有效投标报价平均值与计算有效</w:t>
      </w:r>
      <w:r>
        <w:rPr>
          <w:rFonts w:hAnsi="宋体"/>
          <w:b/>
          <w:sz w:val="22"/>
          <w:szCs w:val="22"/>
        </w:rPr>
        <w:t>投标报价平均值</w:t>
      </w:r>
      <w:r>
        <w:rPr>
          <w:rFonts w:hint="eastAsia" w:hAnsi="宋体"/>
          <w:b/>
          <w:sz w:val="22"/>
          <w:szCs w:val="22"/>
        </w:rPr>
        <w:t>的有效投标报价中的次低投标价（不足4个的与最低投标价）的算术平均值为评标基准价。</w:t>
      </w:r>
    </w:p>
    <w:p>
      <w:pPr>
        <w:pStyle w:val="4"/>
        <w:adjustRightInd w:val="0"/>
        <w:snapToGrid w:val="0"/>
        <w:spacing w:line="360" w:lineRule="exact"/>
        <w:ind w:firstLine="440" w:firstLineChars="200"/>
        <w:rPr>
          <w:rFonts w:hAnsi="宋体" w:cs="Calibri"/>
          <w:sz w:val="22"/>
          <w:szCs w:val="22"/>
        </w:rPr>
      </w:pPr>
    </w:p>
    <w:tbl>
      <w:tblPr>
        <w:tblStyle w:val="1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701"/>
        <w:gridCol w:w="513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7" w:type="dxa"/>
            <w:vAlign w:val="center"/>
          </w:tcPr>
          <w:p>
            <w:pPr>
              <w:snapToGrid w:val="0"/>
              <w:jc w:val="center"/>
              <w:rPr>
                <w:rFonts w:ascii="宋体" w:hAnsi="宋体"/>
                <w:szCs w:val="21"/>
              </w:rPr>
            </w:pPr>
            <w:r>
              <w:rPr>
                <w:rFonts w:hint="eastAsia" w:ascii="宋体" w:hAnsi="宋体"/>
                <w:szCs w:val="21"/>
              </w:rPr>
              <w:t>评分因素</w:t>
            </w:r>
          </w:p>
          <w:p>
            <w:pPr>
              <w:snapToGrid w:val="0"/>
              <w:jc w:val="center"/>
              <w:rPr>
                <w:rFonts w:ascii="宋体" w:hAnsi="宋体"/>
                <w:szCs w:val="21"/>
              </w:rPr>
            </w:pPr>
            <w:r>
              <w:rPr>
                <w:rFonts w:hint="eastAsia" w:ascii="宋体" w:hAnsi="宋体"/>
                <w:szCs w:val="21"/>
              </w:rPr>
              <w:t>及分值权重</w:t>
            </w:r>
          </w:p>
        </w:tc>
        <w:tc>
          <w:tcPr>
            <w:tcW w:w="1701" w:type="dxa"/>
            <w:vAlign w:val="center"/>
          </w:tcPr>
          <w:p>
            <w:pPr>
              <w:snapToGrid w:val="0"/>
              <w:jc w:val="center"/>
              <w:rPr>
                <w:rFonts w:ascii="宋体" w:hAnsi="宋体"/>
                <w:szCs w:val="21"/>
              </w:rPr>
            </w:pPr>
            <w:r>
              <w:rPr>
                <w:rFonts w:hint="eastAsia" w:ascii="宋体" w:hAnsi="宋体"/>
                <w:szCs w:val="21"/>
              </w:rPr>
              <w:t>评审因素子项</w:t>
            </w:r>
          </w:p>
        </w:tc>
        <w:tc>
          <w:tcPr>
            <w:tcW w:w="5132" w:type="dxa"/>
            <w:vAlign w:val="center"/>
          </w:tcPr>
          <w:p>
            <w:pPr>
              <w:snapToGrid w:val="0"/>
              <w:jc w:val="center"/>
              <w:rPr>
                <w:rFonts w:ascii="宋体" w:hAnsi="宋体"/>
                <w:szCs w:val="21"/>
              </w:rPr>
            </w:pPr>
            <w:r>
              <w:rPr>
                <w:rFonts w:hint="eastAsia" w:ascii="宋体" w:hAnsi="宋体"/>
                <w:szCs w:val="21"/>
              </w:rPr>
              <w:t>评分标准</w:t>
            </w:r>
          </w:p>
        </w:tc>
        <w:tc>
          <w:tcPr>
            <w:tcW w:w="1276" w:type="dxa"/>
            <w:vAlign w:val="center"/>
          </w:tcPr>
          <w:p>
            <w:pPr>
              <w:snapToGrid w:val="0"/>
              <w:jc w:val="center"/>
              <w:rPr>
                <w:rFonts w:ascii="宋体" w:hAnsi="宋体"/>
                <w:szCs w:val="21"/>
              </w:rPr>
            </w:pPr>
            <w:r>
              <w:rPr>
                <w:rFonts w:hint="eastAsia" w:ascii="宋体" w:hAnsi="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trPr>
        <w:tc>
          <w:tcPr>
            <w:tcW w:w="1497" w:type="dxa"/>
            <w:vAlign w:val="center"/>
          </w:tcPr>
          <w:p>
            <w:pPr>
              <w:snapToGrid w:val="0"/>
              <w:jc w:val="center"/>
              <w:rPr>
                <w:rFonts w:ascii="宋体" w:hAnsi="宋体"/>
                <w:szCs w:val="21"/>
              </w:rPr>
            </w:pPr>
            <w:r>
              <w:rPr>
                <w:rFonts w:hint="eastAsia" w:ascii="宋体" w:hAnsi="宋体"/>
                <w:szCs w:val="21"/>
              </w:rPr>
              <w:t>商务评分</w:t>
            </w:r>
          </w:p>
          <w:p>
            <w:pPr>
              <w:snapToGrid w:val="0"/>
              <w:jc w:val="center"/>
              <w:rPr>
                <w:rFonts w:ascii="宋体" w:hAnsi="宋体"/>
                <w:szCs w:val="21"/>
              </w:rPr>
            </w:pPr>
            <w:r>
              <w:rPr>
                <w:rFonts w:hint="eastAsia" w:ascii="宋体" w:hAnsi="宋体"/>
                <w:szCs w:val="21"/>
              </w:rPr>
              <w:t>（</w:t>
            </w:r>
            <w:r>
              <w:rPr>
                <w:rFonts w:hint="eastAsia" w:ascii="宋体" w:hAnsi="宋体"/>
                <w:bCs/>
                <w:szCs w:val="21"/>
              </w:rPr>
              <w:t>满分70分）</w:t>
            </w:r>
          </w:p>
        </w:tc>
        <w:tc>
          <w:tcPr>
            <w:tcW w:w="1701" w:type="dxa"/>
            <w:vAlign w:val="center"/>
          </w:tcPr>
          <w:p>
            <w:pPr>
              <w:snapToGrid w:val="0"/>
              <w:jc w:val="center"/>
              <w:rPr>
                <w:rFonts w:ascii="宋体" w:hAnsi="宋体"/>
                <w:szCs w:val="21"/>
              </w:rPr>
            </w:pPr>
            <w:r>
              <w:rPr>
                <w:rFonts w:hint="eastAsia" w:ascii="宋体" w:hAnsi="宋体"/>
                <w:szCs w:val="21"/>
              </w:rPr>
              <w:t>投标报价</w:t>
            </w:r>
          </w:p>
          <w:p>
            <w:pPr>
              <w:snapToGrid w:val="0"/>
              <w:jc w:val="center"/>
              <w:rPr>
                <w:rFonts w:ascii="宋体" w:hAnsi="宋体"/>
                <w:szCs w:val="21"/>
              </w:rPr>
            </w:pPr>
            <w:r>
              <w:rPr>
                <w:rFonts w:hint="eastAsia" w:ascii="宋体" w:hAnsi="宋体"/>
                <w:szCs w:val="21"/>
              </w:rPr>
              <w:t>（70分）</w:t>
            </w:r>
          </w:p>
        </w:tc>
        <w:tc>
          <w:tcPr>
            <w:tcW w:w="5132" w:type="dxa"/>
            <w:vAlign w:val="center"/>
          </w:tcPr>
          <w:p>
            <w:pPr>
              <w:snapToGrid w:val="0"/>
              <w:jc w:val="left"/>
              <w:rPr>
                <w:rFonts w:ascii="宋体" w:hAnsi="宋体"/>
                <w:szCs w:val="21"/>
              </w:rPr>
            </w:pPr>
            <w:r>
              <w:rPr>
                <w:rFonts w:hint="eastAsia" w:ascii="宋体" w:hAnsi="宋体"/>
                <w:szCs w:val="21"/>
              </w:rPr>
              <w:t>与</w:t>
            </w:r>
            <w:r>
              <w:rPr>
                <w:rFonts w:hint="eastAsia" w:hAnsi="宋体"/>
                <w:b/>
                <w:sz w:val="22"/>
              </w:rPr>
              <w:t>评标</w:t>
            </w:r>
            <w:r>
              <w:rPr>
                <w:rFonts w:hint="eastAsia" w:ascii="宋体" w:hAnsi="宋体"/>
                <w:szCs w:val="21"/>
              </w:rPr>
              <w:t>基准价相等的为满分7</w:t>
            </w:r>
            <w:r>
              <w:rPr>
                <w:rFonts w:ascii="宋体" w:hAnsi="宋体"/>
                <w:szCs w:val="21"/>
              </w:rPr>
              <w:t>0</w:t>
            </w:r>
            <w:r>
              <w:rPr>
                <w:rFonts w:hint="eastAsia" w:ascii="宋体" w:hAnsi="宋体"/>
                <w:szCs w:val="21"/>
              </w:rPr>
              <w:t>分。</w:t>
            </w:r>
          </w:p>
          <w:p>
            <w:pPr>
              <w:snapToGrid w:val="0"/>
              <w:jc w:val="left"/>
              <w:rPr>
                <w:rFonts w:ascii="宋体" w:hAnsi="宋体"/>
                <w:szCs w:val="21"/>
              </w:rPr>
            </w:pPr>
            <w:r>
              <w:rPr>
                <w:rFonts w:hint="eastAsia" w:ascii="宋体" w:hAnsi="宋体"/>
                <w:szCs w:val="21"/>
              </w:rPr>
              <w:t>投标总价每高于</w:t>
            </w:r>
            <w:r>
              <w:rPr>
                <w:rFonts w:hint="eastAsia" w:hAnsi="宋体"/>
                <w:b/>
                <w:sz w:val="22"/>
              </w:rPr>
              <w:t>评标</w:t>
            </w:r>
            <w:r>
              <w:rPr>
                <w:rFonts w:hint="eastAsia" w:ascii="宋体" w:hAnsi="宋体"/>
                <w:szCs w:val="21"/>
              </w:rPr>
              <w:t>基准价1</w:t>
            </w:r>
            <w:r>
              <w:rPr>
                <w:rFonts w:ascii="宋体" w:hAnsi="宋体"/>
                <w:szCs w:val="21"/>
              </w:rPr>
              <w:t>%,</w:t>
            </w:r>
            <w:r>
              <w:rPr>
                <w:rFonts w:hint="eastAsia" w:ascii="宋体" w:hAnsi="宋体"/>
                <w:szCs w:val="21"/>
              </w:rPr>
              <w:t>扣1分；</w:t>
            </w:r>
          </w:p>
          <w:p>
            <w:pPr>
              <w:snapToGrid w:val="0"/>
              <w:jc w:val="left"/>
              <w:rPr>
                <w:rFonts w:ascii="宋体" w:hAnsi="宋体"/>
                <w:szCs w:val="21"/>
              </w:rPr>
            </w:pPr>
            <w:r>
              <w:rPr>
                <w:rFonts w:hint="eastAsia" w:ascii="宋体" w:hAnsi="宋体"/>
                <w:szCs w:val="21"/>
              </w:rPr>
              <w:t>投标总价每低于</w:t>
            </w:r>
            <w:r>
              <w:rPr>
                <w:rFonts w:hint="eastAsia" w:hAnsi="宋体"/>
                <w:b/>
                <w:sz w:val="22"/>
              </w:rPr>
              <w:t>评标</w:t>
            </w:r>
            <w:r>
              <w:rPr>
                <w:rFonts w:hint="eastAsia" w:ascii="宋体" w:hAnsi="宋体"/>
                <w:szCs w:val="21"/>
              </w:rPr>
              <w:t>基准价1%，扣0.5分。</w:t>
            </w:r>
          </w:p>
          <w:p>
            <w:pPr>
              <w:snapToGrid w:val="0"/>
              <w:jc w:val="left"/>
              <w:rPr>
                <w:rFonts w:ascii="宋体" w:hAnsi="宋体"/>
                <w:szCs w:val="21"/>
              </w:rPr>
            </w:pPr>
            <w:r>
              <w:rPr>
                <w:rFonts w:hint="eastAsia" w:ascii="宋体" w:hAnsi="宋体"/>
                <w:bCs/>
                <w:szCs w:val="21"/>
              </w:rPr>
              <w:t>投标报价分扣分至30分止。</w:t>
            </w:r>
          </w:p>
        </w:tc>
        <w:tc>
          <w:tcPr>
            <w:tcW w:w="1276" w:type="dxa"/>
            <w:vAlign w:val="center"/>
          </w:tcPr>
          <w:p>
            <w:pPr>
              <w:snapToGrid w:val="0"/>
              <w:jc w:val="center"/>
              <w:rPr>
                <w:rFonts w:ascii="宋体" w:hAnsi="宋体"/>
                <w:b/>
                <w:szCs w:val="21"/>
              </w:rPr>
            </w:pPr>
            <w:r>
              <w:rPr>
                <w:rFonts w:hint="eastAsia" w:ascii="宋体" w:hAnsi="宋体"/>
                <w:b/>
                <w:szCs w:val="21"/>
              </w:rPr>
              <w:t>30-7</w:t>
            </w:r>
            <w:r>
              <w:rPr>
                <w:rFonts w:ascii="宋体" w:hAnsi="宋体"/>
                <w:b/>
                <w:szCs w:val="21"/>
              </w:rPr>
              <w:t>0</w:t>
            </w:r>
            <w:r>
              <w:rPr>
                <w:rFonts w:hint="eastAsia" w:ascii="宋体" w:hAnsi="宋体"/>
                <w:b/>
                <w:szCs w:val="21"/>
              </w:rPr>
              <w:t>分</w:t>
            </w:r>
          </w:p>
        </w:tc>
      </w:tr>
    </w:tbl>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3.3.2、资信及技术评分   0-30分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4"/>
        <w:tblW w:w="9329"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830"/>
        <w:gridCol w:w="4995"/>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trPr>
        <w:tc>
          <w:tcPr>
            <w:tcW w:w="146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评分因素</w:t>
            </w:r>
          </w:p>
          <w:p>
            <w:pPr>
              <w:snapToGrid w:val="0"/>
              <w:jc w:val="center"/>
              <w:rPr>
                <w:rFonts w:ascii="宋体" w:hAnsi="宋体"/>
                <w:szCs w:val="21"/>
              </w:rPr>
            </w:pPr>
            <w:r>
              <w:rPr>
                <w:rFonts w:hint="eastAsia" w:ascii="宋体" w:hAnsi="宋体"/>
                <w:szCs w:val="21"/>
              </w:rPr>
              <w:t>及分值权重</w:t>
            </w:r>
          </w:p>
        </w:tc>
        <w:tc>
          <w:tcPr>
            <w:tcW w:w="18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评审因素子项</w:t>
            </w:r>
          </w:p>
        </w:tc>
        <w:tc>
          <w:tcPr>
            <w:tcW w:w="4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评分标准</w:t>
            </w:r>
          </w:p>
        </w:tc>
        <w:tc>
          <w:tcPr>
            <w:tcW w:w="103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restart"/>
            <w:vAlign w:val="center"/>
          </w:tcPr>
          <w:p>
            <w:pPr>
              <w:snapToGrid w:val="0"/>
              <w:jc w:val="center"/>
              <w:rPr>
                <w:rFonts w:ascii="宋体" w:hAnsi="宋体"/>
                <w:szCs w:val="21"/>
              </w:rPr>
            </w:pPr>
            <w:r>
              <w:rPr>
                <w:rFonts w:hint="eastAsia" w:ascii="宋体" w:hAnsi="宋体"/>
                <w:szCs w:val="21"/>
              </w:rPr>
              <w:t>技术及业绩标评分（满分</w:t>
            </w:r>
            <w:r>
              <w:rPr>
                <w:rFonts w:hint="eastAsia" w:ascii="宋体" w:hAnsi="宋体"/>
                <w:bCs/>
                <w:szCs w:val="21"/>
              </w:rPr>
              <w:t>30分）</w:t>
            </w:r>
          </w:p>
        </w:tc>
        <w:tc>
          <w:tcPr>
            <w:tcW w:w="1830" w:type="dxa"/>
            <w:tcBorders>
              <w:bottom w:val="single" w:color="auto" w:sz="4" w:space="0"/>
            </w:tcBorders>
            <w:vAlign w:val="center"/>
          </w:tcPr>
          <w:p>
            <w:pPr>
              <w:snapToGrid w:val="0"/>
              <w:jc w:val="center"/>
              <w:rPr>
                <w:rFonts w:ascii="宋体" w:hAnsi="宋体"/>
                <w:color w:val="000000"/>
                <w:szCs w:val="21"/>
              </w:rPr>
            </w:pPr>
            <w:r>
              <w:rPr>
                <w:rFonts w:hint="eastAsia" w:ascii="宋体" w:hAnsi="宋体" w:cs="Calibri"/>
                <w:kern w:val="0"/>
                <w:sz w:val="22"/>
                <w:lang w:val="zh-CN"/>
              </w:rPr>
              <w:t>设备技术指响应偏离情况</w:t>
            </w:r>
          </w:p>
        </w:tc>
        <w:tc>
          <w:tcPr>
            <w:tcW w:w="4995" w:type="dxa"/>
            <w:tcBorders>
              <w:bottom w:val="single" w:color="auto" w:sz="4" w:space="0"/>
            </w:tcBorders>
            <w:vAlign w:val="center"/>
          </w:tcPr>
          <w:p>
            <w:pPr>
              <w:widowControl/>
              <w:jc w:val="left"/>
              <w:rPr>
                <w:rFonts w:ascii="宋体" w:hAnsi="宋体"/>
                <w:color w:val="000000"/>
                <w:szCs w:val="21"/>
              </w:rPr>
            </w:pPr>
            <w:r>
              <w:rPr>
                <w:rFonts w:hint="eastAsia" w:ascii="宋体" w:hAnsi="宋体" w:cs="Calibri"/>
                <w:kern w:val="0"/>
                <w:sz w:val="22"/>
                <w:lang w:val="zh-CN"/>
              </w:rPr>
              <w:t>对投标文件中设备技术的偏离情况进行评分。满分</w:t>
            </w:r>
            <w:r>
              <w:rPr>
                <w:rFonts w:hint="eastAsia" w:ascii="宋体" w:hAnsi="宋体" w:cs="Calibri"/>
                <w:kern w:val="0"/>
                <w:sz w:val="22"/>
              </w:rPr>
              <w:t>5</w:t>
            </w:r>
            <w:r>
              <w:rPr>
                <w:rFonts w:hint="eastAsia" w:ascii="宋体" w:hAnsi="宋体" w:cs="Calibri"/>
                <w:kern w:val="0"/>
                <w:sz w:val="22"/>
                <w:lang w:val="zh-CN"/>
              </w:rPr>
              <w:t>分，每项负偏离扣</w:t>
            </w:r>
            <w:r>
              <w:rPr>
                <w:rFonts w:hint="eastAsia" w:ascii="宋体" w:hAnsi="宋体" w:cs="Calibri"/>
                <w:kern w:val="0"/>
                <w:sz w:val="22"/>
              </w:rPr>
              <w:t>1</w:t>
            </w:r>
            <w:r>
              <w:rPr>
                <w:rFonts w:hint="eastAsia" w:ascii="宋体" w:hAnsi="宋体" w:cs="Calibri"/>
                <w:kern w:val="0"/>
                <w:sz w:val="22"/>
                <w:lang w:val="zh-CN"/>
              </w:rPr>
              <w:t>分，扣完为止；</w:t>
            </w:r>
          </w:p>
        </w:tc>
        <w:tc>
          <w:tcPr>
            <w:tcW w:w="1035" w:type="dxa"/>
            <w:tcBorders>
              <w:bottom w:val="single" w:color="auto" w:sz="4" w:space="0"/>
            </w:tcBorders>
            <w:vAlign w:val="center"/>
          </w:tcPr>
          <w:p>
            <w:pPr>
              <w:snapToGrid w:val="0"/>
              <w:rPr>
                <w:rFonts w:ascii="宋体" w:hAnsi="宋体"/>
                <w:b/>
                <w:szCs w:val="21"/>
              </w:rPr>
            </w:pPr>
            <w:r>
              <w:rPr>
                <w:rFonts w:hint="eastAsia" w:ascii="宋体" w:hAnsi="宋体"/>
                <w:b/>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szCs w:val="21"/>
              </w:rPr>
            </w:pPr>
          </w:p>
        </w:tc>
        <w:tc>
          <w:tcPr>
            <w:tcW w:w="1830" w:type="dxa"/>
            <w:tcBorders>
              <w:bottom w:val="single" w:color="auto" w:sz="4" w:space="0"/>
            </w:tcBorders>
            <w:vAlign w:val="center"/>
          </w:tcPr>
          <w:p>
            <w:pPr>
              <w:snapToGrid w:val="0"/>
              <w:jc w:val="center"/>
              <w:rPr>
                <w:rFonts w:ascii="宋体" w:hAnsi="宋体"/>
                <w:sz w:val="22"/>
              </w:rPr>
            </w:pPr>
            <w:r>
              <w:rPr>
                <w:rFonts w:hint="eastAsia" w:ascii="宋体" w:hAnsi="宋体"/>
                <w:sz w:val="22"/>
              </w:rPr>
              <w:t>品牌优劣性比较</w:t>
            </w:r>
          </w:p>
        </w:tc>
        <w:tc>
          <w:tcPr>
            <w:tcW w:w="4995" w:type="dxa"/>
            <w:tcBorders>
              <w:bottom w:val="single" w:color="auto" w:sz="4" w:space="0"/>
            </w:tcBorders>
            <w:vAlign w:val="center"/>
          </w:tcPr>
          <w:p>
            <w:pPr>
              <w:widowControl/>
              <w:jc w:val="left"/>
              <w:rPr>
                <w:rFonts w:ascii="宋体" w:hAnsi="宋体"/>
              </w:rPr>
            </w:pPr>
            <w:r>
              <w:rPr>
                <w:rFonts w:hint="eastAsia" w:ascii="宋体" w:hAnsi="宋体" w:cs="Calibri"/>
                <w:kern w:val="0"/>
                <w:sz w:val="22"/>
              </w:rPr>
              <w:t>根据投标人提供的材料设备的参数(</w:t>
            </w:r>
            <w:r>
              <w:rPr>
                <w:rFonts w:hint="eastAsia" w:ascii="宋体" w:hAnsi="宋体" w:cs="宋体"/>
                <w:color w:val="000000"/>
                <w:kern w:val="0"/>
                <w:sz w:val="20"/>
                <w:szCs w:val="20"/>
                <w:lang w:bidi="ar"/>
              </w:rPr>
              <w:t xml:space="preserve"> LED像素点间距</w:t>
            </w:r>
            <w:r>
              <w:rPr>
                <w:rFonts w:hint="eastAsia" w:ascii="宋体" w:hAnsi="宋体" w:cs="Calibri"/>
                <w:kern w:val="0"/>
                <w:sz w:val="22"/>
              </w:rPr>
              <w:t>、屏幕白平衡亮度)、性能和品牌优劣性等横向比较。（设备参数需要提供证明材料）</w:t>
            </w:r>
          </w:p>
        </w:tc>
        <w:tc>
          <w:tcPr>
            <w:tcW w:w="1035" w:type="dxa"/>
            <w:tcBorders>
              <w:bottom w:val="single" w:color="auto" w:sz="4" w:space="0"/>
            </w:tcBorders>
            <w:vAlign w:val="center"/>
          </w:tcPr>
          <w:p>
            <w:pPr>
              <w:snapToGrid w:val="0"/>
              <w:rPr>
                <w:rFonts w:ascii="宋体" w:hAnsi="宋体"/>
                <w:b/>
                <w:szCs w:val="21"/>
              </w:rPr>
            </w:pPr>
            <w:r>
              <w:rPr>
                <w:rFonts w:hint="eastAsia" w:ascii="宋体" w:hAnsi="宋体"/>
                <w:b/>
                <w:szCs w:val="21"/>
              </w:rPr>
              <w:t>0-1</w:t>
            </w:r>
            <w:r>
              <w:rPr>
                <w:rFonts w:ascii="宋体" w:hAnsi="宋体"/>
                <w:b/>
                <w:szCs w:val="21"/>
              </w:rPr>
              <w:t>0</w:t>
            </w:r>
            <w:r>
              <w:rPr>
                <w:rFonts w:hint="eastAsia" w:ascii="宋体" w:hAnsi="宋体"/>
                <w:b/>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szCs w:val="21"/>
              </w:rPr>
            </w:pPr>
          </w:p>
        </w:tc>
        <w:tc>
          <w:tcPr>
            <w:tcW w:w="1830" w:type="dxa"/>
            <w:vAlign w:val="center"/>
          </w:tcPr>
          <w:p>
            <w:pPr>
              <w:jc w:val="center"/>
              <w:rPr>
                <w:rFonts w:ascii="宋体" w:hAnsi="宋体"/>
                <w:szCs w:val="21"/>
              </w:rPr>
            </w:pPr>
            <w:r>
              <w:rPr>
                <w:rFonts w:hint="eastAsia" w:ascii="宋体" w:hAnsi="宋体"/>
                <w:szCs w:val="21"/>
              </w:rPr>
              <w:t>设备安装、搬移和保护方案</w:t>
            </w:r>
          </w:p>
        </w:tc>
        <w:tc>
          <w:tcPr>
            <w:tcW w:w="4995" w:type="dxa"/>
            <w:vAlign w:val="center"/>
          </w:tcPr>
          <w:p>
            <w:pPr>
              <w:snapToGrid w:val="0"/>
              <w:jc w:val="left"/>
              <w:rPr>
                <w:rFonts w:ascii="宋体" w:hAnsi="宋体" w:cs="宋体"/>
                <w:bCs/>
                <w:iCs/>
                <w:szCs w:val="21"/>
              </w:rPr>
            </w:pPr>
            <w:r>
              <w:rPr>
                <w:rFonts w:hint="eastAsia" w:ascii="宋体" w:hAnsi="宋体"/>
                <w:szCs w:val="21"/>
              </w:rPr>
              <w:t>根据投标文件中对LED全彩大屏的安装方案，原单色LED大屏搬移、安装方案以及LCD显示屏的安装方案的描述详细性、合理性等进行横向比较。</w:t>
            </w:r>
            <w:r>
              <w:rPr>
                <w:rFonts w:hint="eastAsia" w:ascii="宋体" w:hAnsi="宋体" w:cs="宋体"/>
                <w:bCs/>
                <w:iCs/>
                <w:szCs w:val="21"/>
              </w:rPr>
              <w:t>未提交方案的，不得分。</w:t>
            </w:r>
          </w:p>
          <w:p>
            <w:pPr>
              <w:snapToGrid w:val="0"/>
              <w:jc w:val="left"/>
              <w:rPr>
                <w:rFonts w:ascii="宋体" w:hAnsi="宋体"/>
                <w:szCs w:val="21"/>
              </w:rPr>
            </w:pPr>
            <w:r>
              <w:rPr>
                <w:rFonts w:hint="eastAsia" w:ascii="宋体" w:hAnsi="宋体" w:cs="宋体"/>
                <w:bCs/>
                <w:iCs/>
                <w:szCs w:val="21"/>
              </w:rPr>
              <w:t>注</w:t>
            </w:r>
            <w:r>
              <w:rPr>
                <w:rFonts w:ascii="宋体" w:hAnsi="宋体" w:cs="宋体"/>
                <w:bCs/>
                <w:iCs/>
                <w:szCs w:val="21"/>
              </w:rPr>
              <w:t>：</w:t>
            </w:r>
            <w:r>
              <w:rPr>
                <w:rFonts w:hint="eastAsia" w:ascii="宋体" w:hAnsi="宋体" w:cs="宋体"/>
                <w:bCs/>
                <w:iCs/>
                <w:szCs w:val="21"/>
              </w:rPr>
              <w:t>投标人</w:t>
            </w:r>
            <w:r>
              <w:rPr>
                <w:rFonts w:ascii="宋体" w:hAnsi="宋体" w:cs="宋体"/>
                <w:bCs/>
                <w:iCs/>
                <w:szCs w:val="21"/>
              </w:rPr>
              <w:t>可根据踏勘情况提供符合招标人实际情况的合理方案</w:t>
            </w:r>
          </w:p>
        </w:tc>
        <w:tc>
          <w:tcPr>
            <w:tcW w:w="1035" w:type="dxa"/>
            <w:vAlign w:val="center"/>
          </w:tcPr>
          <w:p>
            <w:pPr>
              <w:snapToGrid w:val="0"/>
              <w:rPr>
                <w:rFonts w:ascii="宋体" w:hAnsi="宋体"/>
                <w:b/>
                <w:szCs w:val="21"/>
              </w:rPr>
            </w:pPr>
            <w:r>
              <w:rPr>
                <w:rFonts w:hint="eastAsia" w:ascii="宋体" w:hAnsi="宋体"/>
                <w:b/>
                <w:szCs w:val="21"/>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szCs w:val="21"/>
              </w:rPr>
            </w:pPr>
          </w:p>
        </w:tc>
        <w:tc>
          <w:tcPr>
            <w:tcW w:w="1830" w:type="dxa"/>
            <w:vAlign w:val="center"/>
          </w:tcPr>
          <w:p>
            <w:pPr>
              <w:snapToGrid w:val="0"/>
              <w:jc w:val="center"/>
              <w:rPr>
                <w:rFonts w:ascii="宋体" w:hAnsi="宋体"/>
                <w:color w:val="000000"/>
                <w:szCs w:val="21"/>
              </w:rPr>
            </w:pPr>
            <w:r>
              <w:rPr>
                <w:rFonts w:hint="eastAsia" w:ascii="宋体" w:hAnsi="宋体" w:cs="宋体"/>
                <w:sz w:val="22"/>
              </w:rPr>
              <w:t>服务能力及故障响应</w:t>
            </w:r>
          </w:p>
        </w:tc>
        <w:tc>
          <w:tcPr>
            <w:tcW w:w="4995" w:type="dxa"/>
            <w:vAlign w:val="center"/>
          </w:tcPr>
          <w:p>
            <w:pPr>
              <w:snapToGrid w:val="0"/>
              <w:jc w:val="left"/>
              <w:rPr>
                <w:rFonts w:ascii="宋体" w:hAnsi="宋体" w:cs="宋体"/>
                <w:sz w:val="22"/>
              </w:rPr>
            </w:pPr>
            <w:r>
              <w:rPr>
                <w:rFonts w:hint="eastAsia" w:ascii="宋体" w:hAnsi="宋体" w:cs="宋体"/>
                <w:sz w:val="22"/>
              </w:rPr>
              <w:t>具备4小时内响应并到达现场的能力，得2分；</w:t>
            </w:r>
          </w:p>
          <w:p>
            <w:pPr>
              <w:snapToGrid w:val="0"/>
              <w:jc w:val="left"/>
              <w:rPr>
                <w:rFonts w:ascii="宋体" w:hAnsi="宋体" w:cs="宋体"/>
                <w:sz w:val="22"/>
              </w:rPr>
            </w:pPr>
            <w:r>
              <w:rPr>
                <w:rFonts w:hint="eastAsia" w:ascii="宋体" w:hAnsi="宋体" w:cs="宋体"/>
                <w:sz w:val="22"/>
              </w:rPr>
              <w:t>具备8小时内响应并到达现场的能力，得1分；</w:t>
            </w:r>
          </w:p>
          <w:p>
            <w:pPr>
              <w:snapToGrid w:val="0"/>
              <w:jc w:val="left"/>
              <w:rPr>
                <w:rFonts w:ascii="宋体" w:hAnsi="宋体"/>
                <w:color w:val="000000"/>
                <w:szCs w:val="21"/>
              </w:rPr>
            </w:pPr>
            <w:r>
              <w:rPr>
                <w:rFonts w:hint="eastAsia" w:ascii="宋体" w:hAnsi="宋体" w:cs="宋体"/>
                <w:sz w:val="22"/>
              </w:rPr>
              <w:t>超过8小时不得分。</w:t>
            </w:r>
          </w:p>
        </w:tc>
        <w:tc>
          <w:tcPr>
            <w:tcW w:w="1035" w:type="dxa"/>
            <w:vAlign w:val="center"/>
          </w:tcPr>
          <w:p>
            <w:pPr>
              <w:snapToGrid w:val="0"/>
              <w:rPr>
                <w:rFonts w:ascii="宋体" w:hAnsi="宋体"/>
                <w:b/>
                <w:szCs w:val="21"/>
              </w:rPr>
            </w:pPr>
            <w:r>
              <w:rPr>
                <w:rFonts w:hint="eastAsia" w:ascii="宋体" w:hAnsi="宋体"/>
                <w:b/>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5" w:hRule="atLeast"/>
        </w:trPr>
        <w:tc>
          <w:tcPr>
            <w:tcW w:w="1469" w:type="dxa"/>
            <w:vMerge w:val="continue"/>
            <w:vAlign w:val="center"/>
          </w:tcPr>
          <w:p>
            <w:pPr>
              <w:snapToGrid w:val="0"/>
              <w:jc w:val="left"/>
              <w:rPr>
                <w:rFonts w:ascii="宋体" w:hAnsi="宋体"/>
                <w:szCs w:val="21"/>
              </w:rPr>
            </w:pPr>
          </w:p>
        </w:tc>
        <w:tc>
          <w:tcPr>
            <w:tcW w:w="1830" w:type="dxa"/>
            <w:vAlign w:val="center"/>
          </w:tcPr>
          <w:p>
            <w:pPr>
              <w:snapToGrid w:val="0"/>
              <w:jc w:val="left"/>
              <w:rPr>
                <w:rFonts w:ascii="宋体" w:hAnsi="宋体"/>
                <w:szCs w:val="21"/>
              </w:rPr>
            </w:pPr>
            <w:r>
              <w:rPr>
                <w:rFonts w:hint="eastAsia" w:ascii="宋体" w:hAnsi="宋体"/>
                <w:szCs w:val="21"/>
              </w:rPr>
              <w:t>业绩</w:t>
            </w:r>
          </w:p>
        </w:tc>
        <w:tc>
          <w:tcPr>
            <w:tcW w:w="4995" w:type="dxa"/>
            <w:vAlign w:val="center"/>
          </w:tcPr>
          <w:p>
            <w:pPr>
              <w:snapToGrid w:val="0"/>
              <w:jc w:val="left"/>
              <w:rPr>
                <w:rFonts w:ascii="宋体" w:hAnsi="宋体"/>
                <w:szCs w:val="21"/>
              </w:rPr>
            </w:pPr>
            <w:r>
              <w:rPr>
                <w:rFonts w:hint="eastAsia" w:ascii="宋体" w:hAnsi="宋体"/>
                <w:szCs w:val="21"/>
              </w:rPr>
              <w:t>投标人近三年（</w:t>
            </w:r>
            <w:r>
              <w:rPr>
                <w:rFonts w:hint="eastAsia" w:ascii="宋体" w:hAnsi="宋体" w:cs="Calibri"/>
                <w:sz w:val="22"/>
              </w:rPr>
              <w:t>合同签订时间或部分供货期在2016年1月1日至投标截止日</w:t>
            </w:r>
            <w:r>
              <w:rPr>
                <w:rFonts w:hint="eastAsia" w:ascii="宋体" w:hAnsi="宋体"/>
                <w:szCs w:val="21"/>
              </w:rPr>
              <w:t>）具有LED大屏采购安装施工项目成功业绩：金额大于100万（含），每个业绩得1分；金额20万（含）至100万（不含），每个业绩得0.5分。同一业绩不重复计分，本项最高分为3分。（需提供合同复印件并加盖投标人公章作为证明材料，原件备查）</w:t>
            </w:r>
          </w:p>
        </w:tc>
        <w:tc>
          <w:tcPr>
            <w:tcW w:w="1035" w:type="dxa"/>
            <w:vAlign w:val="center"/>
          </w:tcPr>
          <w:p>
            <w:pPr>
              <w:snapToGrid w:val="0"/>
              <w:rPr>
                <w:rFonts w:ascii="宋体" w:hAnsi="宋体"/>
                <w:b/>
                <w:szCs w:val="21"/>
              </w:rPr>
            </w:pPr>
            <w:r>
              <w:rPr>
                <w:rFonts w:hint="eastAsia" w:ascii="宋体" w:hAnsi="宋体"/>
                <w:b/>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5" w:hRule="atLeast"/>
        </w:trPr>
        <w:tc>
          <w:tcPr>
            <w:tcW w:w="1469" w:type="dxa"/>
            <w:vAlign w:val="center"/>
          </w:tcPr>
          <w:p>
            <w:pPr>
              <w:snapToGrid w:val="0"/>
              <w:jc w:val="left"/>
              <w:rPr>
                <w:rFonts w:ascii="宋体" w:hAnsi="宋体"/>
                <w:szCs w:val="21"/>
              </w:rPr>
            </w:pPr>
          </w:p>
        </w:tc>
        <w:tc>
          <w:tcPr>
            <w:tcW w:w="1830" w:type="dxa"/>
            <w:vAlign w:val="center"/>
          </w:tcPr>
          <w:p>
            <w:pPr>
              <w:snapToGrid w:val="0"/>
              <w:jc w:val="left"/>
              <w:rPr>
                <w:rFonts w:ascii="宋体" w:hAnsi="宋体"/>
                <w:szCs w:val="21"/>
              </w:rPr>
            </w:pPr>
            <w:r>
              <w:rPr>
                <w:rFonts w:hint="eastAsia" w:ascii="宋体" w:hAnsi="宋体" w:cs="宋体"/>
                <w:szCs w:val="21"/>
              </w:rPr>
              <w:t>质保服务</w:t>
            </w:r>
          </w:p>
        </w:tc>
        <w:tc>
          <w:tcPr>
            <w:tcW w:w="4995" w:type="dxa"/>
            <w:vAlign w:val="center"/>
          </w:tcPr>
          <w:p>
            <w:pPr>
              <w:snapToGrid w:val="0"/>
              <w:jc w:val="left"/>
              <w:rPr>
                <w:rFonts w:ascii="宋体" w:hAnsi="宋体"/>
                <w:szCs w:val="21"/>
              </w:rPr>
            </w:pPr>
            <w:r>
              <w:rPr>
                <w:rFonts w:hint="eastAsia" w:ascii="宋体" w:hAnsi="宋体" w:cs="宋体"/>
                <w:szCs w:val="21"/>
              </w:rPr>
              <w:t>根据投标单位的服务体系、质量保证措施、质保期进行横向比较。</w:t>
            </w:r>
          </w:p>
        </w:tc>
        <w:tc>
          <w:tcPr>
            <w:tcW w:w="1035" w:type="dxa"/>
            <w:vAlign w:val="center"/>
          </w:tcPr>
          <w:p>
            <w:pPr>
              <w:snapToGrid w:val="0"/>
              <w:rPr>
                <w:rFonts w:ascii="宋体" w:hAnsi="宋体"/>
                <w:b/>
                <w:szCs w:val="21"/>
              </w:rPr>
            </w:pPr>
            <w:r>
              <w:rPr>
                <w:rFonts w:hint="eastAsia" w:ascii="宋体" w:hAnsi="宋体"/>
                <w:b/>
                <w:szCs w:val="21"/>
              </w:rPr>
              <w:t>0-</w:t>
            </w:r>
            <w:r>
              <w:rPr>
                <w:rFonts w:ascii="宋体" w:hAnsi="宋体"/>
                <w:b/>
                <w:szCs w:val="21"/>
              </w:rPr>
              <w:t>2</w:t>
            </w:r>
            <w:r>
              <w:rPr>
                <w:rFonts w:hint="eastAsia" w:ascii="宋体" w:hAnsi="宋体"/>
                <w:b/>
                <w:szCs w:val="21"/>
              </w:rPr>
              <w:t>分</w:t>
            </w:r>
          </w:p>
        </w:tc>
      </w:tr>
    </w:tbl>
    <w:p>
      <w:pPr>
        <w:pStyle w:val="4"/>
        <w:adjustRightInd w:val="0"/>
        <w:snapToGrid w:val="0"/>
        <w:spacing w:line="360" w:lineRule="exact"/>
        <w:ind w:firstLine="440" w:firstLineChars="200"/>
        <w:rPr>
          <w:rFonts w:hAnsi="宋体" w:cs="Calibri"/>
          <w:sz w:val="22"/>
          <w:szCs w:val="22"/>
        </w:rPr>
      </w:pPr>
    </w:p>
    <w:p>
      <w:pPr>
        <w:pStyle w:val="4"/>
        <w:adjustRightInd w:val="0"/>
        <w:snapToGrid w:val="0"/>
        <w:spacing w:line="360" w:lineRule="exact"/>
        <w:ind w:firstLine="440" w:firstLineChars="200"/>
        <w:rPr>
          <w:rFonts w:hAnsi="宋体" w:cs="Calibri"/>
          <w:sz w:val="22"/>
          <w:szCs w:val="22"/>
        </w:rPr>
      </w:pPr>
    </w:p>
    <w:p>
      <w:pPr>
        <w:pStyle w:val="4"/>
        <w:spacing w:line="360" w:lineRule="exact"/>
        <w:rPr>
          <w:rFonts w:hAnsi="宋体" w:cs="Calibri"/>
          <w:b/>
          <w:sz w:val="22"/>
          <w:szCs w:val="22"/>
        </w:rPr>
      </w:pPr>
      <w:r>
        <w:rPr>
          <w:rFonts w:hAnsi="宋体" w:cs="Calibri"/>
          <w:b/>
          <w:sz w:val="22"/>
          <w:szCs w:val="22"/>
        </w:rPr>
        <w:t>3.4推荐中标候选人</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3.4.1当有效投标文件大于等于二名时，评标委员会</w:t>
      </w:r>
      <w:r>
        <w:rPr>
          <w:rFonts w:hint="eastAsia" w:hAnsi="宋体" w:cs="Calibri"/>
          <w:sz w:val="22"/>
          <w:szCs w:val="22"/>
        </w:rPr>
        <w:t>推荐得分最高、次高的投标人为中标候选人（如果得分相同则按投标人报价从低到高顺序推荐为中标候选人，如果投标报价也相同，则抽签决定）。</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3.4.2当有效投标文件只有一名时，则由评标委员会确定是否推荐为中标候选人。</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2" w:firstLineChars="200"/>
        <w:rPr>
          <w:rFonts w:hAnsi="宋体" w:cs="Calibri"/>
          <w:b/>
          <w:sz w:val="22"/>
          <w:szCs w:val="22"/>
        </w:rPr>
      </w:pPr>
      <w:r>
        <w:rPr>
          <w:rFonts w:hint="eastAsia" w:hAnsi="宋体" w:cs="Calibri"/>
          <w:b/>
          <w:sz w:val="22"/>
          <w:szCs w:val="22"/>
        </w:rPr>
        <w:t>4.4招标人对评标、定标结果不负责解释。</w:t>
      </w:r>
    </w:p>
    <w:p>
      <w:pPr>
        <w:pStyle w:val="2"/>
        <w:spacing w:before="0" w:after="0"/>
        <w:jc w:val="center"/>
        <w:rPr>
          <w:rFonts w:cs="Calibri"/>
          <w:sz w:val="24"/>
        </w:rPr>
      </w:pPr>
      <w:r>
        <w:br w:type="page"/>
      </w:r>
      <w:bookmarkStart w:id="127" w:name="_Toc14922"/>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27"/>
    </w:p>
    <w:p>
      <w:pPr>
        <w:spacing w:line="440" w:lineRule="exact"/>
        <w:jc w:val="center"/>
        <w:rPr>
          <w:rFonts w:cs="Calibri"/>
          <w:b/>
          <w:sz w:val="28"/>
          <w:szCs w:val="28"/>
        </w:rPr>
      </w:pPr>
      <w:r>
        <w:rPr>
          <w:rFonts w:cs="Calibri"/>
          <w:b/>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二、</w:t>
      </w:r>
      <w:r>
        <w:rPr>
          <w:rFonts w:ascii="等线" w:hAnsi="等线" w:cs="Calibri"/>
          <w:color w:val="000000"/>
          <w:sz w:val="22"/>
        </w:rPr>
        <w:t>法定代表人资格证明书；</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三、</w:t>
      </w:r>
      <w:r>
        <w:rPr>
          <w:rFonts w:ascii="等线" w:hAnsi="等线" w:cs="Calibri"/>
          <w:color w:val="000000"/>
          <w:sz w:val="22"/>
        </w:rPr>
        <w:t>授权委托书；</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四、</w:t>
      </w:r>
      <w:r>
        <w:rPr>
          <w:rFonts w:ascii="等线" w:hAnsi="等线" w:cs="Calibri"/>
          <w:color w:val="000000"/>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（1）投标人一般情况及有关证明投标人法律地位的文件（附营业执照、税务登记证、相关产品质量认证证书、相关产品鉴定证书等）。</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（3）制造商资格声明。</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（4）设备制造商的授权书（代理商投标时提供）</w:t>
      </w:r>
    </w:p>
    <w:p>
      <w:pPr>
        <w:adjustRightInd w:val="0"/>
        <w:snapToGrid w:val="0"/>
        <w:spacing w:line="400" w:lineRule="exact"/>
        <w:ind w:firstLine="440" w:firstLineChars="200"/>
        <w:rPr>
          <w:rFonts w:ascii="宋体" w:hAnsi="宋体" w:cs="宋体"/>
          <w:sz w:val="22"/>
        </w:rPr>
      </w:pPr>
      <w:r>
        <w:rPr>
          <w:rFonts w:hint="eastAsia" w:ascii="宋体" w:hAnsi="宋体" w:cs="Calibri"/>
          <w:sz w:val="22"/>
        </w:rPr>
        <w:t>（5）投标产品近三年（合同签订时间或部分供货期在2016年1月1日至投标截止日）的销售业绩一览表（附业绩的合同）。六、</w:t>
      </w:r>
      <w:r>
        <w:rPr>
          <w:rFonts w:hint="eastAsia" w:ascii="宋体" w:hAnsi="宋体" w:cs="宋体"/>
          <w:sz w:val="22"/>
        </w:rPr>
        <w:t>技术规格偏离表；</w:t>
      </w:r>
    </w:p>
    <w:p>
      <w:pPr>
        <w:adjustRightInd w:val="0"/>
        <w:snapToGrid w:val="0"/>
        <w:spacing w:line="400" w:lineRule="exact"/>
        <w:ind w:firstLine="440" w:firstLineChars="200"/>
        <w:rPr>
          <w:rFonts w:ascii="宋体" w:hAnsi="宋体" w:cs="Calibri"/>
          <w:sz w:val="22"/>
        </w:rPr>
      </w:pPr>
      <w:r>
        <w:rPr>
          <w:rFonts w:hint="eastAsia" w:ascii="宋体" w:hAnsi="宋体" w:cs="宋体"/>
          <w:sz w:val="22"/>
        </w:rPr>
        <w:t>七、商务条款响应偏离表；</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八、系统设备供货范围（包括设备数量、型号规格、产地、品牌），进口零部件详细清单（需说明产地、品牌）；</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九、技术参数、结构及性能特点等产品技术规格书</w:t>
      </w:r>
      <w:r>
        <w:rPr>
          <w:rFonts w:hint="eastAsia" w:ascii="宋体" w:hAnsi="宋体" w:cs="Calibri"/>
          <w:sz w:val="22"/>
        </w:rPr>
        <w:t>（含外观彩色图片）</w:t>
      </w:r>
      <w:r>
        <w:rPr>
          <w:rFonts w:hint="eastAsia" w:ascii="宋体" w:hAnsi="宋体" w:cs="宋体"/>
          <w:sz w:val="22"/>
        </w:rPr>
        <w:t>；</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十、主要原材料及部件性能和生产厂家；</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十一、产品制造、安装、验收标准和验收方法；</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十二、现场指导、调试；</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十三、</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十四、提供详细的培训计划，包括培训内容、培训时间、培训人数等；</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十五、关于质量保证期的说明；</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十六、优惠条件：投标人承诺给予用户的其他优惠条款，包括付款条件、培训服务、质量保证期等方面的优惠；</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十七、</w:t>
      </w:r>
      <w:r>
        <w:rPr>
          <w:rFonts w:hint="eastAsia" w:ascii="等线" w:hAnsi="等线" w:cs="Arial"/>
          <w:color w:val="000000"/>
          <w:sz w:val="22"/>
        </w:rPr>
        <w:t>投标人认为</w:t>
      </w:r>
      <w:r>
        <w:rPr>
          <w:rFonts w:ascii="等线" w:hAnsi="等线" w:cs="Arial"/>
          <w:color w:val="000000"/>
          <w:sz w:val="22"/>
        </w:rPr>
        <w:t>应该提供的其他材料</w:t>
      </w:r>
      <w:r>
        <w:rPr>
          <w:rFonts w:hint="eastAsia" w:ascii="宋体" w:hAnsi="宋体" w:cs="宋体"/>
          <w:sz w:val="22"/>
        </w:rPr>
        <w:t>。</w:t>
      </w:r>
    </w:p>
    <w:p>
      <w:pPr>
        <w:adjustRightInd w:val="0"/>
        <w:snapToGrid w:val="0"/>
        <w:spacing w:line="400" w:lineRule="exact"/>
        <w:ind w:firstLine="440" w:firstLineChars="200"/>
        <w:rPr>
          <w:rFonts w:ascii="宋体" w:hAnsi="宋体" w:cs="Calibri"/>
          <w:color w:val="000000"/>
          <w:sz w:val="22"/>
        </w:rPr>
      </w:pPr>
    </w:p>
    <w:p>
      <w:pPr>
        <w:rPr>
          <w:rFonts w:ascii="宋体" w:hAnsi="宋体" w:cs="Calibri"/>
          <w:sz w:val="22"/>
        </w:rPr>
      </w:pPr>
    </w:p>
    <w:p>
      <w:pPr>
        <w:spacing w:line="440" w:lineRule="exact"/>
        <w:rPr>
          <w:rFonts w:ascii="宋体" w:hAnsi="宋体" w:cs="Calibri"/>
          <w:color w:val="000000"/>
          <w:sz w:val="22"/>
        </w:rPr>
      </w:pPr>
    </w:p>
    <w:p>
      <w:pPr>
        <w:widowControl/>
        <w:jc w:val="left"/>
        <w:rPr>
          <w:rFonts w:cs="Calibri"/>
        </w:rPr>
      </w:pPr>
      <w:r>
        <w:rPr>
          <w:rFonts w:hint="eastAsia" w:ascii="宋体" w:hAnsi="宋体" w:cs="Calibri"/>
          <w:b/>
          <w:bCs/>
          <w:color w:val="000000"/>
          <w:sz w:val="22"/>
        </w:rPr>
        <w:t>注：</w:t>
      </w:r>
      <w:r>
        <w:rPr>
          <w:rFonts w:hint="eastAsia" w:ascii="宋体" w:hAnsi="宋体" w:cs="Calibri"/>
          <w:b/>
          <w:bCs/>
          <w:color w:val="FF0000"/>
          <w:sz w:val="22"/>
        </w:rPr>
        <w:t>未提供格式的由投标人自行拟定格式</w:t>
      </w:r>
      <w:r>
        <w:rPr>
          <w:rFonts w:hint="eastAsia" w:ascii="宋体" w:hAnsi="宋体" w:cs="Calibri"/>
          <w:color w:val="000000"/>
          <w:sz w:val="22"/>
        </w:rPr>
        <w:t>。</w:t>
      </w:r>
      <w:r>
        <w:rPr>
          <w:rFonts w:cs="Calibri"/>
        </w:rPr>
        <w:br w:type="page"/>
      </w:r>
      <w:r>
        <w:rPr>
          <w:rFonts w:cs="Calibri"/>
        </w:rPr>
        <w:t>正本（或副本）</w:t>
      </w:r>
    </w:p>
    <w:p>
      <w:pPr>
        <w:spacing w:line="440" w:lineRule="exact"/>
        <w:rPr>
          <w:rFonts w:cs="Calibri"/>
          <w:sz w:val="24"/>
          <w:u w:val="single"/>
        </w:rPr>
      </w:pPr>
      <w:bookmarkStart w:id="128" w:name="_Toc171421958"/>
      <w:r>
        <w:rPr>
          <w:rFonts w:cs="Calibri"/>
        </w:rPr>
        <w:t>封面</w:t>
      </w:r>
      <w:bookmarkEnd w:id="128"/>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sz w:val="36"/>
          <w:szCs w:val="36"/>
        </w:rPr>
      </w:pPr>
    </w:p>
    <w:p>
      <w:pPr>
        <w:spacing w:line="440" w:lineRule="exact"/>
        <w:ind w:firstLine="480" w:firstLineChars="200"/>
        <w:jc w:val="center"/>
        <w:rPr>
          <w:rFonts w:cs="Calibri"/>
          <w:sz w:val="24"/>
        </w:rPr>
      </w:pPr>
    </w:p>
    <w:p>
      <w:pPr>
        <w:spacing w:line="440" w:lineRule="exact"/>
        <w:jc w:val="center"/>
        <w:rPr>
          <w:rFonts w:cs="Calibri"/>
          <w:sz w:val="44"/>
          <w:szCs w:val="44"/>
        </w:rPr>
      </w:pPr>
    </w:p>
    <w:p>
      <w:pPr>
        <w:spacing w:before="480" w:beforeLines="200" w:after="480" w:afterLines="200" w:line="440" w:lineRule="exact"/>
        <w:jc w:val="center"/>
        <w:rPr>
          <w:rFonts w:cs="Calibri"/>
          <w:b/>
          <w:bCs/>
          <w:sz w:val="84"/>
          <w:szCs w:val="84"/>
        </w:rPr>
      </w:pPr>
      <w:r>
        <w:rPr>
          <w:rFonts w:cs="Calibri"/>
          <w:b/>
          <w:bCs/>
          <w:sz w:val="84"/>
          <w:szCs w:val="84"/>
        </w:rPr>
        <w:t>投标文件</w:t>
      </w:r>
    </w:p>
    <w:p>
      <w:pPr>
        <w:spacing w:line="440" w:lineRule="exact"/>
        <w:ind w:firstLine="480" w:firstLineChars="200"/>
        <w:jc w:val="center"/>
        <w:rPr>
          <w:rFonts w:cs="Calibri"/>
          <w:sz w:val="24"/>
        </w:rPr>
      </w:pPr>
    </w:p>
    <w:p>
      <w:pPr>
        <w:spacing w:line="440" w:lineRule="exact"/>
        <w:ind w:firstLine="480" w:firstLineChars="200"/>
        <w:rPr>
          <w:rFonts w:cs="Calibri"/>
          <w:sz w:val="24"/>
        </w:rPr>
      </w:pPr>
      <w:r>
        <w:rPr>
          <w:rFonts w:cs="Calibri"/>
          <w:sz w:val="24"/>
        </w:rPr>
        <w:t xml:space="preserve">                  </w:t>
      </w: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360" w:lineRule="auto"/>
        <w:ind w:firstLine="1400" w:firstLineChars="500"/>
        <w:rPr>
          <w:rFonts w:cs="Calibri"/>
          <w:sz w:val="28"/>
          <w:szCs w:val="28"/>
          <w:u w:val="single"/>
        </w:rPr>
      </w:pPr>
      <w:r>
        <w:rPr>
          <w:rFonts w:cs="Calibri"/>
          <w:sz w:val="28"/>
          <w:szCs w:val="28"/>
        </w:rPr>
        <w:t>投标人：</w:t>
      </w:r>
      <w:r>
        <w:rPr>
          <w:rFonts w:cs="Calibri"/>
          <w:sz w:val="28"/>
          <w:szCs w:val="28"/>
          <w:u w:val="single"/>
        </w:rPr>
        <w:t xml:space="preserve">                （盖单位章）           </w:t>
      </w:r>
    </w:p>
    <w:p>
      <w:pPr>
        <w:spacing w:line="360" w:lineRule="auto"/>
        <w:ind w:firstLine="1400" w:firstLineChars="500"/>
        <w:rPr>
          <w:rFonts w:cs="Calibri"/>
          <w:sz w:val="28"/>
          <w:szCs w:val="28"/>
        </w:rPr>
      </w:pPr>
      <w:r>
        <w:rPr>
          <w:rFonts w:cs="Calibri"/>
          <w:sz w:val="28"/>
          <w:szCs w:val="28"/>
        </w:rPr>
        <w:t>法定代表人或其委托代理人：</w:t>
      </w:r>
      <w:r>
        <w:rPr>
          <w:rFonts w:cs="Calibri"/>
          <w:sz w:val="28"/>
          <w:szCs w:val="28"/>
          <w:u w:val="single"/>
        </w:rPr>
        <w:t xml:space="preserve">   （签字或盖章）   </w:t>
      </w:r>
    </w:p>
    <w:p>
      <w:pPr>
        <w:spacing w:line="360" w:lineRule="auto"/>
        <w:ind w:firstLine="1400" w:firstLineChars="500"/>
        <w:rPr>
          <w:rFonts w:cs="Calibri"/>
          <w:sz w:val="28"/>
          <w:szCs w:val="28"/>
        </w:rPr>
      </w:pPr>
      <w:r>
        <w:rPr>
          <w:rFonts w:cs="Calibri"/>
          <w:sz w:val="28"/>
          <w:szCs w:val="28"/>
        </w:rPr>
        <w:t>日  期：</w:t>
      </w:r>
      <w:r>
        <w:rPr>
          <w:rFonts w:cs="Calibri"/>
          <w:sz w:val="28"/>
          <w:szCs w:val="28"/>
          <w:u w:val="single"/>
        </w:rPr>
        <w:t xml:space="preserve">        </w:t>
      </w:r>
      <w:r>
        <w:rPr>
          <w:rFonts w:cs="Calibri"/>
          <w:sz w:val="28"/>
          <w:szCs w:val="28"/>
        </w:rPr>
        <w:t>年</w:t>
      </w:r>
      <w:r>
        <w:rPr>
          <w:rFonts w:cs="Calibri"/>
          <w:sz w:val="28"/>
          <w:szCs w:val="28"/>
          <w:u w:val="single"/>
        </w:rPr>
        <w:t xml:space="preserve">         </w:t>
      </w:r>
      <w:r>
        <w:rPr>
          <w:rFonts w:cs="Calibri"/>
          <w:sz w:val="28"/>
          <w:szCs w:val="28"/>
        </w:rPr>
        <w:t>月</w:t>
      </w:r>
      <w:r>
        <w:rPr>
          <w:rFonts w:cs="Calibri"/>
          <w:sz w:val="28"/>
          <w:szCs w:val="28"/>
          <w:u w:val="single"/>
        </w:rPr>
        <w:t xml:space="preserve">        </w:t>
      </w:r>
      <w:r>
        <w:rPr>
          <w:rFonts w:cs="Calibri"/>
          <w:sz w:val="28"/>
          <w:szCs w:val="28"/>
        </w:rPr>
        <w:t>日</w:t>
      </w:r>
    </w:p>
    <w:p>
      <w:pPr>
        <w:spacing w:line="360" w:lineRule="auto"/>
        <w:ind w:firstLine="1400" w:firstLineChars="500"/>
        <w:rPr>
          <w:rFonts w:cs="Calibri"/>
          <w:sz w:val="28"/>
          <w:szCs w:val="28"/>
        </w:rPr>
      </w:pPr>
    </w:p>
    <w:p>
      <w:pPr>
        <w:spacing w:line="360" w:lineRule="auto"/>
        <w:jc w:val="center"/>
        <w:rPr>
          <w:rFonts w:eastAsia="黑体" w:cs="Calibri"/>
          <w:bCs/>
          <w:sz w:val="32"/>
          <w:szCs w:val="32"/>
        </w:rPr>
      </w:pPr>
      <w:r>
        <w:rPr>
          <w:rFonts w:cs="Calibri"/>
          <w:sz w:val="24"/>
        </w:rPr>
        <w:br w:type="page"/>
      </w:r>
      <w:r>
        <w:rPr>
          <w:rFonts w:eastAsia="黑体" w:cs="Calibri"/>
          <w:bCs/>
          <w:sz w:val="32"/>
          <w:szCs w:val="32"/>
        </w:rPr>
        <w:t>一、投 标 函</w:t>
      </w:r>
    </w:p>
    <w:p>
      <w:pPr>
        <w:spacing w:line="440" w:lineRule="exact"/>
        <w:jc w:val="center"/>
        <w:rPr>
          <w:rFonts w:cs="Calibri"/>
          <w:b/>
          <w:bCs/>
          <w:sz w:val="28"/>
          <w:szCs w:val="28"/>
        </w:rPr>
      </w:pPr>
    </w:p>
    <w:p>
      <w:pPr>
        <w:spacing w:line="440" w:lineRule="exact"/>
        <w:rPr>
          <w:rFonts w:ascii="宋体" w:hAnsi="宋体"/>
          <w:sz w:val="22"/>
        </w:rPr>
      </w:pPr>
      <w:r>
        <w:rPr>
          <w:rFonts w:hint="eastAsia" w:ascii="宋体" w:hAnsi="宋体"/>
          <w:sz w:val="22"/>
        </w:rPr>
        <w:t>致：杭州萧山国际机场有限公司</w:t>
      </w:r>
    </w:p>
    <w:p>
      <w:pPr>
        <w:overflowPunct w:val="0"/>
        <w:autoSpaceDE w:val="0"/>
        <w:autoSpaceDN w:val="0"/>
        <w:spacing w:line="440" w:lineRule="exact"/>
        <w:ind w:firstLine="440" w:firstLineChars="200"/>
        <w:rPr>
          <w:rFonts w:ascii="宋体" w:hAnsi="宋体"/>
          <w:sz w:val="22"/>
        </w:rPr>
      </w:pPr>
      <w:r>
        <w:rPr>
          <w:rFonts w:hint="eastAsia" w:ascii="宋体" w:hAnsi="宋体"/>
          <w:sz w:val="22"/>
        </w:rPr>
        <w:t>根据贵方杭州萧山国际机场</w:t>
      </w:r>
      <w:r>
        <w:rPr>
          <w:rFonts w:hint="eastAsia" w:ascii="宋体" w:hAnsi="宋体"/>
          <w:sz w:val="22"/>
          <w:u w:val="single"/>
        </w:rPr>
        <w:t xml:space="preserve">             </w:t>
      </w:r>
      <w:r>
        <w:rPr>
          <w:rFonts w:hint="eastAsia" w:ascii="宋体" w:hAnsi="宋体"/>
          <w:sz w:val="22"/>
        </w:rPr>
        <w:t>采购项目的招标文件，授权代表</w:t>
      </w:r>
      <w:r>
        <w:rPr>
          <w:rFonts w:hint="eastAsia" w:ascii="宋体" w:hAnsi="宋体" w:cs="Arial"/>
          <w:sz w:val="22"/>
          <w:u w:val="single"/>
        </w:rPr>
        <w:t xml:space="preserve">        </w:t>
      </w:r>
      <w:r>
        <w:rPr>
          <w:rFonts w:hint="eastAsia" w:ascii="宋体" w:hAnsi="宋体"/>
          <w:sz w:val="22"/>
        </w:rPr>
        <w:t>(全名、职务)经正式授权，代表投标人</w:t>
      </w:r>
      <w:r>
        <w:rPr>
          <w:rFonts w:hint="eastAsia" w:ascii="宋体" w:hAnsi="宋体" w:cs="Arial"/>
          <w:sz w:val="22"/>
          <w:u w:val="single"/>
        </w:rPr>
        <w:t xml:space="preserve">                    </w:t>
      </w:r>
      <w:r>
        <w:rPr>
          <w:rFonts w:hint="eastAsia" w:ascii="宋体" w:hAnsi="宋体"/>
          <w:sz w:val="22"/>
        </w:rPr>
        <w:t>(投标人名称、地址)递交下述文件正本一份、副本二份。</w:t>
      </w:r>
    </w:p>
    <w:p>
      <w:pPr>
        <w:overflowPunct w:val="0"/>
        <w:autoSpaceDE w:val="0"/>
        <w:autoSpaceDN w:val="0"/>
        <w:spacing w:line="440" w:lineRule="exact"/>
        <w:ind w:firstLine="440" w:firstLineChars="200"/>
        <w:rPr>
          <w:rFonts w:ascii="宋体" w:hAnsi="宋体" w:cs="Arial"/>
          <w:sz w:val="22"/>
        </w:rPr>
      </w:pPr>
      <w:r>
        <w:rPr>
          <w:rFonts w:hint="eastAsia" w:ascii="宋体" w:hAnsi="宋体" w:cs="Arial"/>
          <w:sz w:val="22"/>
        </w:rPr>
        <w:t>据此函，本授权代表宣布同意如下：</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所投标报价汇总表中规定的应提供的货物和服务，投标总价为人民币：</w:t>
      </w:r>
    </w:p>
    <w:p>
      <w:pPr>
        <w:overflowPunct w:val="0"/>
        <w:autoSpaceDE w:val="0"/>
        <w:autoSpaceDN w:val="0"/>
        <w:spacing w:line="440" w:lineRule="exact"/>
        <w:ind w:left="416" w:leftChars="198" w:firstLine="440" w:firstLineChars="200"/>
        <w:rPr>
          <w:rFonts w:ascii="宋体" w:hAnsi="宋体"/>
          <w:sz w:val="22"/>
        </w:rPr>
      </w:pPr>
      <w:r>
        <w:rPr>
          <w:rFonts w:hint="eastAsia" w:ascii="宋体" w:hAnsi="宋体"/>
          <w:sz w:val="22"/>
        </w:rPr>
        <w:t>(大写)</w:t>
      </w:r>
      <w:r>
        <w:rPr>
          <w:rFonts w:hint="eastAsia" w:ascii="宋体" w:hAnsi="宋体"/>
          <w:sz w:val="22"/>
          <w:u w:val="single"/>
        </w:rPr>
        <w:t xml:space="preserve">                   </w:t>
      </w:r>
      <w:r>
        <w:rPr>
          <w:rFonts w:hint="eastAsia" w:ascii="宋体" w:hAnsi="宋体"/>
          <w:sz w:val="22"/>
        </w:rPr>
        <w:t>(小写)</w:t>
      </w:r>
      <w:r>
        <w:rPr>
          <w:rFonts w:hint="eastAsia" w:ascii="宋体" w:hAnsi="宋体"/>
          <w:sz w:val="22"/>
          <w:u w:val="single"/>
        </w:rPr>
        <w:t xml:space="preserve">             </w:t>
      </w:r>
      <w:r>
        <w:rPr>
          <w:rFonts w:hint="eastAsia" w:ascii="宋体" w:hAnsi="宋体"/>
          <w:sz w:val="22"/>
        </w:rPr>
        <w:t>。</w:t>
      </w:r>
    </w:p>
    <w:p>
      <w:pPr>
        <w:overflowPunct w:val="0"/>
        <w:autoSpaceDE w:val="0"/>
        <w:autoSpaceDN w:val="0"/>
        <w:spacing w:line="440" w:lineRule="exact"/>
        <w:ind w:left="416" w:leftChars="198" w:firstLine="440" w:firstLineChars="200"/>
        <w:rPr>
          <w:rFonts w:ascii="宋体" w:hAnsi="宋体"/>
          <w:sz w:val="22"/>
        </w:rPr>
      </w:pPr>
      <w:r>
        <w:rPr>
          <w:rFonts w:hint="eastAsia" w:ascii="宋体" w:hAnsi="宋体"/>
          <w:sz w:val="22"/>
        </w:rPr>
        <w:t>供货期：合同签订后</w:t>
      </w:r>
      <w:r>
        <w:rPr>
          <w:rFonts w:hint="eastAsia" w:ascii="宋体" w:hAnsi="宋体"/>
          <w:sz w:val="22"/>
          <w:u w:val="single"/>
        </w:rPr>
        <w:t xml:space="preserve">      </w:t>
      </w:r>
      <w:r>
        <w:rPr>
          <w:rFonts w:hint="eastAsia" w:ascii="宋体" w:hAnsi="宋体"/>
          <w:sz w:val="22"/>
        </w:rPr>
        <w:t>日历天、投标品牌：</w:t>
      </w:r>
      <w:r>
        <w:rPr>
          <w:rFonts w:hint="eastAsia" w:ascii="宋体" w:hAnsi="宋体"/>
          <w:sz w:val="22"/>
          <w:u w:val="single"/>
        </w:rPr>
        <w:t xml:space="preserve">        </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我方承诺：</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我方不是失信被执行人；</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我方在规定期限内无行贿犯罪记录；</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我方具有一般纳税人资格，可提供增值税专用发票；</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我方注册资金符合本项目招标文件资格条件要求。</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如我方中标，我方承诺：</w:t>
      </w:r>
    </w:p>
    <w:p>
      <w:pPr>
        <w:numPr>
          <w:ilvl w:val="0"/>
          <w:numId w:val="9"/>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在收到中标通知书后，在中标通知书规定的期限内与你方签订合同；</w:t>
      </w:r>
    </w:p>
    <w:p>
      <w:pPr>
        <w:numPr>
          <w:ilvl w:val="0"/>
          <w:numId w:val="9"/>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在签订合同时不向你方提出附加条件；</w:t>
      </w:r>
    </w:p>
    <w:p>
      <w:pPr>
        <w:numPr>
          <w:ilvl w:val="0"/>
          <w:numId w:val="9"/>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按照招标文件要求提交履约保证金；</w:t>
      </w:r>
    </w:p>
    <w:p>
      <w:pPr>
        <w:tabs>
          <w:tab w:val="left" w:pos="840"/>
        </w:tabs>
        <w:overflowPunct w:val="0"/>
        <w:autoSpaceDE w:val="0"/>
        <w:autoSpaceDN w:val="0"/>
        <w:spacing w:line="440" w:lineRule="exact"/>
        <w:ind w:left="907"/>
        <w:rPr>
          <w:rFonts w:ascii="宋体" w:hAnsi="宋体"/>
          <w:sz w:val="22"/>
        </w:rPr>
      </w:pPr>
      <w:r>
        <w:rPr>
          <w:rFonts w:hint="eastAsia" w:ascii="宋体" w:hAnsi="宋体"/>
          <w:sz w:val="22"/>
        </w:rPr>
        <w:t>④在合同约定的期限内完成合同规定的全部义务。</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我方已详细审查招标文件包括澄清函和修改文件(若有)、所有已提供的资料以及有关附件，我司已完全理解上述文件的全部内容，并放弃提出任何误解或不明作为抗辩的权利。。</w:t>
      </w:r>
    </w:p>
    <w:p>
      <w:pPr>
        <w:numPr>
          <w:ilvl w:val="0"/>
          <w:numId w:val="7"/>
        </w:numPr>
        <w:tabs>
          <w:tab w:val="left" w:pos="840"/>
        </w:tabs>
        <w:overflowPunct w:val="0"/>
        <w:autoSpaceDE w:val="0"/>
        <w:autoSpaceDN w:val="0"/>
        <w:spacing w:line="440" w:lineRule="exact"/>
        <w:ind w:left="840" w:hanging="420"/>
        <w:rPr>
          <w:rFonts w:ascii="宋体" w:hAnsi="宋体"/>
          <w:sz w:val="22"/>
        </w:rPr>
      </w:pPr>
      <w:r>
        <w:rPr>
          <w:rFonts w:hint="eastAsia" w:ascii="宋体" w:hAnsi="宋体"/>
          <w:sz w:val="22"/>
        </w:rPr>
        <w:t>本投标的投标有效期为自投标截止之日起120日内。</w:t>
      </w:r>
    </w:p>
    <w:p>
      <w:pPr>
        <w:numPr>
          <w:ilvl w:val="0"/>
          <w:numId w:val="7"/>
        </w:numPr>
        <w:tabs>
          <w:tab w:val="left" w:pos="840"/>
        </w:tabs>
        <w:overflowPunct w:val="0"/>
        <w:autoSpaceDE w:val="0"/>
        <w:autoSpaceDN w:val="0"/>
        <w:spacing w:line="440" w:lineRule="exact"/>
        <w:ind w:left="840" w:hanging="420"/>
        <w:rPr>
          <w:rFonts w:ascii="宋体" w:hAnsi="宋体"/>
          <w:sz w:val="22"/>
        </w:rPr>
      </w:pPr>
      <w:r>
        <w:rPr>
          <w:rFonts w:hint="eastAsia" w:ascii="宋体" w:hAnsi="宋体"/>
          <w:sz w:val="22"/>
        </w:rPr>
        <w:t>我方完全清楚并理解在投标有效期期满之前撤回投标，招标人有权</w:t>
      </w:r>
      <w:r>
        <w:rPr>
          <w:rFonts w:hint="eastAsia" w:ascii="宋体" w:hAnsi="宋体" w:cs="宋体"/>
          <w:sz w:val="22"/>
        </w:rPr>
        <w:t>不予退还</w:t>
      </w:r>
      <w:r>
        <w:rPr>
          <w:rFonts w:hint="eastAsia" w:ascii="宋体" w:hAnsi="宋体"/>
          <w:sz w:val="22"/>
        </w:rPr>
        <w:t>投标人的投标保证金及银行同期存款利息。</w:t>
      </w:r>
    </w:p>
    <w:p>
      <w:pPr>
        <w:numPr>
          <w:ilvl w:val="0"/>
          <w:numId w:val="7"/>
        </w:numPr>
        <w:tabs>
          <w:tab w:val="left" w:pos="840"/>
        </w:tabs>
        <w:overflowPunct w:val="0"/>
        <w:autoSpaceDE w:val="0"/>
        <w:autoSpaceDN w:val="0"/>
        <w:spacing w:line="440" w:lineRule="exact"/>
        <w:ind w:left="840" w:hanging="420"/>
        <w:rPr>
          <w:rFonts w:ascii="宋体" w:hAnsi="宋体"/>
          <w:sz w:val="22"/>
        </w:rPr>
      </w:pPr>
      <w:r>
        <w:rPr>
          <w:rFonts w:hint="eastAsia" w:ascii="宋体" w:hAnsi="宋体"/>
          <w:sz w:val="22"/>
        </w:rPr>
        <w:t>我方同意按照你方可能提出的要求，提供有关的任何其它数字或资料，并对贵方可能不接受最低报价及任何报价表示理解。</w:t>
      </w:r>
    </w:p>
    <w:p>
      <w:pPr>
        <w:snapToGrid w:val="0"/>
        <w:spacing w:line="440" w:lineRule="exact"/>
        <w:ind w:firstLine="3300" w:firstLineChars="1500"/>
        <w:rPr>
          <w:rFonts w:ascii="宋体" w:hAnsi="宋体"/>
          <w:sz w:val="22"/>
        </w:rPr>
      </w:pPr>
      <w:r>
        <w:rPr>
          <w:rFonts w:ascii="宋体" w:hAnsi="宋体"/>
          <w:sz w:val="22"/>
        </w:rPr>
        <w:t xml:space="preserve"> </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投标人：（盖单位章）</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法定代表人或其委托代理人：（签字或盖章）</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地    址：</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邮政编码：</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电    话：</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传    真：</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开户银行：</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账    号：</w:t>
      </w:r>
    </w:p>
    <w:p>
      <w:pPr>
        <w:snapToGrid w:val="0"/>
        <w:spacing w:line="440" w:lineRule="exact"/>
        <w:ind w:firstLine="3300" w:firstLineChars="1500"/>
        <w:rPr>
          <w:rFonts w:cs="Calibri"/>
          <w:szCs w:val="21"/>
        </w:rPr>
      </w:pPr>
      <w:r>
        <w:rPr>
          <w:rFonts w:ascii="等线" w:hAnsi="等线" w:cs="Calibri"/>
          <w:color w:val="000000"/>
          <w:sz w:val="22"/>
        </w:rPr>
        <w:t>日    期：    年     月     日</w:t>
      </w:r>
    </w:p>
    <w:p>
      <w:pPr>
        <w:snapToGrid w:val="0"/>
        <w:spacing w:line="440" w:lineRule="exact"/>
        <w:ind w:firstLine="3150" w:firstLineChars="1500"/>
        <w:rPr>
          <w:rFonts w:cs="Calibri"/>
          <w:szCs w:val="21"/>
        </w:rPr>
      </w:pPr>
    </w:p>
    <w:p>
      <w:pPr>
        <w:adjustRightInd w:val="0"/>
        <w:snapToGrid w:val="0"/>
        <w:jc w:val="center"/>
        <w:rPr>
          <w:rFonts w:eastAsia="黑体" w:cs="Calibri"/>
          <w:color w:val="000000"/>
          <w:sz w:val="32"/>
          <w:szCs w:val="32"/>
        </w:rPr>
      </w:pPr>
      <w:r>
        <w:rPr>
          <w:rFonts w:eastAsia="黑体" w:cs="Calibri"/>
          <w:sz w:val="32"/>
          <w:szCs w:val="3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u w:val="single"/>
        </w:rPr>
      </w:pPr>
      <w:r>
        <w:rPr>
          <w:rFonts w:cs="Calibri"/>
          <w:color w:val="000000"/>
          <w:sz w:val="22"/>
        </w:rPr>
        <w:t>投标人名称：</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单位性质：</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地址：</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成立时间：</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pacing w:after="120" w:afterLines="50" w:line="440" w:lineRule="exact"/>
        <w:rPr>
          <w:rFonts w:cs="Calibri"/>
          <w:color w:val="000000"/>
          <w:sz w:val="22"/>
          <w:u w:val="single"/>
        </w:rPr>
      </w:pPr>
      <w:r>
        <w:rPr>
          <w:rFonts w:cs="Calibri"/>
          <w:color w:val="000000"/>
          <w:sz w:val="22"/>
        </w:rPr>
        <w:t>经营期限：</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姓名：</w:t>
      </w:r>
      <w:r>
        <w:rPr>
          <w:rFonts w:cs="Calibri"/>
          <w:color w:val="000000"/>
          <w:sz w:val="22"/>
          <w:u w:val="single"/>
        </w:rPr>
        <w:t xml:space="preserve">         </w:t>
      </w:r>
      <w:r>
        <w:rPr>
          <w:rFonts w:cs="Calibri"/>
          <w:color w:val="000000"/>
          <w:sz w:val="22"/>
        </w:rPr>
        <w:t xml:space="preserve">  性别：</w:t>
      </w:r>
      <w:r>
        <w:rPr>
          <w:rFonts w:cs="Calibri"/>
          <w:color w:val="000000"/>
          <w:sz w:val="22"/>
          <w:u w:val="single"/>
        </w:rPr>
        <w:t xml:space="preserve">         </w:t>
      </w:r>
      <w:r>
        <w:rPr>
          <w:rFonts w:cs="Calibri"/>
          <w:color w:val="000000"/>
          <w:sz w:val="22"/>
        </w:rPr>
        <w:t xml:space="preserve">  年龄：</w:t>
      </w:r>
      <w:r>
        <w:rPr>
          <w:rFonts w:cs="Calibri"/>
          <w:color w:val="000000"/>
          <w:sz w:val="22"/>
          <w:u w:val="single"/>
        </w:rPr>
        <w:t xml:space="preserve">         </w:t>
      </w:r>
      <w:r>
        <w:rPr>
          <w:rFonts w:cs="Calibri"/>
          <w:color w:val="000000"/>
          <w:sz w:val="22"/>
        </w:rPr>
        <w:t xml:space="preserve">  职务：</w:t>
      </w:r>
      <w:r>
        <w:rPr>
          <w:rFonts w:cs="Calibri"/>
          <w:color w:val="000000"/>
          <w:sz w:val="22"/>
          <w:u w:val="single"/>
        </w:rPr>
        <w:t xml:space="preserve">         </w:t>
      </w:r>
      <w:r>
        <w:rPr>
          <w:rFonts w:cs="Calibri"/>
          <w:color w:val="000000"/>
          <w:sz w:val="22"/>
        </w:rPr>
        <w:t xml:space="preserve">  </w:t>
      </w:r>
    </w:p>
    <w:p>
      <w:pPr>
        <w:spacing w:after="120" w:afterLines="50" w:line="440" w:lineRule="exact"/>
        <w:rPr>
          <w:rFonts w:cs="Calibri"/>
          <w:color w:val="000000"/>
          <w:sz w:val="22"/>
          <w:u w:val="single"/>
        </w:rPr>
      </w:pPr>
      <w:r>
        <w:rPr>
          <w:rFonts w:cs="Calibri"/>
          <w:color w:val="000000"/>
          <w:sz w:val="22"/>
        </w:rPr>
        <w:t>身份证号码：</w:t>
      </w:r>
      <w:r>
        <w:rPr>
          <w:rFonts w:cs="Calibri"/>
          <w:color w:val="000000"/>
          <w:sz w:val="22"/>
          <w:u w:val="single"/>
        </w:rPr>
        <w:t xml:space="preserve">                           </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 xml:space="preserve">    系</w:t>
      </w:r>
      <w:r>
        <w:rPr>
          <w:rFonts w:cs="Calibri"/>
          <w:color w:val="000000"/>
          <w:sz w:val="22"/>
          <w:u w:val="single"/>
        </w:rPr>
        <w:t xml:space="preserve">                          </w:t>
      </w:r>
      <w:r>
        <w:rPr>
          <w:rFonts w:cs="Calibri"/>
          <w:color w:val="000000"/>
          <w:sz w:val="22"/>
        </w:rPr>
        <w:t>（投标人名称）的法定代表人。</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特此证明。</w:t>
      </w:r>
    </w:p>
    <w:p>
      <w:pPr>
        <w:spacing w:line="440" w:lineRule="exact"/>
        <w:rPr>
          <w:rFonts w:cs="Calibri"/>
          <w:color w:val="000000"/>
          <w:sz w:val="22"/>
        </w:rPr>
      </w:pPr>
      <w:r>
        <w:rPr>
          <w:rFonts w:cs="Calibri"/>
          <w:color w:val="000000"/>
          <w:sz w:val="22"/>
        </w:rPr>
        <w:t>附：法定代表人身份证复印件</w:t>
      </w:r>
    </w:p>
    <w:p>
      <w:pPr>
        <w:spacing w:line="440" w:lineRule="exact"/>
        <w:rPr>
          <w:rFonts w:cs="Calibri"/>
          <w:color w:val="000000"/>
          <w:sz w:val="22"/>
        </w:rPr>
      </w:pPr>
      <w:r>
        <w:rPr>
          <w:rFonts w:cs="Calibri"/>
          <w:color w:val="000000"/>
          <w:sz w:val="22"/>
        </w:rPr>
        <w:t xml:space="preserve">投标人：（盖单位章） </w:t>
      </w:r>
    </w:p>
    <w:p>
      <w:pPr>
        <w:spacing w:line="440" w:lineRule="exact"/>
        <w:ind w:firstLine="4936" w:firstLineChars="2235"/>
        <w:rPr>
          <w:rFonts w:cs="Calibri"/>
          <w:b/>
          <w:color w:val="000000"/>
          <w:sz w:val="22"/>
        </w:rPr>
      </w:pPr>
      <w:r>
        <w:rPr>
          <w:rFonts w:cs="Calibri"/>
          <w:b/>
          <w:color w:val="000000"/>
          <w:sz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zMLyPXAAAACAEAAA8AAAAAAAAAAQAgAAAAIgAAAGRycy9kb3ducmV2LnhtbFBLAQIU&#10;ABQAAAAIAIdO4kCH/CFe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40" w:firstLineChars="200"/>
        <w:rPr>
          <w:rFonts w:cs="Calibri"/>
          <w:color w:val="000000"/>
          <w:sz w:val="22"/>
        </w:rPr>
      </w:pPr>
      <w:r>
        <w:rPr>
          <w:rFonts w:cs="Calibri"/>
          <w:color w:val="000000"/>
          <w:sz w:val="22"/>
        </w:rPr>
        <w:t>本人</w:t>
      </w:r>
      <w:r>
        <w:rPr>
          <w:rFonts w:cs="Calibri"/>
          <w:color w:val="000000"/>
          <w:sz w:val="22"/>
          <w:u w:val="single"/>
        </w:rPr>
        <w:t xml:space="preserve">        </w:t>
      </w:r>
      <w:r>
        <w:rPr>
          <w:rFonts w:cs="Calibri"/>
          <w:color w:val="000000"/>
          <w:sz w:val="22"/>
        </w:rPr>
        <w:t>（姓名）系</w:t>
      </w:r>
      <w:r>
        <w:rPr>
          <w:rFonts w:cs="Calibri"/>
          <w:color w:val="000000"/>
          <w:sz w:val="22"/>
          <w:u w:val="single"/>
        </w:rPr>
        <w:t xml:space="preserve">                </w:t>
      </w:r>
      <w:r>
        <w:rPr>
          <w:rFonts w:cs="Calibri"/>
          <w:color w:val="000000"/>
          <w:sz w:val="22"/>
        </w:rPr>
        <w:t>（投标人名称）的法定代表人，现委托</w:t>
      </w:r>
      <w:r>
        <w:rPr>
          <w:rFonts w:cs="Calibri"/>
          <w:color w:val="000000"/>
          <w:sz w:val="22"/>
          <w:u w:val="single"/>
        </w:rPr>
        <w:t xml:space="preserve">      </w:t>
      </w:r>
      <w:r>
        <w:rPr>
          <w:rFonts w:cs="Calibri"/>
          <w:color w:val="000000"/>
          <w:sz w:val="22"/>
        </w:rPr>
        <w:t>（姓名）为我方代理人。代理人根据授权，以我方名义签署、澄清、说明、补正、递交、撤回、修改</w:t>
      </w:r>
      <w:r>
        <w:rPr>
          <w:rFonts w:cs="Calibri"/>
          <w:color w:val="000000"/>
          <w:sz w:val="22"/>
          <w:u w:val="single"/>
        </w:rPr>
        <w:t xml:space="preserve">              </w:t>
      </w:r>
      <w:r>
        <w:rPr>
          <w:rFonts w:cs="Calibri"/>
          <w:color w:val="000000"/>
          <w:sz w:val="22"/>
        </w:rPr>
        <w:t>（项目名称）投标文件、签订合同和处理有关事宜，其法律后果由我方承担。</w:t>
      </w:r>
    </w:p>
    <w:p>
      <w:pPr>
        <w:spacing w:line="440" w:lineRule="exact"/>
        <w:ind w:firstLine="440" w:firstLineChars="200"/>
        <w:rPr>
          <w:rFonts w:cs="Calibri"/>
          <w:color w:val="000000"/>
          <w:sz w:val="22"/>
        </w:rPr>
      </w:pPr>
      <w:r>
        <w:rPr>
          <w:rFonts w:cs="Calibri"/>
          <w:color w:val="000000"/>
          <w:sz w:val="22"/>
        </w:rPr>
        <w:t>代理人无转委托权。</w:t>
      </w:r>
    </w:p>
    <w:p>
      <w:pPr>
        <w:spacing w:line="440" w:lineRule="exact"/>
        <w:ind w:firstLine="440" w:firstLineChars="200"/>
        <w:rPr>
          <w:rFonts w:cs="Calibri"/>
          <w:color w:val="000000"/>
          <w:sz w:val="22"/>
        </w:rPr>
      </w:pPr>
      <w:r>
        <w:rPr>
          <w:rFonts w:cs="Calibri"/>
          <w:color w:val="000000"/>
          <w:sz w:val="22"/>
        </w:rPr>
        <w:t>附：委托代理人身份证复印件</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投标人：（盖单位章）</w:t>
      </w:r>
    </w:p>
    <w:p>
      <w:pPr>
        <w:spacing w:line="440" w:lineRule="exact"/>
        <w:rPr>
          <w:rFonts w:cs="Calibri"/>
          <w:color w:val="000000"/>
          <w:sz w:val="22"/>
        </w:rPr>
      </w:pPr>
      <w:r>
        <w:rPr>
          <w:rFonts w:cs="Calibri"/>
          <w:color w:val="000000"/>
          <w:sz w:val="22"/>
        </w:rPr>
        <w:t>法定代表人：（签字或盖章）</w:t>
      </w:r>
    </w:p>
    <w:p>
      <w:pPr>
        <w:spacing w:line="440" w:lineRule="exact"/>
        <w:rPr>
          <w:rFonts w:cs="Calibri"/>
          <w:color w:val="000000"/>
          <w:sz w:val="22"/>
        </w:rPr>
      </w:pPr>
      <w:r>
        <w:rPr>
          <w:rFonts w:cs="Calibri"/>
          <w:color w:val="000000"/>
          <w:sz w:val="22"/>
        </w:rPr>
        <w:t>身份证号码：</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委托的代理人：（签字或盖章）</w:t>
      </w:r>
    </w:p>
    <w:p>
      <w:pPr>
        <w:spacing w:line="440" w:lineRule="exact"/>
        <w:rPr>
          <w:rFonts w:cs="Calibri"/>
          <w:color w:val="000000"/>
          <w:sz w:val="22"/>
        </w:rPr>
      </w:pPr>
      <w:r>
        <w:rPr>
          <w:rFonts w:cs="Calibri"/>
          <w:color w:val="000000"/>
          <w:sz w:val="22"/>
        </w:rPr>
        <w:t>身份证号码：</w:t>
      </w:r>
    </w:p>
    <w:p>
      <w:pPr>
        <w:spacing w:line="440" w:lineRule="exact"/>
        <w:ind w:firstLine="4730" w:firstLineChars="2150"/>
        <w:rPr>
          <w:rFonts w:cs="Calibri"/>
          <w:color w:val="000000"/>
          <w:sz w:val="22"/>
        </w:rPr>
      </w:pPr>
      <w:r>
        <w:rPr>
          <w:rFonts w:cs="Calibri"/>
          <w:color w:val="000000"/>
          <w:sz w:val="22"/>
        </w:rPr>
        <w:t>日期：</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k96wdcAAAAJAQAADwAAAAAAAAABACAAAAAiAAAAZHJzL2Rvd25yZXYueG1sUEsB&#10;AhQAFAAAAAgAh07iQGfleBIvAgAASAQAAA4AAAAAAAAAAQAgAAAAJg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rPr>
      </w:pPr>
      <w:r>
        <w:rPr>
          <w:rFonts w:cs="Calibri"/>
          <w:color w:val="000000"/>
          <w:sz w:val="22"/>
        </w:rPr>
        <w:t>注：如投标文件由委托代理人签字或盖章的，投标文件必须附此授权委托书。</w:t>
      </w:r>
      <w:r>
        <w:rPr>
          <w:rFonts w:cs="Calibri"/>
          <w:b/>
          <w:bCs/>
          <w:color w:val="000000"/>
          <w:sz w:val="22"/>
        </w:rPr>
        <w:t xml:space="preserve">     </w:t>
      </w:r>
    </w:p>
    <w:p>
      <w:pPr>
        <w:spacing w:line="360" w:lineRule="auto"/>
        <w:jc w:val="left"/>
        <w:rPr>
          <w:rFonts w:ascii="宋体" w:hAnsi="宋体" w:cs="宋体"/>
          <w:sz w:val="22"/>
        </w:rPr>
      </w:pPr>
    </w:p>
    <w:p>
      <w:pPr>
        <w:pStyle w:val="4"/>
        <w:spacing w:after="120" w:afterLines="50" w:line="360" w:lineRule="auto"/>
        <w:jc w:val="left"/>
        <w:rPr>
          <w:rFonts w:hAnsi="宋体" w:cs="宋体"/>
          <w:b/>
        </w:rPr>
      </w:pPr>
      <w:r>
        <w:rPr>
          <w:rFonts w:hAnsi="宋体" w:cs="宋体"/>
          <w:b/>
        </w:rPr>
        <w:br w:type="page"/>
      </w:r>
      <w:bookmarkStart w:id="129" w:name="_Toc144265958"/>
      <w:bookmarkStart w:id="130" w:name="_Toc137373398"/>
      <w:bookmarkStart w:id="131" w:name="_Toc133214102"/>
      <w:bookmarkStart w:id="132" w:name="_Toc133214309"/>
      <w:bookmarkStart w:id="133" w:name="_Toc133470542"/>
    </w:p>
    <w:p>
      <w:pPr>
        <w:pStyle w:val="4"/>
        <w:spacing w:after="120" w:afterLines="50" w:line="360" w:lineRule="auto"/>
        <w:jc w:val="left"/>
        <w:rPr>
          <w:rFonts w:hAnsi="宋体" w:cs="宋体"/>
          <w:sz w:val="22"/>
          <w:szCs w:val="22"/>
        </w:rPr>
      </w:pPr>
    </w:p>
    <w:p>
      <w:pPr>
        <w:spacing w:line="440" w:lineRule="exact"/>
        <w:jc w:val="center"/>
        <w:rPr>
          <w:rFonts w:eastAsia="黑体" w:cs="Calibri"/>
          <w:color w:val="000000"/>
          <w:sz w:val="32"/>
          <w:szCs w:val="32"/>
        </w:rPr>
      </w:pPr>
      <w:r>
        <w:rPr>
          <w:rFonts w:hint="eastAsia" w:eastAsia="黑体" w:cs="Calibri"/>
          <w:color w:val="000000"/>
          <w:sz w:val="32"/>
          <w:szCs w:val="32"/>
        </w:rPr>
        <w:t>四、投标报价表</w:t>
      </w:r>
    </w:p>
    <w:p>
      <w:pPr>
        <w:pStyle w:val="4"/>
        <w:spacing w:after="120" w:afterLines="50" w:line="360" w:lineRule="auto"/>
        <w:jc w:val="center"/>
        <w:rPr>
          <w:rFonts w:hAnsi="宋体" w:cs="宋体"/>
        </w:rPr>
      </w:pPr>
    </w:p>
    <w:p>
      <w:pPr>
        <w:pStyle w:val="4"/>
        <w:numPr>
          <w:ilvl w:val="1"/>
          <w:numId w:val="1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本总则上列各条中提及的“投标人”在合同执行过程中应作为“卖方”解释。</w:t>
      </w:r>
    </w:p>
    <w:p>
      <w:pPr>
        <w:pStyle w:val="4"/>
        <w:numPr>
          <w:ilvl w:val="1"/>
          <w:numId w:val="10"/>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bookmarkEnd w:id="129"/>
    <w:bookmarkEnd w:id="130"/>
    <w:bookmarkEnd w:id="131"/>
    <w:bookmarkEnd w:id="132"/>
    <w:bookmarkEnd w:id="133"/>
    <w:p>
      <w:pPr>
        <w:snapToGrid w:val="0"/>
        <w:spacing w:before="120" w:beforeLines="50" w:line="360" w:lineRule="exact"/>
        <w:ind w:left="1134"/>
        <w:rPr>
          <w:rFonts w:ascii="宋体" w:hAnsi="宋体" w:cs="宋体"/>
          <w:sz w:val="22"/>
        </w:rPr>
      </w:pPr>
      <w:r>
        <w:rPr>
          <w:rFonts w:hint="eastAsia" w:ascii="宋体" w:hAnsi="宋体" w:cs="宋体"/>
          <w:sz w:val="22"/>
        </w:rPr>
        <w:t>(1)投标报价汇总表</w:t>
      </w:r>
    </w:p>
    <w:p>
      <w:pPr>
        <w:snapToGrid w:val="0"/>
        <w:spacing w:before="120" w:beforeLines="50" w:line="360" w:lineRule="exact"/>
        <w:ind w:left="1134"/>
        <w:rPr>
          <w:rFonts w:cs="Calibri"/>
          <w:b/>
          <w:bCs/>
          <w:sz w:val="32"/>
        </w:rPr>
      </w:pPr>
      <w:r>
        <w:rPr>
          <w:rFonts w:ascii="宋体" w:hAnsi="宋体" w:cs="宋体"/>
          <w:sz w:val="22"/>
        </w:rPr>
        <w:t xml:space="preserve"> </w:t>
      </w:r>
    </w:p>
    <w:p>
      <w:pPr>
        <w:spacing w:line="440" w:lineRule="exact"/>
        <w:jc w:val="center"/>
        <w:rPr>
          <w:rFonts w:eastAsia="黑体" w:cs="Calibri"/>
          <w:sz w:val="32"/>
          <w:szCs w:val="32"/>
        </w:rPr>
        <w:sectPr>
          <w:footerReference r:id="rId7" w:type="even"/>
          <w:pgSz w:w="11906" w:h="16838"/>
          <w:pgMar w:top="1134" w:right="1247" w:bottom="1134" w:left="1247" w:header="851" w:footer="992" w:gutter="0"/>
          <w:cols w:space="720" w:num="1"/>
          <w:docGrid w:linePitch="312" w:charSpace="0"/>
        </w:sectPr>
      </w:pPr>
    </w:p>
    <w:p>
      <w:pPr>
        <w:spacing w:line="440" w:lineRule="exact"/>
        <w:jc w:val="center"/>
        <w:rPr>
          <w:rFonts w:eastAsia="黑体" w:cs="Calibri"/>
          <w:sz w:val="32"/>
          <w:szCs w:val="32"/>
        </w:rPr>
      </w:pPr>
      <w:r>
        <w:rPr>
          <w:rFonts w:hint="eastAsia" w:eastAsia="黑体" w:cs="Calibri"/>
          <w:sz w:val="32"/>
          <w:szCs w:val="32"/>
        </w:rPr>
        <w:t>4</w:t>
      </w:r>
      <w:r>
        <w:rPr>
          <w:rFonts w:eastAsia="黑体" w:cs="Calibri"/>
          <w:sz w:val="32"/>
          <w:szCs w:val="32"/>
        </w:rPr>
        <w:t>.1投标报价表</w:t>
      </w:r>
    </w:p>
    <w:p>
      <w:pPr>
        <w:spacing w:line="360" w:lineRule="auto"/>
        <w:rPr>
          <w:rFonts w:ascii="宋体" w:hAnsi="宋体" w:cs="宋体"/>
          <w:bCs/>
          <w:sz w:val="22"/>
        </w:rPr>
      </w:pPr>
      <w:r>
        <w:rPr>
          <w:rFonts w:hint="eastAsia" w:cs="Calibri"/>
          <w:b/>
          <w:szCs w:val="21"/>
        </w:rPr>
        <w:t xml:space="preserve"> </w:t>
      </w:r>
    </w:p>
    <w:tbl>
      <w:tblPr>
        <w:tblStyle w:val="14"/>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65"/>
        <w:gridCol w:w="1227"/>
        <w:gridCol w:w="1115"/>
        <w:gridCol w:w="801"/>
        <w:gridCol w:w="671"/>
        <w:gridCol w:w="642"/>
        <w:gridCol w:w="1638"/>
        <w:gridCol w:w="1455"/>
        <w:gridCol w:w="1851"/>
        <w:gridCol w:w="113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665"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22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115"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0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64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6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 (元，不含税)</w:t>
            </w:r>
          </w:p>
        </w:tc>
        <w:tc>
          <w:tcPr>
            <w:tcW w:w="1455"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合价（元，不含税）</w:t>
            </w:r>
          </w:p>
        </w:tc>
        <w:tc>
          <w:tcPr>
            <w:tcW w:w="1851"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增值税税率</w:t>
            </w:r>
          </w:p>
        </w:tc>
        <w:tc>
          <w:tcPr>
            <w:tcW w:w="1136"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单价（元，含税）</w:t>
            </w:r>
          </w:p>
        </w:tc>
        <w:tc>
          <w:tcPr>
            <w:tcW w:w="177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4</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不含税价格合计（元）</w:t>
            </w:r>
          </w:p>
        </w:tc>
        <w:tc>
          <w:tcPr>
            <w:tcW w:w="12310" w:type="dxa"/>
            <w:gridSpan w:val="10"/>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税金（元）</w:t>
            </w:r>
          </w:p>
        </w:tc>
        <w:tc>
          <w:tcPr>
            <w:tcW w:w="12310" w:type="dxa"/>
            <w:gridSpan w:val="10"/>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价税合计（元）</w:t>
            </w:r>
          </w:p>
        </w:tc>
        <w:tc>
          <w:tcPr>
            <w:tcW w:w="12310" w:type="dxa"/>
            <w:gridSpan w:val="10"/>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人民币大写 </w:t>
            </w:r>
            <w:r>
              <w:rPr>
                <w:rFonts w:ascii="宋体" w:hAnsi="宋体" w:cs="宋体"/>
                <w:b/>
                <w:bCs/>
                <w:kern w:val="0"/>
                <w:sz w:val="20"/>
              </w:rPr>
              <w:t xml:space="preserve">    </w:t>
            </w:r>
            <w:r>
              <w:rPr>
                <w:rFonts w:hint="eastAsia" w:ascii="宋体" w:hAnsi="宋体" w:cs="宋体"/>
                <w:b/>
                <w:bCs/>
                <w:kern w:val="0"/>
                <w:sz w:val="20"/>
              </w:rPr>
              <w:t>元，</w:t>
            </w:r>
            <w:r>
              <w:rPr>
                <w:rFonts w:ascii="宋体" w:hAnsi="宋体" w:cs="宋体"/>
                <w:b/>
                <w:bCs/>
                <w:kern w:val="0"/>
                <w:sz w:val="20"/>
              </w:rPr>
              <w:t>¥   .00</w:t>
            </w:r>
          </w:p>
        </w:tc>
      </w:tr>
    </w:tbl>
    <w:p>
      <w:pPr>
        <w:widowControl/>
        <w:spacing w:line="300" w:lineRule="auto"/>
        <w:rPr>
          <w:rFonts w:cs="Calibri"/>
          <w:b/>
          <w:szCs w:val="21"/>
        </w:rPr>
      </w:pPr>
      <w:r>
        <w:rPr>
          <w:rFonts w:hint="eastAsia" w:ascii="宋体" w:hAnsi="宋体" w:cs="宋体"/>
          <w:sz w:val="22"/>
        </w:rPr>
        <w:t>注：1.综合单价包括但不限于产品生产、包装、运至指定地点的运输、装卸、保险、安装、调试及各种税费及所有第三章要求的伴随服务等招标文件规定的全部相关费用；</w:t>
      </w:r>
    </w:p>
    <w:p>
      <w:pPr>
        <w:pStyle w:val="25"/>
        <w:widowControl/>
        <w:numPr>
          <w:ilvl w:val="0"/>
          <w:numId w:val="4"/>
        </w:numPr>
        <w:tabs>
          <w:tab w:val="left" w:pos="284"/>
        </w:tabs>
        <w:adjustRightInd w:val="0"/>
        <w:snapToGrid w:val="0"/>
        <w:spacing w:line="300" w:lineRule="auto"/>
        <w:ind w:firstLineChars="0"/>
        <w:jc w:val="left"/>
        <w:rPr>
          <w:rFonts w:cs="Calibri"/>
          <w:b/>
          <w:szCs w:val="21"/>
        </w:rPr>
      </w:pPr>
      <w:r>
        <w:rPr>
          <w:rFonts w:hint="eastAsia" w:cs="Calibri"/>
          <w:b/>
          <w:szCs w:val="21"/>
        </w:rPr>
        <w:t>投标报价表中应包含第三章采购清单内的设备采购和安装，原单色LED大屏的拆装。若报价表中未列明原单色LED大屏拆装费，则默认包含在总价中。</w:t>
      </w:r>
    </w:p>
    <w:p>
      <w:pPr>
        <w:spacing w:line="440" w:lineRule="exact"/>
        <w:jc w:val="center"/>
        <w:rPr>
          <w:rFonts w:eastAsia="黑体" w:cs="Calibri"/>
          <w:bCs/>
          <w:szCs w:val="21"/>
        </w:rPr>
      </w:pPr>
    </w:p>
    <w:p>
      <w:pPr>
        <w:spacing w:line="440" w:lineRule="exact"/>
        <w:jc w:val="center"/>
        <w:rPr>
          <w:rFonts w:eastAsia="黑体" w:cs="Calibri"/>
          <w:bCs/>
          <w:szCs w:val="21"/>
        </w:rPr>
      </w:pPr>
      <w:r>
        <w:rPr>
          <w:rFonts w:hint="eastAsia" w:eastAsia="黑体" w:cs="Calibri"/>
          <w:bCs/>
          <w:szCs w:val="21"/>
        </w:rPr>
        <w:t>投标人：（盖单位章）</w:t>
      </w:r>
    </w:p>
    <w:p>
      <w:pPr>
        <w:spacing w:line="440" w:lineRule="exact"/>
        <w:jc w:val="center"/>
        <w:rPr>
          <w:rFonts w:eastAsia="黑体" w:cs="Calibri"/>
          <w:bCs/>
          <w:szCs w:val="21"/>
        </w:rPr>
      </w:pPr>
      <w:r>
        <w:rPr>
          <w:rFonts w:hint="eastAsia" w:eastAsia="黑体" w:cs="Calibri"/>
          <w:bCs/>
          <w:szCs w:val="21"/>
        </w:rPr>
        <w:t>法定代表人或其委托代理人：（签字或盖章）</w:t>
      </w:r>
    </w:p>
    <w:p>
      <w:pPr>
        <w:spacing w:line="440" w:lineRule="exact"/>
        <w:jc w:val="center"/>
        <w:rPr>
          <w:rFonts w:eastAsia="黑体" w:cs="Calibri"/>
          <w:bCs/>
          <w:szCs w:val="21"/>
        </w:rPr>
        <w:sectPr>
          <w:pgSz w:w="16838" w:h="11906" w:orient="landscape"/>
          <w:pgMar w:top="1247" w:right="1134" w:bottom="1247" w:left="1134" w:header="851" w:footer="992" w:gutter="0"/>
          <w:cols w:space="720" w:num="1"/>
          <w:docGrid w:linePitch="312" w:charSpace="0"/>
        </w:sectPr>
      </w:pPr>
      <w:r>
        <w:rPr>
          <w:rFonts w:hint="eastAsia" w:eastAsia="黑体" w:cs="Calibri"/>
          <w:bCs/>
          <w:szCs w:val="21"/>
        </w:rPr>
        <w:t xml:space="preserve">日期：    年     月    </w:t>
      </w:r>
    </w:p>
    <w:p>
      <w:pPr>
        <w:spacing w:line="440" w:lineRule="exact"/>
        <w:jc w:val="center"/>
        <w:rPr>
          <w:rFonts w:eastAsia="黑体" w:cs="Calibri"/>
          <w:sz w:val="32"/>
          <w:szCs w:val="32"/>
        </w:rPr>
      </w:pPr>
      <w:r>
        <w:rPr>
          <w:rFonts w:hint="eastAsia" w:eastAsia="黑体" w:cs="Calibri"/>
          <w:sz w:val="32"/>
          <w:szCs w:val="32"/>
        </w:rPr>
        <w:t>五</w:t>
      </w:r>
      <w:r>
        <w:rPr>
          <w:rFonts w:eastAsia="黑体" w:cs="Calibri"/>
          <w:sz w:val="32"/>
          <w:szCs w:val="32"/>
        </w:rPr>
        <w:t>、投标人资格证明文件</w:t>
      </w:r>
    </w:p>
    <w:p>
      <w:pPr>
        <w:spacing w:line="360" w:lineRule="auto"/>
        <w:jc w:val="center"/>
        <w:rPr>
          <w:rFonts w:ascii="宋体" w:hAnsi="宋体" w:cs="Calibri"/>
          <w:b/>
          <w:sz w:val="32"/>
          <w:szCs w:val="32"/>
        </w:rPr>
      </w:pPr>
      <w:r>
        <w:rPr>
          <w:rFonts w:ascii="宋体" w:hAnsi="宋体" w:cs="Calibri"/>
          <w:b/>
          <w:sz w:val="32"/>
          <w:szCs w:val="32"/>
        </w:rPr>
        <w:t xml:space="preserve"> </w:t>
      </w:r>
      <w:r>
        <w:rPr>
          <w:rFonts w:hint="eastAsia" w:ascii="宋体" w:hAnsi="宋体" w:cs="Calibri"/>
          <w:b/>
          <w:sz w:val="32"/>
          <w:szCs w:val="32"/>
        </w:rPr>
        <w:t>（一）投标人一般情况</w:t>
      </w:r>
    </w:p>
    <w:tbl>
      <w:tblPr>
        <w:tblStyle w:val="14"/>
        <w:tblW w:w="909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028"/>
        <w:gridCol w:w="525"/>
        <w:gridCol w:w="187"/>
        <w:gridCol w:w="863"/>
        <w:gridCol w:w="562"/>
        <w:gridCol w:w="278"/>
        <w:gridCol w:w="1440"/>
        <w:gridCol w:w="30"/>
        <w:gridCol w:w="73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企业名称</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主管部门</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经济类型</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法定代表人</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单位简历</w:t>
            </w:r>
          </w:p>
        </w:tc>
        <w:tc>
          <w:tcPr>
            <w:tcW w:w="7643" w:type="dxa"/>
            <w:gridSpan w:val="10"/>
            <w:vAlign w:val="center"/>
          </w:tcPr>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单位优势</w:t>
            </w:r>
          </w:p>
          <w:p>
            <w:pPr>
              <w:snapToGrid w:val="0"/>
              <w:ind w:left="-170" w:right="-170"/>
              <w:jc w:val="center"/>
              <w:rPr>
                <w:rFonts w:ascii="宋体" w:hAnsi="宋体" w:cs="宋体"/>
                <w:sz w:val="22"/>
              </w:rPr>
            </w:pPr>
            <w:r>
              <w:rPr>
                <w:rFonts w:hint="eastAsia" w:ascii="宋体" w:hAnsi="宋体" w:cs="宋体"/>
                <w:sz w:val="22"/>
              </w:rPr>
              <w:t>及 特 长</w:t>
            </w:r>
          </w:p>
        </w:tc>
        <w:tc>
          <w:tcPr>
            <w:tcW w:w="7643" w:type="dxa"/>
            <w:gridSpan w:val="10"/>
            <w:vAlign w:val="center"/>
          </w:tcPr>
          <w:p>
            <w:pPr>
              <w:pStyle w:val="9"/>
              <w:ind w:firstLine="44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textDirection w:val="tbRlV"/>
            <w:vAlign w:val="center"/>
          </w:tcPr>
          <w:p>
            <w:pPr>
              <w:snapToGrid w:val="0"/>
              <w:ind w:left="-170" w:right="-170"/>
              <w:jc w:val="center"/>
              <w:rPr>
                <w:rFonts w:ascii="宋体" w:hAnsi="宋体" w:cs="宋体"/>
                <w:sz w:val="22"/>
              </w:rPr>
            </w:pPr>
            <w:r>
              <w:rPr>
                <w:rFonts w:hint="eastAsia" w:ascii="宋体" w:hAnsi="宋体" w:cs="宋体"/>
                <w:sz w:val="22"/>
              </w:rPr>
              <w:t>单 位 概 况</w:t>
            </w: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职工总人数</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工程技术人员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生产工人</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销售人员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固定</w:t>
            </w:r>
          </w:p>
          <w:p>
            <w:pPr>
              <w:snapToGrid w:val="0"/>
              <w:ind w:left="-170" w:right="-170"/>
              <w:jc w:val="center"/>
              <w:rPr>
                <w:rFonts w:ascii="宋体" w:hAnsi="宋体" w:cs="宋体"/>
                <w:sz w:val="22"/>
              </w:rPr>
            </w:pPr>
            <w:r>
              <w:rPr>
                <w:rFonts w:hint="eastAsia" w:ascii="宋体" w:hAnsi="宋体" w:cs="宋体"/>
                <w:sz w:val="22"/>
              </w:rPr>
              <w:t>资产</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性质</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非生产性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流动</w:t>
            </w:r>
          </w:p>
          <w:p>
            <w:pPr>
              <w:snapToGrid w:val="0"/>
              <w:ind w:left="-170" w:right="-170"/>
              <w:jc w:val="center"/>
              <w:rPr>
                <w:rFonts w:ascii="宋体" w:hAnsi="宋体" w:cs="宋体"/>
                <w:sz w:val="22"/>
              </w:rPr>
            </w:pPr>
            <w:r>
              <w:rPr>
                <w:rFonts w:hint="eastAsia" w:ascii="宋体" w:hAnsi="宋体" w:cs="宋体"/>
                <w:sz w:val="22"/>
              </w:rPr>
              <w:t>资金</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来源</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自有资金</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银行贷款</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经营</w:t>
            </w:r>
          </w:p>
          <w:p>
            <w:pPr>
              <w:snapToGrid w:val="0"/>
              <w:ind w:left="-170" w:right="-170"/>
              <w:jc w:val="center"/>
              <w:rPr>
                <w:rFonts w:ascii="宋体" w:hAnsi="宋体" w:cs="宋体"/>
                <w:sz w:val="22"/>
              </w:rPr>
            </w:pPr>
            <w:r>
              <w:rPr>
                <w:rFonts w:hint="eastAsia" w:ascii="宋体" w:hAnsi="宋体" w:cs="宋体"/>
                <w:sz w:val="22"/>
              </w:rPr>
              <w:t>范围</w:t>
            </w:r>
          </w:p>
        </w:tc>
        <w:tc>
          <w:tcPr>
            <w:tcW w:w="7643" w:type="dxa"/>
            <w:gridSpan w:val="10"/>
            <w:vAlign w:val="center"/>
          </w:tcPr>
          <w:p>
            <w:pPr>
              <w:snapToGrid w:val="0"/>
              <w:ind w:left="-170" w:right="-170"/>
              <w:jc w:val="center"/>
              <w:rPr>
                <w:rFonts w:ascii="宋体" w:hAnsi="宋体" w:cs="宋体"/>
                <w:sz w:val="22"/>
              </w:rPr>
            </w:pPr>
          </w:p>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vAlign w:val="center"/>
          </w:tcPr>
          <w:p>
            <w:pPr>
              <w:snapToGrid w:val="0"/>
              <w:ind w:left="-170" w:right="-170"/>
              <w:jc w:val="center"/>
              <w:rPr>
                <w:rFonts w:ascii="宋体" w:hAnsi="宋体" w:cs="宋体"/>
                <w:sz w:val="22"/>
              </w:rPr>
            </w:pPr>
            <w:r>
              <w:rPr>
                <w:rFonts w:hint="eastAsia" w:ascii="宋体" w:hAnsi="宋体" w:cs="宋体"/>
                <w:sz w:val="22"/>
              </w:rPr>
              <w:t>经 济</w:t>
            </w:r>
          </w:p>
          <w:p>
            <w:pPr>
              <w:snapToGrid w:val="0"/>
              <w:ind w:left="-170" w:right="-170"/>
              <w:jc w:val="center"/>
              <w:rPr>
                <w:rFonts w:ascii="宋体" w:hAnsi="宋体" w:cs="宋体"/>
                <w:sz w:val="22"/>
              </w:rPr>
            </w:pPr>
            <w:r>
              <w:rPr>
                <w:rFonts w:hint="eastAsia" w:ascii="宋体" w:hAnsi="宋体" w:cs="宋体"/>
                <w:sz w:val="22"/>
              </w:rPr>
              <w:t>指 标</w:t>
            </w:r>
          </w:p>
        </w:tc>
        <w:tc>
          <w:tcPr>
            <w:tcW w:w="1553" w:type="dxa"/>
            <w:gridSpan w:val="2"/>
            <w:vAlign w:val="center"/>
          </w:tcPr>
          <w:p>
            <w:pPr>
              <w:snapToGrid w:val="0"/>
              <w:ind w:left="-170" w:right="-170"/>
              <w:jc w:val="center"/>
              <w:rPr>
                <w:rFonts w:ascii="宋体" w:hAnsi="宋体" w:cs="宋体"/>
                <w:sz w:val="22"/>
              </w:rPr>
            </w:pPr>
            <w:r>
              <w:rPr>
                <w:rFonts w:hint="eastAsia" w:ascii="宋体" w:hAnsi="宋体" w:cs="宋体"/>
                <w:sz w:val="22"/>
              </w:rPr>
              <w:t>年份</w:t>
            </w:r>
          </w:p>
        </w:tc>
        <w:tc>
          <w:tcPr>
            <w:tcW w:w="6090" w:type="dxa"/>
            <w:gridSpan w:val="8"/>
            <w:vAlign w:val="center"/>
          </w:tcPr>
          <w:p>
            <w:pPr>
              <w:snapToGrid w:val="0"/>
              <w:ind w:left="-170" w:right="-17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tcBorders>
              <w:bottom w:val="single" w:color="auto" w:sz="4" w:space="0"/>
            </w:tcBorders>
            <w:vAlign w:val="center"/>
          </w:tcPr>
          <w:p>
            <w:pPr>
              <w:snapToGrid w:val="0"/>
              <w:ind w:left="-170" w:right="-170"/>
              <w:jc w:val="center"/>
              <w:rPr>
                <w:rFonts w:ascii="宋体" w:hAnsi="宋体" w:cs="宋体"/>
                <w:sz w:val="22"/>
              </w:rPr>
            </w:pPr>
          </w:p>
        </w:tc>
        <w:tc>
          <w:tcPr>
            <w:tcW w:w="1553" w:type="dxa"/>
            <w:gridSpan w:val="2"/>
            <w:tcBorders>
              <w:bottom w:val="single" w:color="auto" w:sz="4" w:space="0"/>
            </w:tcBorders>
            <w:vAlign w:val="center"/>
          </w:tcPr>
          <w:p>
            <w:pPr>
              <w:snapToGrid w:val="0"/>
              <w:ind w:left="-170" w:right="-170"/>
              <w:jc w:val="center"/>
              <w:rPr>
                <w:rFonts w:ascii="宋体" w:hAnsi="宋体" w:cs="宋体"/>
                <w:sz w:val="22"/>
              </w:rPr>
            </w:pPr>
          </w:p>
        </w:tc>
        <w:tc>
          <w:tcPr>
            <w:tcW w:w="6090" w:type="dxa"/>
            <w:gridSpan w:val="8"/>
            <w:tcBorders>
              <w:bottom w:val="single" w:color="auto" w:sz="4" w:space="0"/>
            </w:tcBorders>
            <w:vAlign w:val="center"/>
          </w:tcPr>
          <w:p>
            <w:pPr>
              <w:snapToGrid w:val="0"/>
              <w:ind w:left="-170" w:right="-170"/>
              <w:jc w:val="center"/>
              <w:rPr>
                <w:rFonts w:ascii="宋体" w:hAnsi="宋体" w:cs="宋体"/>
                <w:sz w:val="22"/>
              </w:rPr>
            </w:pPr>
          </w:p>
        </w:tc>
      </w:tr>
    </w:tbl>
    <w:p>
      <w:pPr>
        <w:overflowPunct w:val="0"/>
        <w:autoSpaceDE w:val="0"/>
        <w:autoSpaceDN w:val="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spacing w:line="360" w:lineRule="auto"/>
        <w:jc w:val="center"/>
        <w:rPr>
          <w:rFonts w:ascii="宋体" w:hAnsi="宋体" w:cs="宋体"/>
          <w:b/>
          <w:sz w:val="32"/>
          <w:szCs w:val="32"/>
        </w:rPr>
      </w:pPr>
      <w:r>
        <w:rPr>
          <w:rFonts w:ascii="宋体" w:hAnsi="宋体" w:cs="Calibri"/>
          <w:sz w:val="22"/>
        </w:rPr>
        <w:br w:type="page"/>
      </w:r>
      <w:r>
        <w:rPr>
          <w:rFonts w:hint="eastAsia" w:ascii="宋体" w:hAnsi="宋体" w:cs="Calibri"/>
          <w:b/>
          <w:sz w:val="32"/>
          <w:szCs w:val="32"/>
        </w:rPr>
        <w:t xml:space="preserve">（二）具有独立法人资格，持有有效营业执照，注册资本300万元（含）以上 (提供营业执照复印件，原件备查) </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Calibri"/>
          <w:b/>
          <w:sz w:val="32"/>
          <w:szCs w:val="32"/>
        </w:rPr>
        <w:t>（三）依据最高人民法院等九部门《关于在招标投标活动中对失信被执行人实施联合惩戒的通知》，投标人不得为失信被执行人。（通过信用中国网站www.creditchina.gov.cn 查询，查询结果以网站页面显示内容为准，投标时需提供查询结果并加盖投标人公章作为证明材料）。若在中标公示期间发现中标候选人在投标截止日前为失信被执行人的，招标人将依法取消其中标资格。</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cs="Calibri"/>
          <w:b/>
          <w:sz w:val="32"/>
          <w:szCs w:val="32"/>
        </w:rPr>
        <w:t>（四）近三年（2016年1月1日起至投标截止日止）无行贿犯罪记录(通过中国裁判文书网http://wenshu.court.gov.cn查询，查询结果以网站页面显示内容为准，投标时需提供查询结果并加盖投标人公章作为证明材料)。若在中标公示期间发现中标候选人在投标截止日前存在行贿犯罪记录的，招标人将依法取消其中标资格。</w:t>
      </w:r>
    </w:p>
    <w:p>
      <w:pPr>
        <w:spacing w:line="360" w:lineRule="auto"/>
        <w:jc w:val="center"/>
        <w:rPr>
          <w:rFonts w:cs="Calibri"/>
          <w:b/>
          <w:sz w:val="32"/>
          <w:szCs w:val="32"/>
        </w:rPr>
      </w:pPr>
      <w:r>
        <w:rPr>
          <w:rFonts w:cs="Calibri"/>
          <w:b/>
          <w:sz w:val="36"/>
          <w:szCs w:val="36"/>
        </w:rPr>
        <w:br w:type="page"/>
      </w:r>
      <w:r>
        <w:rPr>
          <w:rFonts w:hint="eastAsia" w:cs="Calibri"/>
          <w:b/>
          <w:sz w:val="32"/>
          <w:szCs w:val="32"/>
        </w:rPr>
        <w:t>（五）投标人具有一般纳税人资格，可提供增值税专用发票（需提供税务机关出具的一般纳税人资格认定相关证明材料复印件并加盖投标人公章作为证明材料，原件备查）。</w:t>
      </w:r>
    </w:p>
    <w:p>
      <w:pPr>
        <w:spacing w:line="360" w:lineRule="auto"/>
        <w:jc w:val="center"/>
        <w:rPr>
          <w:rFonts w:cs="Calibri"/>
          <w:b/>
          <w:sz w:val="36"/>
          <w:szCs w:val="36"/>
        </w:rPr>
      </w:pPr>
      <w:r>
        <w:rPr>
          <w:rFonts w:cs="Calibri"/>
          <w:b/>
          <w:sz w:val="36"/>
          <w:szCs w:val="36"/>
        </w:rPr>
        <w:br w:type="page"/>
      </w:r>
    </w:p>
    <w:p>
      <w:pPr>
        <w:spacing w:line="360" w:lineRule="auto"/>
        <w:jc w:val="center"/>
        <w:rPr>
          <w:rFonts w:ascii="宋体" w:hAnsi="宋体" w:cs="宋体"/>
          <w:b/>
          <w:sz w:val="32"/>
          <w:szCs w:val="32"/>
        </w:rPr>
      </w:pPr>
      <w:r>
        <w:rPr>
          <w:rFonts w:hint="eastAsia" w:cs="Calibri"/>
          <w:b/>
          <w:sz w:val="36"/>
          <w:szCs w:val="36"/>
        </w:rPr>
        <w:t>（六）</w:t>
      </w:r>
      <w:r>
        <w:rPr>
          <w:rFonts w:hint="eastAsia" w:ascii="宋体" w:hAnsi="宋体" w:cs="宋体"/>
          <w:b/>
          <w:sz w:val="32"/>
          <w:szCs w:val="32"/>
        </w:rPr>
        <w:t>投标产品近三年（合同签订时间或部分供货期在2016年1月1日至投标截止日）的销售业绩一览表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bl>
    <w:p>
      <w:pPr>
        <w:spacing w:line="360" w:lineRule="auto"/>
        <w:jc w:val="left"/>
        <w:rPr>
          <w:rFonts w:ascii="ˎ̥" w:hAnsi="ˎ̥" w:cs="宋体"/>
          <w:b/>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b/>
          <w:kern w:val="0"/>
          <w:szCs w:val="21"/>
        </w:rPr>
        <w:t>附业绩的销售合同。</w:t>
      </w: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numPr>
          <w:ilvl w:val="0"/>
          <w:numId w:val="12"/>
        </w:numPr>
        <w:spacing w:line="440" w:lineRule="exact"/>
        <w:jc w:val="center"/>
        <w:rPr>
          <w:rFonts w:eastAsia="黑体" w:cs="Calibri"/>
          <w:sz w:val="32"/>
          <w:szCs w:val="32"/>
        </w:rPr>
      </w:pPr>
      <w:r>
        <w:rPr>
          <w:rFonts w:hint="eastAsia" w:eastAsia="黑体" w:cs="Calibri"/>
          <w:sz w:val="32"/>
          <w:szCs w:val="32"/>
        </w:rPr>
        <w:t>产品技术规格书</w:t>
      </w:r>
    </w:p>
    <w:p>
      <w:pPr>
        <w:spacing w:line="440" w:lineRule="exact"/>
        <w:jc w:val="center"/>
        <w:rPr>
          <w:rFonts w:eastAsia="黑体" w:cs="Calibri"/>
          <w:sz w:val="32"/>
          <w:szCs w:val="32"/>
        </w:rPr>
      </w:pPr>
      <w:r>
        <w:rPr>
          <w:rFonts w:hint="eastAsia" w:eastAsia="黑体" w:cs="Calibri"/>
          <w:sz w:val="32"/>
          <w:szCs w:val="32"/>
        </w:rPr>
        <w:t xml:space="preserve">                      </w:t>
      </w:r>
      <w:r>
        <w:rPr>
          <w:rFonts w:eastAsia="黑体" w:cs="Calibri"/>
          <w:sz w:val="32"/>
          <w:szCs w:val="32"/>
        </w:rPr>
        <w:t xml:space="preserve"> </w:t>
      </w:r>
    </w:p>
    <w:p>
      <w:pPr>
        <w:spacing w:line="440" w:lineRule="exact"/>
        <w:jc w:val="center"/>
        <w:rPr>
          <w:rFonts w:eastAsia="黑体" w:cs="Calibri"/>
          <w:sz w:val="32"/>
          <w:szCs w:val="32"/>
        </w:rPr>
      </w:pPr>
      <w:r>
        <w:rPr>
          <w:rFonts w:eastAsia="黑体" w:cs="Calibri"/>
          <w:sz w:val="32"/>
          <w:szCs w:val="32"/>
        </w:rPr>
        <w:br w:type="page"/>
      </w:r>
      <w:r>
        <w:rPr>
          <w:rFonts w:hint="eastAsia" w:eastAsia="黑体" w:cs="Calibri"/>
          <w:sz w:val="32"/>
          <w:szCs w:val="32"/>
        </w:rPr>
        <w:t>七、服务大纲</w:t>
      </w:r>
    </w:p>
    <w:p>
      <w:pPr>
        <w:spacing w:line="440" w:lineRule="exact"/>
        <w:jc w:val="center"/>
        <w:rPr>
          <w:rFonts w:eastAsia="黑体" w:cs="Calibri"/>
          <w:sz w:val="32"/>
          <w:szCs w:val="32"/>
        </w:rPr>
      </w:pPr>
      <w:r>
        <w:rPr>
          <w:rFonts w:eastAsia="黑体" w:cs="Calibri"/>
          <w:sz w:val="32"/>
          <w:szCs w:val="32"/>
        </w:rPr>
        <w:br w:type="page"/>
      </w:r>
    </w:p>
    <w:p>
      <w:pPr>
        <w:spacing w:line="440" w:lineRule="exact"/>
        <w:jc w:val="center"/>
        <w:rPr>
          <w:rFonts w:eastAsia="黑体" w:cs="Calibri"/>
          <w:sz w:val="32"/>
          <w:szCs w:val="32"/>
        </w:rPr>
      </w:pPr>
      <w:r>
        <w:rPr>
          <w:rFonts w:hint="eastAsia" w:eastAsia="黑体" w:cs="Calibri"/>
          <w:sz w:val="32"/>
          <w:szCs w:val="32"/>
        </w:rPr>
        <w:t>八、技术规格偏离表</w:t>
      </w:r>
    </w:p>
    <w:p>
      <w:pPr>
        <w:rPr>
          <w:rFonts w:ascii="宋体" w:hAnsi="宋体"/>
          <w:szCs w:val="21"/>
        </w:rPr>
      </w:pPr>
    </w:p>
    <w:tbl>
      <w:tblPr>
        <w:tblStyle w:val="14"/>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65"/>
        <w:gridCol w:w="1260"/>
        <w:gridCol w:w="1361"/>
        <w:gridCol w:w="1236"/>
        <w:gridCol w:w="189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序号</w:t>
            </w:r>
          </w:p>
        </w:tc>
        <w:tc>
          <w:tcPr>
            <w:tcW w:w="13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货物名称</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招标文件条目号</w:t>
            </w:r>
          </w:p>
        </w:tc>
        <w:tc>
          <w:tcPr>
            <w:tcW w:w="1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招标规格</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投标规格</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偏离</w:t>
            </w:r>
          </w:p>
        </w:tc>
        <w:tc>
          <w:tcPr>
            <w:tcW w:w="14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bl>
    <w:p>
      <w:pPr>
        <w:spacing w:line="560" w:lineRule="exact"/>
        <w:rPr>
          <w:rFonts w:ascii="宋体" w:hAnsi="宋体"/>
        </w:rPr>
      </w:pPr>
      <w:r>
        <w:rPr>
          <w:rFonts w:hAnsi="宋体"/>
          <w:bCs/>
        </w:rPr>
        <w:t>注：如不填写，则视为完全响应招标文件的技术要求。</w:t>
      </w:r>
    </w:p>
    <w:p>
      <w:pPr>
        <w:jc w:val="center"/>
        <w:rPr>
          <w:rFonts w:ascii="宋体" w:hAnsi="宋体"/>
          <w:b/>
          <w:szCs w:val="21"/>
        </w:rPr>
      </w:pPr>
    </w:p>
    <w:p>
      <w:pPr>
        <w:spacing w:line="440" w:lineRule="exact"/>
        <w:jc w:val="center"/>
        <w:rPr>
          <w:rFonts w:eastAsia="黑体" w:cs="Calibri"/>
          <w:sz w:val="32"/>
          <w:szCs w:val="32"/>
        </w:rPr>
      </w:pPr>
      <w:r>
        <w:rPr>
          <w:rFonts w:hint="eastAsia" w:eastAsia="黑体" w:cs="Calibri"/>
          <w:sz w:val="32"/>
          <w:szCs w:val="32"/>
        </w:rPr>
        <w:t>九、商务条款响应偏离表</w:t>
      </w:r>
    </w:p>
    <w:tbl>
      <w:tblPr>
        <w:tblStyle w:val="14"/>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511"/>
        <w:gridCol w:w="3139"/>
        <w:gridCol w:w="1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序号</w:t>
            </w: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内容</w:t>
            </w: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招标文件要求</w:t>
            </w: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投标文件对应内容</w:t>
            </w: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bl>
    <w:p>
      <w:pPr>
        <w:pStyle w:val="4"/>
        <w:adjustRightInd w:val="0"/>
        <w:snapToGrid w:val="0"/>
        <w:rPr>
          <w:rFonts w:hAnsi="宋体"/>
          <w:bCs/>
        </w:rPr>
      </w:pPr>
    </w:p>
    <w:p>
      <w:pPr>
        <w:pStyle w:val="4"/>
        <w:adjustRightInd w:val="0"/>
        <w:snapToGrid w:val="0"/>
        <w:rPr>
          <w:rFonts w:hAnsi="宋体"/>
          <w:bCs/>
        </w:rPr>
      </w:pPr>
      <w:r>
        <w:rPr>
          <w:rFonts w:hint="eastAsia" w:hAnsi="宋体"/>
          <w:bCs/>
        </w:rPr>
        <w:t>注：如不填写，则视为完全响应招标文件的商务要求。</w:t>
      </w:r>
    </w:p>
    <w:p>
      <w:pPr>
        <w:widowControl/>
        <w:jc w:val="left"/>
        <w:rPr>
          <w:rFonts w:eastAsia="黑体" w:cs="Calibri"/>
          <w:sz w:val="32"/>
          <w:szCs w:val="32"/>
        </w:rPr>
      </w:pPr>
    </w:p>
    <w:p>
      <w:pPr>
        <w:spacing w:line="440" w:lineRule="exact"/>
        <w:jc w:val="center"/>
        <w:rPr>
          <w:rFonts w:eastAsia="黑体" w:cs="Calibri"/>
          <w:sz w:val="32"/>
          <w:szCs w:val="32"/>
        </w:rPr>
      </w:pPr>
      <w:r>
        <w:rPr>
          <w:rFonts w:eastAsia="黑体" w:cs="Calibri"/>
          <w:sz w:val="32"/>
          <w:szCs w:val="32"/>
        </w:rPr>
        <w:br w:type="page"/>
      </w:r>
      <w:r>
        <w:rPr>
          <w:rFonts w:hint="eastAsia" w:eastAsia="黑体" w:cs="Calibri"/>
          <w:sz w:val="32"/>
          <w:szCs w:val="32"/>
        </w:rPr>
        <w:t>十、廉洁自律承诺书</w:t>
      </w:r>
    </w:p>
    <w:p>
      <w:pPr>
        <w:topLinePunct/>
        <w:jc w:val="center"/>
        <w:rPr>
          <w:rFonts w:ascii="宋体" w:hAnsi="宋体"/>
          <w:b/>
          <w:sz w:val="32"/>
          <w:szCs w:val="21"/>
        </w:rPr>
      </w:pPr>
    </w:p>
    <w:p>
      <w:pPr>
        <w:spacing w:line="276" w:lineRule="auto"/>
        <w:jc w:val="center"/>
        <w:rPr>
          <w:rFonts w:ascii="宋体" w:hAnsi="宋体"/>
          <w:b/>
          <w:kern w:val="0"/>
          <w:sz w:val="24"/>
          <w:szCs w:val="21"/>
        </w:rPr>
      </w:pPr>
      <w:r>
        <w:rPr>
          <w:rFonts w:hint="eastAsia" w:ascii="宋体" w:hAnsi="宋体"/>
          <w:b/>
          <w:kern w:val="0"/>
          <w:sz w:val="24"/>
          <w:szCs w:val="21"/>
        </w:rPr>
        <w:t>杭州萧山国际机场有限公司廉洁自律承诺书</w:t>
      </w:r>
    </w:p>
    <w:p>
      <w:pPr>
        <w:spacing w:line="276" w:lineRule="auto"/>
        <w:jc w:val="center"/>
        <w:rPr>
          <w:rFonts w:ascii="宋体" w:hAnsi="宋体"/>
          <w:kern w:val="0"/>
          <w:sz w:val="24"/>
          <w:szCs w:val="21"/>
        </w:rPr>
      </w:pPr>
    </w:p>
    <w:p>
      <w:pPr>
        <w:spacing w:line="276" w:lineRule="auto"/>
        <w:jc w:val="left"/>
        <w:rPr>
          <w:rFonts w:ascii="宋体" w:hAnsi="宋体"/>
          <w:szCs w:val="21"/>
        </w:rPr>
      </w:pPr>
      <w:r>
        <w:rPr>
          <w:rFonts w:hint="eastAsia" w:ascii="宋体" w:hAnsi="宋体"/>
          <w:szCs w:val="21"/>
        </w:rPr>
        <w:t>杭州萧山国际机场有限公司：</w:t>
      </w:r>
    </w:p>
    <w:p>
      <w:pPr>
        <w:spacing w:line="276" w:lineRule="auto"/>
        <w:ind w:firstLine="420" w:firstLineChars="200"/>
        <w:jc w:val="left"/>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20" w:firstLineChars="200"/>
        <w:jc w:val="left"/>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20" w:firstLineChars="200"/>
        <w:jc w:val="left"/>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20" w:firstLineChars="200"/>
        <w:jc w:val="left"/>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20" w:firstLineChars="200"/>
        <w:jc w:val="left"/>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20" w:firstLineChars="200"/>
        <w:jc w:val="left"/>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20" w:firstLineChars="200"/>
        <w:jc w:val="left"/>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20" w:firstLineChars="200"/>
        <w:jc w:val="left"/>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20" w:firstLineChars="200"/>
        <w:jc w:val="left"/>
        <w:rPr>
          <w:rFonts w:ascii="宋体" w:hAnsi="宋体"/>
          <w:szCs w:val="21"/>
        </w:rPr>
      </w:pPr>
      <w:r>
        <w:rPr>
          <w:rFonts w:hint="eastAsia" w:ascii="宋体" w:hAnsi="宋体"/>
          <w:szCs w:val="21"/>
        </w:rPr>
        <w:t>八、如违反上述廉洁自律承诺，贵公司有权：</w:t>
      </w:r>
    </w:p>
    <w:p>
      <w:pPr>
        <w:spacing w:line="276"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20" w:firstLineChars="200"/>
        <w:jc w:val="left"/>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承诺人单位名称（盖章）：            </w:t>
      </w:r>
    </w:p>
    <w:p>
      <w:pPr>
        <w:spacing w:line="276" w:lineRule="auto"/>
        <w:ind w:firstLine="420" w:firstLineChars="200"/>
        <w:jc w:val="left"/>
        <w:rPr>
          <w:rFonts w:ascii="宋体" w:hAnsi="宋体"/>
          <w:szCs w:val="21"/>
        </w:rPr>
      </w:pPr>
      <w:r>
        <w:rPr>
          <w:rFonts w:hint="eastAsia" w:ascii="宋体" w:hAnsi="宋体"/>
          <w:szCs w:val="21"/>
        </w:rPr>
        <w:t xml:space="preserve">法定代表人 ：                    </w:t>
      </w:r>
    </w:p>
    <w:p>
      <w:pPr>
        <w:spacing w:line="276" w:lineRule="auto"/>
        <w:ind w:firstLine="420" w:firstLineChars="200"/>
        <w:jc w:val="left"/>
        <w:rPr>
          <w:rFonts w:ascii="宋体" w:hAnsi="宋体"/>
          <w:szCs w:val="21"/>
        </w:rPr>
      </w:pPr>
      <w:r>
        <w:rPr>
          <w:rFonts w:hint="eastAsia" w:ascii="宋体" w:hAnsi="宋体"/>
          <w:szCs w:val="21"/>
        </w:rPr>
        <w:t xml:space="preserve">或                            </w:t>
      </w:r>
    </w:p>
    <w:p>
      <w:pPr>
        <w:spacing w:line="276" w:lineRule="auto"/>
        <w:ind w:firstLine="420" w:firstLineChars="200"/>
        <w:jc w:val="left"/>
        <w:rPr>
          <w:rFonts w:ascii="宋体" w:hAnsi="宋体"/>
          <w:szCs w:val="21"/>
        </w:rPr>
      </w:pPr>
      <w:r>
        <w:rPr>
          <w:rFonts w:hint="eastAsia" w:ascii="宋体" w:hAnsi="宋体"/>
          <w:szCs w:val="21"/>
        </w:rPr>
        <w:t xml:space="preserve">委托代理人：                   </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                           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38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0000017"/>
    <w:multiLevelType w:val="multilevel"/>
    <w:tmpl w:val="00000017"/>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19063A6D"/>
    <w:multiLevelType w:val="singleLevel"/>
    <w:tmpl w:val="19063A6D"/>
    <w:lvl w:ilvl="0" w:tentative="0">
      <w:start w:val="1"/>
      <w:numFmt w:val="decimal"/>
      <w:lvlText w:val="(%1)"/>
      <w:lvlJc w:val="left"/>
      <w:pPr>
        <w:tabs>
          <w:tab w:val="left" w:pos="907"/>
        </w:tabs>
        <w:ind w:left="907" w:hanging="482"/>
      </w:pPr>
      <w:rPr>
        <w:rFonts w:hint="eastAsia"/>
        <w:b w:val="0"/>
        <w:i w:val="0"/>
        <w:u w:val="none"/>
      </w:rPr>
    </w:lvl>
  </w:abstractNum>
  <w:abstractNum w:abstractNumId="5">
    <w:nsid w:val="49366583"/>
    <w:multiLevelType w:val="multilevel"/>
    <w:tmpl w:val="49366583"/>
    <w:lvl w:ilvl="0" w:tentative="0">
      <w:start w:val="1"/>
      <w:numFmt w:val="decimalEnclosedCircle"/>
      <w:lvlText w:val="%1"/>
      <w:lvlJc w:val="left"/>
      <w:pPr>
        <w:ind w:left="1267" w:hanging="360"/>
      </w:pPr>
    </w:lvl>
    <w:lvl w:ilvl="1" w:tentative="0">
      <w:start w:val="1"/>
      <w:numFmt w:val="lowerLetter"/>
      <w:lvlText w:val="%2)"/>
      <w:lvlJc w:val="left"/>
      <w:pPr>
        <w:ind w:left="1747" w:hanging="420"/>
      </w:pPr>
    </w:lvl>
    <w:lvl w:ilvl="2" w:tentative="0">
      <w:start w:val="1"/>
      <w:numFmt w:val="lowerRoman"/>
      <w:lvlText w:val="%3."/>
      <w:lvlJc w:val="right"/>
      <w:pPr>
        <w:ind w:left="2167" w:hanging="420"/>
      </w:pPr>
    </w:lvl>
    <w:lvl w:ilvl="3" w:tentative="0">
      <w:start w:val="1"/>
      <w:numFmt w:val="decimal"/>
      <w:lvlText w:val="%4."/>
      <w:lvlJc w:val="left"/>
      <w:pPr>
        <w:ind w:left="2587" w:hanging="420"/>
      </w:pPr>
    </w:lvl>
    <w:lvl w:ilvl="4" w:tentative="0">
      <w:start w:val="1"/>
      <w:numFmt w:val="lowerLetter"/>
      <w:lvlText w:val="%5)"/>
      <w:lvlJc w:val="left"/>
      <w:pPr>
        <w:ind w:left="3007" w:hanging="420"/>
      </w:pPr>
    </w:lvl>
    <w:lvl w:ilvl="5" w:tentative="0">
      <w:start w:val="1"/>
      <w:numFmt w:val="lowerRoman"/>
      <w:lvlText w:val="%6."/>
      <w:lvlJc w:val="right"/>
      <w:pPr>
        <w:ind w:left="3427" w:hanging="420"/>
      </w:pPr>
    </w:lvl>
    <w:lvl w:ilvl="6" w:tentative="0">
      <w:start w:val="1"/>
      <w:numFmt w:val="decimal"/>
      <w:lvlText w:val="%7."/>
      <w:lvlJc w:val="left"/>
      <w:pPr>
        <w:ind w:left="3847" w:hanging="420"/>
      </w:pPr>
    </w:lvl>
    <w:lvl w:ilvl="7" w:tentative="0">
      <w:start w:val="1"/>
      <w:numFmt w:val="lowerLetter"/>
      <w:lvlText w:val="%8)"/>
      <w:lvlJc w:val="left"/>
      <w:pPr>
        <w:ind w:left="4267" w:hanging="420"/>
      </w:pPr>
    </w:lvl>
    <w:lvl w:ilvl="8" w:tentative="0">
      <w:start w:val="1"/>
      <w:numFmt w:val="lowerRoman"/>
      <w:lvlText w:val="%9."/>
      <w:lvlJc w:val="right"/>
      <w:pPr>
        <w:ind w:left="4687" w:hanging="420"/>
      </w:pPr>
    </w:lvl>
  </w:abstractNum>
  <w:abstractNum w:abstractNumId="6">
    <w:nsid w:val="5554324B"/>
    <w:multiLevelType w:val="multilevel"/>
    <w:tmpl w:val="5554324B"/>
    <w:lvl w:ilvl="0" w:tentative="0">
      <w:start w:val="1"/>
      <w:numFmt w:val="decimalEnclosedCircle"/>
      <w:lvlText w:val="%1"/>
      <w:lvlJc w:val="left"/>
      <w:pPr>
        <w:ind w:left="1267" w:hanging="360"/>
      </w:pPr>
    </w:lvl>
    <w:lvl w:ilvl="1" w:tentative="0">
      <w:start w:val="1"/>
      <w:numFmt w:val="lowerLetter"/>
      <w:lvlText w:val="%2)"/>
      <w:lvlJc w:val="left"/>
      <w:pPr>
        <w:ind w:left="1747" w:hanging="420"/>
      </w:pPr>
    </w:lvl>
    <w:lvl w:ilvl="2" w:tentative="0">
      <w:start w:val="1"/>
      <w:numFmt w:val="lowerRoman"/>
      <w:lvlText w:val="%3."/>
      <w:lvlJc w:val="right"/>
      <w:pPr>
        <w:ind w:left="2167" w:hanging="420"/>
      </w:pPr>
    </w:lvl>
    <w:lvl w:ilvl="3" w:tentative="0">
      <w:start w:val="1"/>
      <w:numFmt w:val="decimal"/>
      <w:lvlText w:val="%4."/>
      <w:lvlJc w:val="left"/>
      <w:pPr>
        <w:ind w:left="2587" w:hanging="420"/>
      </w:pPr>
    </w:lvl>
    <w:lvl w:ilvl="4" w:tentative="0">
      <w:start w:val="1"/>
      <w:numFmt w:val="lowerLetter"/>
      <w:lvlText w:val="%5)"/>
      <w:lvlJc w:val="left"/>
      <w:pPr>
        <w:ind w:left="3007" w:hanging="420"/>
      </w:pPr>
    </w:lvl>
    <w:lvl w:ilvl="5" w:tentative="0">
      <w:start w:val="1"/>
      <w:numFmt w:val="lowerRoman"/>
      <w:lvlText w:val="%6."/>
      <w:lvlJc w:val="right"/>
      <w:pPr>
        <w:ind w:left="3427" w:hanging="420"/>
      </w:pPr>
    </w:lvl>
    <w:lvl w:ilvl="6" w:tentative="0">
      <w:start w:val="1"/>
      <w:numFmt w:val="decimal"/>
      <w:lvlText w:val="%7."/>
      <w:lvlJc w:val="left"/>
      <w:pPr>
        <w:ind w:left="3847" w:hanging="420"/>
      </w:pPr>
    </w:lvl>
    <w:lvl w:ilvl="7" w:tentative="0">
      <w:start w:val="1"/>
      <w:numFmt w:val="lowerLetter"/>
      <w:lvlText w:val="%8)"/>
      <w:lvlJc w:val="left"/>
      <w:pPr>
        <w:ind w:left="4267" w:hanging="420"/>
      </w:pPr>
    </w:lvl>
    <w:lvl w:ilvl="8" w:tentative="0">
      <w:start w:val="1"/>
      <w:numFmt w:val="lowerRoman"/>
      <w:lvlText w:val="%9."/>
      <w:lvlJc w:val="right"/>
      <w:pPr>
        <w:ind w:left="4687" w:hanging="420"/>
      </w:pPr>
    </w:lvl>
  </w:abstractNum>
  <w:abstractNum w:abstractNumId="7">
    <w:nsid w:val="5784260F"/>
    <w:multiLevelType w:val="multilevel"/>
    <w:tmpl w:val="5784260F"/>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DBE2F4E"/>
    <w:multiLevelType w:val="singleLevel"/>
    <w:tmpl w:val="5DBE2F4E"/>
    <w:lvl w:ilvl="0" w:tentative="0">
      <w:start w:val="6"/>
      <w:numFmt w:val="chineseCounting"/>
      <w:suff w:val="nothing"/>
      <w:lvlText w:val="%1、"/>
      <w:lvlJc w:val="left"/>
    </w:lvl>
  </w:abstractNum>
  <w:abstractNum w:abstractNumId="9">
    <w:nsid w:val="5DD390CD"/>
    <w:multiLevelType w:val="singleLevel"/>
    <w:tmpl w:val="5DD390CD"/>
    <w:lvl w:ilvl="0" w:tentative="0">
      <w:start w:val="1"/>
      <w:numFmt w:val="decimal"/>
      <w:suff w:val="nothing"/>
      <w:lvlText w:val="%1."/>
      <w:lvlJc w:val="left"/>
    </w:lvl>
  </w:abstractNum>
  <w:abstractNum w:abstractNumId="10">
    <w:nsid w:val="5DD4DEC2"/>
    <w:multiLevelType w:val="singleLevel"/>
    <w:tmpl w:val="5DD4DEC2"/>
    <w:lvl w:ilvl="0" w:tentative="0">
      <w:start w:val="4"/>
      <w:numFmt w:val="decimal"/>
      <w:suff w:val="nothing"/>
      <w:lvlText w:val="%1）"/>
      <w:lvlJc w:val="left"/>
    </w:lvl>
  </w:abstractNum>
  <w:abstractNum w:abstractNumId="11">
    <w:nsid w:val="5E7922F1"/>
    <w:multiLevelType w:val="multilevel"/>
    <w:tmpl w:val="5E7922F1"/>
    <w:lvl w:ilvl="0" w:tentative="0">
      <w:start w:val="1"/>
      <w:numFmt w:val="decimal"/>
      <w:lvlText w:val="%1."/>
      <w:lvlJc w:val="left"/>
      <w:pPr>
        <w:ind w:left="465" w:hanging="360"/>
      </w:pPr>
      <w:rPr>
        <w:rFonts w:asciiTheme="minorHAnsi" w:hAnsiTheme="minorHAnsi" w:eastAsiaTheme="minorEastAsia" w:cstheme="minorBidi"/>
      </w:rPr>
    </w:lvl>
    <w:lvl w:ilvl="1" w:tentative="0">
      <w:start w:val="3"/>
      <w:numFmt w:val="decimal"/>
      <w:isLgl/>
      <w:lvlText w:val="%1.%2"/>
      <w:lvlJc w:val="left"/>
      <w:pPr>
        <w:ind w:left="495" w:hanging="390"/>
      </w:pPr>
      <w:rPr>
        <w:rFonts w:hint="default" w:ascii="Calibri" w:hAnsi="Calibri"/>
      </w:rPr>
    </w:lvl>
    <w:lvl w:ilvl="2" w:tentative="0">
      <w:start w:val="1"/>
      <w:numFmt w:val="decimal"/>
      <w:isLgl/>
      <w:lvlText w:val="%1.%2.%3"/>
      <w:lvlJc w:val="left"/>
      <w:pPr>
        <w:ind w:left="825" w:hanging="720"/>
      </w:pPr>
      <w:rPr>
        <w:rFonts w:hint="default" w:ascii="Calibri" w:hAnsi="Calibri"/>
      </w:rPr>
    </w:lvl>
    <w:lvl w:ilvl="3" w:tentative="0">
      <w:start w:val="1"/>
      <w:numFmt w:val="decimal"/>
      <w:isLgl/>
      <w:lvlText w:val="%1.%2.%3.%4"/>
      <w:lvlJc w:val="left"/>
      <w:pPr>
        <w:ind w:left="825" w:hanging="720"/>
      </w:pPr>
      <w:rPr>
        <w:rFonts w:hint="default" w:ascii="Calibri" w:hAnsi="Calibri"/>
      </w:rPr>
    </w:lvl>
    <w:lvl w:ilvl="4" w:tentative="0">
      <w:start w:val="1"/>
      <w:numFmt w:val="decimal"/>
      <w:isLgl/>
      <w:lvlText w:val="%1.%2.%3.%4.%5"/>
      <w:lvlJc w:val="left"/>
      <w:pPr>
        <w:ind w:left="1185" w:hanging="1080"/>
      </w:pPr>
      <w:rPr>
        <w:rFonts w:hint="default" w:ascii="Calibri" w:hAnsi="Calibri"/>
      </w:rPr>
    </w:lvl>
    <w:lvl w:ilvl="5" w:tentative="0">
      <w:start w:val="1"/>
      <w:numFmt w:val="decimal"/>
      <w:isLgl/>
      <w:lvlText w:val="%1.%2.%3.%4.%5.%6"/>
      <w:lvlJc w:val="left"/>
      <w:pPr>
        <w:ind w:left="1185" w:hanging="1080"/>
      </w:pPr>
      <w:rPr>
        <w:rFonts w:hint="default" w:ascii="Calibri" w:hAnsi="Calibri"/>
      </w:rPr>
    </w:lvl>
    <w:lvl w:ilvl="6" w:tentative="0">
      <w:start w:val="1"/>
      <w:numFmt w:val="decimal"/>
      <w:isLgl/>
      <w:lvlText w:val="%1.%2.%3.%4.%5.%6.%7"/>
      <w:lvlJc w:val="left"/>
      <w:pPr>
        <w:ind w:left="1545" w:hanging="1440"/>
      </w:pPr>
      <w:rPr>
        <w:rFonts w:hint="default" w:ascii="Calibri" w:hAnsi="Calibri"/>
      </w:rPr>
    </w:lvl>
    <w:lvl w:ilvl="7" w:tentative="0">
      <w:start w:val="1"/>
      <w:numFmt w:val="decimal"/>
      <w:isLgl/>
      <w:lvlText w:val="%1.%2.%3.%4.%5.%6.%7.%8"/>
      <w:lvlJc w:val="left"/>
      <w:pPr>
        <w:ind w:left="1545" w:hanging="1440"/>
      </w:pPr>
      <w:rPr>
        <w:rFonts w:hint="default" w:ascii="Calibri" w:hAnsi="Calibri"/>
      </w:rPr>
    </w:lvl>
    <w:lvl w:ilvl="8" w:tentative="0">
      <w:start w:val="1"/>
      <w:numFmt w:val="decimal"/>
      <w:isLgl/>
      <w:lvlText w:val="%1.%2.%3.%4.%5.%6.%7.%8.%9"/>
      <w:lvlJc w:val="left"/>
      <w:pPr>
        <w:ind w:left="1545" w:hanging="1440"/>
      </w:pPr>
      <w:rPr>
        <w:rFonts w:hint="default" w:ascii="Calibri" w:hAnsi="Calibri"/>
      </w:rPr>
    </w:lvl>
  </w:abstractNum>
  <w:num w:numId="1">
    <w:abstractNumId w:val="10"/>
  </w:num>
  <w:num w:numId="2">
    <w:abstractNumId w:val="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0"/>
  </w:num>
  <w:num w:numId="7">
    <w:abstractNumId w:val="4"/>
    <w:lvlOverride w:ilvl="0">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CE3ED0"/>
    <w:rsid w:val="666E6432"/>
    <w:rsid w:val="71F42834"/>
    <w:rsid w:val="79010F3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2">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szCs w:val="21"/>
    </w:rPr>
  </w:style>
  <w:style w:type="paragraph" w:styleId="5">
    <w:name w:val="Body Text Indent 2"/>
    <w:basedOn w:val="1"/>
    <w:qFormat/>
    <w:uiPriority w:val="0"/>
    <w:pPr>
      <w:spacing w:after="120" w:line="480" w:lineRule="auto"/>
      <w:ind w:left="420" w:leftChars="200"/>
    </w:pPr>
    <w:rPr>
      <w:rFonts w:ascii="Times New Roman" w:hAnsi="Times New Roman"/>
      <w:szCs w:val="24"/>
    </w:rPr>
  </w:style>
  <w:style w:type="paragraph" w:styleId="6">
    <w:name w:val="Balloon Text"/>
    <w:basedOn w:val="1"/>
    <w:link w:val="26"/>
    <w:uiPriority w:val="0"/>
    <w:rPr>
      <w:sz w:val="18"/>
      <w:szCs w:val="18"/>
    </w:rPr>
  </w:style>
  <w:style w:type="paragraph" w:styleId="7">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2"/>
    <w:next w:val="1"/>
    <w:qFormat/>
    <w:uiPriority w:val="0"/>
    <w:pPr>
      <w:tabs>
        <w:tab w:val="right" w:leader="dot" w:pos="8659"/>
      </w:tabs>
      <w:spacing w:before="0" w:after="0" w:line="240" w:lineRule="auto"/>
      <w:jc w:val="center"/>
    </w:pPr>
    <w:rPr>
      <w:b w:val="0"/>
      <w:sz w:val="21"/>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1">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3">
    <w:name w:val="page number"/>
    <w:qFormat/>
    <w:uiPriority w:val="0"/>
    <w:rPr>
      <w:rFonts w:ascii="Calibri" w:hAnsi="Calibri" w:eastAsia="宋体" w:cs="Times New Roman"/>
      <w:lang w:val="en-US" w:eastAsia="zh-CN" w:bidi="ar-SA"/>
    </w:rPr>
  </w:style>
  <w:style w:type="paragraph" w:customStyle="1" w:styleId="15">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16">
    <w:name w:val="样式 标题 1 + (符号) Arial 三号"/>
    <w:basedOn w:val="2"/>
    <w:qFormat/>
    <w:uiPriority w:val="0"/>
    <w:pPr>
      <w:snapToGrid w:val="0"/>
      <w:spacing w:before="0" w:after="0" w:line="360" w:lineRule="auto"/>
    </w:pPr>
    <w:rPr>
      <w:sz w:val="32"/>
    </w:rPr>
  </w:style>
  <w:style w:type="character" w:customStyle="1" w:styleId="17">
    <w:name w:val="zbggmain style9"/>
    <w:qFormat/>
    <w:uiPriority w:val="0"/>
    <w:rPr>
      <w:rFonts w:ascii="Calibri" w:hAnsi="Calibri" w:eastAsia="宋体" w:cs="Times New Roman"/>
      <w:lang w:val="en-US" w:eastAsia="zh-CN" w:bidi="ar-SA"/>
    </w:rPr>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列出段落1"/>
    <w:basedOn w:val="1"/>
    <w:qFormat/>
    <w:uiPriority w:val="34"/>
    <w:pPr>
      <w:ind w:firstLine="420" w:firstLineChars="200"/>
    </w:pPr>
  </w:style>
  <w:style w:type="character" w:customStyle="1" w:styleId="20">
    <w:name w:val="font11"/>
    <w:basedOn w:val="12"/>
    <w:qFormat/>
    <w:uiPriority w:val="0"/>
    <w:rPr>
      <w:rFonts w:hint="eastAsia" w:ascii="宋体" w:hAnsi="宋体" w:eastAsia="宋体" w:cs="宋体"/>
      <w:color w:val="000000"/>
      <w:sz w:val="20"/>
      <w:szCs w:val="20"/>
      <w:u w:val="none"/>
      <w:lang w:val="en-US" w:eastAsia="zh-CN" w:bidi="ar-SA"/>
    </w:rPr>
  </w:style>
  <w:style w:type="paragraph" w:customStyle="1" w:styleId="21">
    <w:name w:val="a"/>
    <w:basedOn w:val="1"/>
    <w:qFormat/>
    <w:uiPriority w:val="0"/>
    <w:pPr>
      <w:widowControl/>
      <w:spacing w:line="360" w:lineRule="auto"/>
      <w:ind w:firstLine="200"/>
    </w:pPr>
    <w:rPr>
      <w:rFonts w:ascii="Times New Roman" w:hAnsi="Times New Roman"/>
      <w:color w:val="000000"/>
      <w:kern w:val="0"/>
    </w:rPr>
  </w:style>
  <w:style w:type="paragraph" w:customStyle="1" w:styleId="22">
    <w:name w:val="样式 文档正文 + 四号 首行缩进:  2 字符 段前: 0.25 行"/>
    <w:basedOn w:val="1"/>
    <w:qFormat/>
    <w:uiPriority w:val="0"/>
    <w:pPr>
      <w:snapToGrid w:val="0"/>
      <w:spacing w:line="360" w:lineRule="auto"/>
      <w:ind w:firstLine="560" w:firstLineChars="200"/>
      <w:jc w:val="left"/>
    </w:pPr>
    <w:rPr>
      <w:rFonts w:ascii="Arial" w:hAnsi="Arial"/>
      <w:szCs w:val="20"/>
    </w:rPr>
  </w:style>
  <w:style w:type="paragraph" w:customStyle="1" w:styleId="23">
    <w:name w:val="列出段落2"/>
    <w:basedOn w:val="1"/>
    <w:qFormat/>
    <w:uiPriority w:val="34"/>
    <w:pPr>
      <w:ind w:firstLine="420" w:firstLineChars="200"/>
    </w:pPr>
  </w:style>
  <w:style w:type="character" w:customStyle="1" w:styleId="24">
    <w:name w:val="页眉 字符"/>
    <w:basedOn w:val="12"/>
    <w:link w:val="8"/>
    <w:qFormat/>
    <w:uiPriority w:val="0"/>
    <w:rPr>
      <w:rFonts w:ascii="Times New Roman" w:hAnsi="Times New Roman" w:eastAsia="宋体" w:cs="Times New Roman"/>
      <w:sz w:val="18"/>
      <w:szCs w:val="18"/>
      <w:lang w:val="en-US" w:eastAsia="zh-CN" w:bidi="ar-SA"/>
    </w:rPr>
  </w:style>
  <w:style w:type="paragraph" w:customStyle="1" w:styleId="25">
    <w:name w:val="List Paragraph"/>
    <w:basedOn w:val="1"/>
    <w:uiPriority w:val="99"/>
    <w:pPr>
      <w:ind w:firstLine="420" w:firstLineChars="200"/>
    </w:pPr>
  </w:style>
  <w:style w:type="character" w:customStyle="1" w:styleId="26">
    <w:name w:val="批注框文本 字符"/>
    <w:basedOn w:val="12"/>
    <w:link w:val="6"/>
    <w:uiPriority w:val="0"/>
    <w:rPr>
      <w:rFonts w:ascii="Times New Roman"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59</Pages>
  <Words>7197</Words>
  <Characters>41025</Characters>
  <Lines>341</Lines>
  <Paragraphs>96</Paragraphs>
  <TotalTime>0</TotalTime>
  <ScaleCrop>false</ScaleCrop>
  <LinksUpToDate>false</LinksUpToDate>
  <CharactersWithSpaces>48126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2019-11-06T01:03:00Z</dcterms:created>
  <dc:creator>Administrator</dc:creator>
  <cp:lastModifiedBy>张文娴</cp:lastModifiedBy>
  <dcterms:modified xsi:type="dcterms:W3CDTF">2019-12-16T01:59:39Z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