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杭州萧山国际机场空气自动监测站站房改造项目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二</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六</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pStyle w:val="9"/>
      </w:pPr>
    </w:p>
    <w:sdt>
      <w:sdtPr>
        <w:rPr>
          <w:rFonts w:ascii="宋体" w:hAnsi="宋体" w:eastAsia="宋体" w:cstheme="minorBidi"/>
          <w:kern w:val="2"/>
          <w:sz w:val="21"/>
          <w:szCs w:val="22"/>
          <w:lang w:val="en-US" w:eastAsia="zh-CN" w:bidi="ar-SA"/>
        </w:rPr>
        <w:id w:val="147480402"/>
        <w15:color w:val="DBDBDB"/>
      </w:sdtPr>
      <w:sdtEndPr>
        <w:rPr>
          <w:rFonts w:asciiTheme="minorHAnsi" w:hAnsiTheme="minorHAnsi" w:eastAsiaTheme="minorEastAsia" w:cstheme="minorBidi"/>
          <w:bCs/>
          <w:kern w:val="2"/>
          <w:sz w:val="21"/>
          <w:szCs w:val="44"/>
          <w:lang w:val="en-US" w:eastAsia="zh-CN" w:bidi="ar-SA"/>
        </w:rPr>
      </w:sdtEndPr>
      <w:sdtContent>
        <w:p>
          <w:pPr>
            <w:spacing w:before="0" w:beforeLines="0" w:after="0" w:afterLines="0" w:line="240" w:lineRule="auto"/>
            <w:ind w:left="0" w:leftChars="0" w:right="0" w:rightChars="0" w:firstLine="0" w:firstLineChars="0"/>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_Toc8459 </w:instrText>
          </w:r>
          <w:r>
            <w:rPr>
              <w:rFonts w:hint="eastAsia" w:ascii="宋体" w:hAnsi="宋体" w:eastAsia="宋体" w:cs="宋体"/>
              <w:bCs/>
              <w:sz w:val="36"/>
              <w:szCs w:val="56"/>
            </w:rP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_Toc682 </w:instrText>
          </w:r>
          <w:r>
            <w:rPr>
              <w:rFonts w:hint="eastAsia" w:ascii="宋体" w:hAnsi="宋体" w:eastAsia="宋体" w:cs="宋体"/>
              <w:bCs/>
              <w:sz w:val="36"/>
              <w:szCs w:val="56"/>
            </w:rP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_Toc17411 </w:instrText>
          </w:r>
          <w:r>
            <w:rPr>
              <w:rFonts w:hint="eastAsia" w:ascii="宋体" w:hAnsi="宋体" w:eastAsia="宋体" w:cs="宋体"/>
              <w:bCs/>
              <w:sz w:val="36"/>
              <w:szCs w:val="56"/>
            </w:rPr>
            <w:fldChar w:fldCharType="separate"/>
          </w:r>
          <w:r>
            <w:rPr>
              <w:rFonts w:hint="eastAsia"/>
              <w:sz w:val="36"/>
              <w:szCs w:val="44"/>
              <w:lang w:val="en-US" w:eastAsia="zh-CN"/>
            </w:rPr>
            <w:t>第三章</w:t>
          </w:r>
          <w:r>
            <w:rPr>
              <w:sz w:val="36"/>
              <w:szCs w:val="44"/>
            </w:rPr>
            <w:t xml:space="preserve"> </w:t>
          </w:r>
          <w:r>
            <w:rPr>
              <w:rFonts w:hint="eastAsia"/>
              <w:sz w:val="36"/>
              <w:szCs w:val="44"/>
            </w:rPr>
            <w:t>合同条款及格式</w:t>
          </w:r>
          <w:r>
            <w:rPr>
              <w:sz w:val="36"/>
              <w:szCs w:val="44"/>
            </w:rPr>
            <w:tab/>
          </w:r>
          <w:r>
            <w:rPr>
              <w:rFonts w:hint="eastAsia"/>
              <w:sz w:val="36"/>
              <w:szCs w:val="44"/>
              <w:lang w:val="en-US" w:eastAsia="zh-CN"/>
            </w:rPr>
            <w:t>7</w:t>
          </w:r>
          <w:r>
            <w:rPr>
              <w:rFonts w:hint="eastAsia" w:ascii="宋体" w:hAnsi="宋体" w:eastAsia="宋体" w:cs="宋体"/>
              <w:bCs/>
              <w:sz w:val="36"/>
              <w:szCs w:val="56"/>
            </w:rPr>
            <w:fldChar w:fldCharType="end"/>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_Toc27673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四</w:t>
          </w:r>
          <w:r>
            <w:rPr>
              <w:rFonts w:hint="eastAsia"/>
              <w:sz w:val="36"/>
              <w:szCs w:val="44"/>
            </w:rPr>
            <w:t>章 工程量清单（详见附件）</w:t>
          </w:r>
          <w:r>
            <w:rPr>
              <w:sz w:val="36"/>
              <w:szCs w:val="44"/>
            </w:rPr>
            <w:tab/>
          </w:r>
          <w:r>
            <w:rPr>
              <w:rFonts w:hint="eastAsia"/>
              <w:sz w:val="36"/>
              <w:szCs w:val="44"/>
              <w:lang w:val="en-US" w:eastAsia="zh-CN"/>
            </w:rPr>
            <w:t>1</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8</w:t>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_Toc9507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五</w:t>
          </w:r>
          <w:r>
            <w:rPr>
              <w:rFonts w:hint="eastAsia"/>
              <w:sz w:val="36"/>
              <w:szCs w:val="44"/>
            </w:rPr>
            <w:t xml:space="preserve">章 </w:t>
          </w:r>
          <w:r>
            <w:rPr>
              <w:rFonts w:hint="eastAsia"/>
              <w:sz w:val="36"/>
              <w:szCs w:val="44"/>
              <w:lang w:val="en-US" w:eastAsia="zh-CN"/>
            </w:rPr>
            <w:t>图纸</w:t>
          </w:r>
          <w:r>
            <w:rPr>
              <w:rFonts w:hint="eastAsia"/>
              <w:sz w:val="36"/>
              <w:szCs w:val="44"/>
            </w:rPr>
            <w:t>（详见附件）</w:t>
          </w:r>
          <w:r>
            <w:rPr>
              <w:sz w:val="36"/>
              <w:szCs w:val="44"/>
            </w:rPr>
            <w:tab/>
          </w:r>
          <w:r>
            <w:rPr>
              <w:rFonts w:hint="eastAsia"/>
              <w:sz w:val="36"/>
              <w:szCs w:val="44"/>
              <w:lang w:val="en-US" w:eastAsia="zh-CN"/>
            </w:rPr>
            <w:t>1</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9</w:t>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_Toc17683 </w:instrText>
          </w:r>
          <w:r>
            <w:rPr>
              <w:rFonts w:hint="eastAsia" w:ascii="宋体" w:hAnsi="宋体" w:eastAsia="宋体" w:cs="宋体"/>
              <w:bCs/>
              <w:sz w:val="36"/>
              <w:szCs w:val="56"/>
            </w:rPr>
            <w:fldChar w:fldCharType="separate"/>
          </w:r>
          <w:r>
            <w:rPr>
              <w:rFonts w:hint="eastAsia"/>
              <w:sz w:val="36"/>
              <w:szCs w:val="44"/>
              <w:lang w:val="en-US" w:eastAsia="zh-CN"/>
            </w:rPr>
            <w:t>第六章</w:t>
          </w:r>
          <w:r>
            <w:rPr>
              <w:sz w:val="36"/>
              <w:szCs w:val="44"/>
            </w:rPr>
            <w:t xml:space="preserve"> </w:t>
          </w:r>
          <w:r>
            <w:rPr>
              <w:rFonts w:hint="eastAsia"/>
              <w:sz w:val="36"/>
              <w:szCs w:val="44"/>
              <w:lang w:val="en-US" w:eastAsia="zh-CN"/>
            </w:rPr>
            <w:t>技术标准及要求</w:t>
          </w:r>
          <w:r>
            <w:rPr>
              <w:sz w:val="36"/>
              <w:szCs w:val="44"/>
            </w:rPr>
            <w:tab/>
          </w:r>
          <w:r>
            <w:rPr>
              <w:rFonts w:hint="eastAsia"/>
              <w:sz w:val="36"/>
              <w:szCs w:val="44"/>
              <w:lang w:val="en-US" w:eastAsia="zh-CN"/>
            </w:rPr>
            <w:t>2</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0</w:t>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_Toc10055 </w:instrText>
          </w:r>
          <w:r>
            <w:rPr>
              <w:rFonts w:hint="eastAsia" w:ascii="宋体" w:hAnsi="宋体" w:eastAsia="宋体" w:cs="宋体"/>
              <w:bCs/>
              <w:sz w:val="36"/>
              <w:szCs w:val="56"/>
            </w:rPr>
            <w:fldChar w:fldCharType="separate"/>
          </w:r>
          <w:r>
            <w:rPr>
              <w:sz w:val="36"/>
              <w:szCs w:val="52"/>
            </w:rPr>
            <w:t>第</w:t>
          </w:r>
          <w:r>
            <w:rPr>
              <w:rFonts w:hint="eastAsia"/>
              <w:sz w:val="36"/>
              <w:szCs w:val="52"/>
              <w:lang w:eastAsia="zh-CN"/>
            </w:rPr>
            <w:t>七</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lang w:val="en-US" w:eastAsia="zh-CN"/>
            </w:rPr>
            <w:t>2</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4</w:t>
          </w:r>
        </w:p>
        <w:p>
          <w:pPr>
            <w:pStyle w:val="8"/>
            <w:tabs>
              <w:tab w:val="right" w:leader="dot" w:pos="9639"/>
            </w:tabs>
            <w:rPr>
              <w:sz w:val="36"/>
              <w:szCs w:val="44"/>
            </w:rPr>
          </w:pPr>
        </w:p>
        <w:p>
          <w:pPr>
            <w:spacing w:line="560" w:lineRule="exact"/>
            <w:jc w:val="center"/>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9"/>
        <w:keepNext w:val="0"/>
        <w:keepLines w:val="0"/>
        <w:pageBreakBefore/>
        <w:widowControl w:val="0"/>
        <w:kinsoku/>
        <w:wordWrap/>
        <w:overflowPunct/>
        <w:topLinePunct w:val="0"/>
        <w:autoSpaceDE/>
        <w:autoSpaceDN/>
        <w:bidi w:val="0"/>
        <w:adjustRightInd/>
        <w:snapToGrid/>
        <w:textAlignment w:val="auto"/>
      </w:pPr>
      <w:bookmarkStart w:id="0" w:name="_Toc448097401"/>
      <w:bookmarkStart w:id="1" w:name="_Toc8459"/>
      <w:r>
        <w:rPr>
          <w:rFonts w:hint="eastAsia"/>
        </w:rPr>
        <w:t>第一章 招标公告</w:t>
      </w:r>
      <w:bookmarkEnd w:id="0"/>
      <w:bookmarkEnd w:id="1"/>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kern w:val="0"/>
          <w:sz w:val="24"/>
          <w:szCs w:val="24"/>
        </w:rPr>
      </w:pPr>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1"/>
        </w:numPr>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项目概况：原老顺丰基地东侧二楼办公用房转变为空气质量监测站，结合环境厅空气质量监测站点装修需求</w:t>
      </w:r>
      <w:r>
        <w:rPr>
          <w:rFonts w:hint="eastAsia" w:ascii="宋体" w:hAnsi="宋体" w:eastAsia="宋体" w:cs="宋体"/>
          <w:b/>
          <w:bCs/>
          <w:kern w:val="0"/>
          <w:sz w:val="24"/>
          <w:szCs w:val="24"/>
          <w:lang w:val="en-US" w:eastAsia="zh-CN"/>
        </w:rPr>
        <w:t>。</w:t>
      </w:r>
    </w:p>
    <w:p>
      <w:pPr>
        <w:keepNext w:val="0"/>
        <w:keepLines w:val="0"/>
        <w:pageBreakBefore w:val="0"/>
        <w:widowControl/>
        <w:numPr>
          <w:ilvl w:val="0"/>
          <w:numId w:val="0"/>
        </w:numPr>
        <w:kinsoku/>
        <w:wordWrap/>
        <w:bidi w:val="0"/>
        <w:adjustRightInd w:val="0"/>
        <w:snapToGrid w:val="0"/>
        <w:spacing w:line="360" w:lineRule="exact"/>
        <w:ind w:right="0" w:rightChars="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实施</w:t>
      </w:r>
      <w:r>
        <w:rPr>
          <w:rFonts w:hint="eastAsia" w:ascii="宋体" w:hAnsi="宋体" w:eastAsia="宋体" w:cs="宋体"/>
          <w:kern w:val="0"/>
          <w:sz w:val="24"/>
          <w:szCs w:val="24"/>
        </w:rPr>
        <w:t>内容</w:t>
      </w:r>
      <w:r>
        <w:rPr>
          <w:rFonts w:hint="eastAsia" w:ascii="宋体" w:hAnsi="宋体" w:eastAsia="宋体" w:cs="宋体"/>
          <w:kern w:val="0"/>
          <w:sz w:val="24"/>
          <w:szCs w:val="24"/>
          <w:lang w:eastAsia="zh-CN"/>
        </w:rPr>
        <w:t>：详见</w:t>
      </w:r>
      <w:r>
        <w:rPr>
          <w:rFonts w:hint="eastAsia" w:ascii="宋体" w:hAnsi="宋体" w:eastAsia="宋体" w:cs="宋体"/>
          <w:kern w:val="0"/>
          <w:sz w:val="24"/>
          <w:szCs w:val="24"/>
          <w:lang w:val="en-US" w:eastAsia="zh-CN"/>
        </w:rPr>
        <w:t>工程量清单及技术标准及要求</w:t>
      </w:r>
      <w:r>
        <w:rPr>
          <w:rFonts w:hint="eastAsia" w:ascii="宋体" w:hAnsi="宋体" w:eastAsia="宋体" w:cs="宋体"/>
          <w:kern w:val="0"/>
          <w:sz w:val="24"/>
          <w:szCs w:val="24"/>
          <w:lang w:eastAsia="zh-CN"/>
        </w:rPr>
        <w:t>。</w:t>
      </w:r>
    </w:p>
    <w:p>
      <w:pPr>
        <w:keepNext w:val="0"/>
        <w:keepLines w:val="0"/>
        <w:pageBreakBefore w:val="0"/>
        <w:widowControl/>
        <w:kinsoku/>
        <w:wordWrap/>
        <w:bidi w:val="0"/>
        <w:adjustRightInd w:val="0"/>
        <w:snapToGrid w:val="0"/>
        <w:spacing w:line="360" w:lineRule="exact"/>
        <w:ind w:right="0" w:rightChars="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（3）本</w:t>
      </w:r>
      <w:r>
        <w:rPr>
          <w:rFonts w:hint="eastAsia" w:ascii="宋体" w:hAnsi="宋体" w:eastAsia="宋体" w:cs="宋体"/>
          <w:kern w:val="0"/>
          <w:sz w:val="24"/>
          <w:szCs w:val="24"/>
          <w:lang w:eastAsia="zh-CN"/>
        </w:rPr>
        <w:t>项目</w:t>
      </w:r>
      <w:r>
        <w:rPr>
          <w:rFonts w:hint="eastAsia" w:ascii="宋体" w:hAnsi="宋体" w:eastAsia="宋体" w:cs="宋体"/>
          <w:kern w:val="0"/>
          <w:sz w:val="24"/>
          <w:szCs w:val="24"/>
        </w:rPr>
        <w:t>设一个标段，要求</w:t>
      </w:r>
      <w:r>
        <w:rPr>
          <w:rFonts w:hint="eastAsia" w:ascii="宋体" w:hAnsi="宋体" w:eastAsia="宋体" w:cs="宋体"/>
          <w:kern w:val="0"/>
          <w:sz w:val="24"/>
          <w:szCs w:val="24"/>
          <w:lang w:eastAsia="zh-CN"/>
        </w:rPr>
        <w:t>甲方通知进场</w:t>
      </w:r>
      <w:r>
        <w:rPr>
          <w:rFonts w:hint="eastAsia" w:ascii="宋体" w:hAnsi="宋体" w:eastAsia="宋体" w:cs="宋体"/>
          <w:kern w:val="0"/>
          <w:sz w:val="24"/>
          <w:szCs w:val="24"/>
        </w:rPr>
        <w:t>后</w:t>
      </w:r>
      <w:r>
        <w:rPr>
          <w:rFonts w:hint="eastAsia" w:ascii="宋体" w:hAnsi="宋体" w:eastAsia="宋体" w:cs="宋体"/>
          <w:kern w:val="0"/>
          <w:sz w:val="24"/>
          <w:szCs w:val="24"/>
          <w:u w:val="single"/>
        </w:rPr>
        <w:t>30</w:t>
      </w:r>
      <w:r>
        <w:rPr>
          <w:rFonts w:hint="eastAsia" w:ascii="宋体" w:hAnsi="宋体" w:eastAsia="宋体" w:cs="宋体"/>
          <w:kern w:val="0"/>
          <w:sz w:val="24"/>
          <w:szCs w:val="24"/>
        </w:rPr>
        <w:t>日历天内完工。</w:t>
      </w:r>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w:t>
      </w:r>
      <w:r>
        <w:rPr>
          <w:rFonts w:hint="eastAsia" w:ascii="宋体" w:hAnsi="宋体" w:eastAsia="宋体" w:cs="宋体"/>
          <w:b/>
          <w:bCs/>
          <w:kern w:val="0"/>
          <w:sz w:val="24"/>
          <w:szCs w:val="24"/>
        </w:rPr>
        <w:t>及以上资质。</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w:t>
      </w:r>
      <w:r>
        <w:rPr>
          <w:rFonts w:hint="eastAsia" w:ascii="宋体" w:hAnsi="宋体" w:eastAsia="宋体" w:cs="宋体"/>
          <w:b/>
          <w:bCs/>
          <w:sz w:val="24"/>
          <w:szCs w:val="24"/>
          <w:u w:val="single"/>
        </w:rPr>
        <w:t>须提供相应任职文件</w:t>
      </w:r>
      <w:r>
        <w:rPr>
          <w:rFonts w:hint="eastAsia" w:ascii="宋体" w:hAnsi="宋体" w:eastAsia="宋体" w:cs="宋体"/>
          <w:b/>
          <w:bCs/>
          <w:sz w:val="24"/>
          <w:szCs w:val="24"/>
        </w:rPr>
        <w:t>。</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bookmarkStart w:id="2" w:name="_Toc448097403"/>
      <w:bookmarkStart w:id="3" w:name="_Toc448097402"/>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四、踏勘现场</w:t>
      </w:r>
    </w:p>
    <w:p>
      <w:pPr>
        <w:keepNext w:val="0"/>
        <w:keepLines w:val="0"/>
        <w:pageBreakBefore w:val="0"/>
        <w:numPr>
          <w:ilvl w:val="0"/>
          <w:numId w:val="0"/>
        </w:numPr>
        <w:kinsoku/>
        <w:wordWrap/>
        <w:overflowPunct/>
        <w:topLinePunct w:val="0"/>
        <w:autoSpaceDE/>
        <w:autoSpaceDN/>
        <w:bidi w:val="0"/>
        <w:snapToGrid w:val="0"/>
        <w:spacing w:line="360" w:lineRule="exact"/>
        <w:ind w:right="0" w:rightChars="0"/>
        <w:textAlignment w:val="auto"/>
        <w:outlineLvl w:val="9"/>
        <w:rPr>
          <w:rFonts w:hint="eastAsia" w:ascii="宋体" w:hAnsi="宋体" w:eastAsia="宋体" w:cs="宋体"/>
          <w:b/>
          <w:bCs/>
          <w:kern w:val="0"/>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招标人组织踏勘现场，集中踏勘时间为</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7</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kern w:val="0"/>
          <w:sz w:val="24"/>
          <w:szCs w:val="24"/>
          <w:lang w:eastAsia="zh-CN"/>
        </w:rPr>
        <w:t>。踏勘集中地点为</w:t>
      </w:r>
      <w:r>
        <w:rPr>
          <w:rFonts w:hint="eastAsia" w:ascii="宋体" w:hAnsi="宋体" w:eastAsia="宋体" w:cs="宋体"/>
          <w:color w:val="FF0000"/>
          <w:kern w:val="0"/>
          <w:sz w:val="24"/>
          <w:szCs w:val="24"/>
          <w:lang w:eastAsia="zh-CN"/>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lang w:eastAsia="zh-CN"/>
        </w:rPr>
        <w:t>，</w:t>
      </w:r>
      <w:r>
        <w:rPr>
          <w:rFonts w:hint="eastAsia" w:ascii="宋体" w:hAnsi="宋体" w:eastAsia="宋体" w:cs="宋体"/>
          <w:b/>
          <w:bCs/>
          <w:kern w:val="0"/>
          <w:sz w:val="24"/>
          <w:szCs w:val="24"/>
          <w:lang w:eastAsia="zh-CN"/>
        </w:rPr>
        <w:t>由于未参加现场踏勘引起的报价失误等责任由投标人自负。</w:t>
      </w:r>
    </w:p>
    <w:p>
      <w:pPr>
        <w:keepNext w:val="0"/>
        <w:keepLines w:val="0"/>
        <w:pageBreakBefore w:val="0"/>
        <w:numPr>
          <w:ilvl w:val="0"/>
          <w:numId w:val="2"/>
        </w:numPr>
        <w:kinsoku/>
        <w:wordWrap/>
        <w:overflowPunct/>
        <w:topLinePunct w:val="0"/>
        <w:autoSpaceDE/>
        <w:autoSpaceDN/>
        <w:bidi w:val="0"/>
        <w:snapToGrid w:val="0"/>
        <w:spacing w:line="320" w:lineRule="exact"/>
        <w:ind w:left="0" w:leftChars="0"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招标答疑</w:t>
      </w:r>
      <w:bookmarkStart w:id="27" w:name="_GoBack"/>
      <w:bookmarkEnd w:id="27"/>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2022年7月5日9时30分前</w:t>
      </w:r>
      <w:r>
        <w:rPr>
          <w:rFonts w:hint="eastAsia" w:ascii="宋体" w:hAnsi="宋体" w:eastAsia="宋体" w:cs="宋体"/>
          <w:b w:val="0"/>
          <w:bCs w:val="0"/>
          <w:kern w:val="0"/>
          <w:sz w:val="24"/>
          <w:szCs w:val="24"/>
          <w:lang w:val="en-US" w:eastAsia="zh-CN"/>
        </w:rPr>
        <w:t>，以E-mail及书面形式提交给招标人（邮箱：381581591@qq.com，联系人：叶宇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kern w:val="0"/>
          <w:sz w:val="24"/>
          <w:szCs w:val="24"/>
          <w:lang w:eastAsia="zh-CN"/>
        </w:rPr>
        <w:t>：</w:t>
      </w:r>
      <w:r>
        <w:rPr>
          <w:rFonts w:hint="eastAsia" w:ascii="宋体" w:hAnsi="宋体" w:eastAsia="宋体" w:cs="宋体"/>
          <w:b w:val="0"/>
          <w:bCs w:val="0"/>
          <w:color w:val="FF0000"/>
          <w:kern w:val="0"/>
          <w:sz w:val="24"/>
          <w:szCs w:val="24"/>
          <w:lang w:val="en-US" w:eastAsia="zh-CN"/>
        </w:rPr>
        <w:t>2022年7月13日9时30分前</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杭州萧山国际机场空气自动监测站站房改造项目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b w:val="0"/>
          <w:bCs w:val="0"/>
          <w:color w:val="FF0000"/>
          <w:kern w:val="0"/>
          <w:sz w:val="24"/>
          <w:szCs w:val="24"/>
          <w:lang w:val="en-US" w:eastAsia="zh-CN"/>
        </w:rPr>
        <w:t>2022年7月13日9时30分前</w:t>
      </w:r>
      <w:r>
        <w:rPr>
          <w:rFonts w:hint="eastAsia" w:ascii="宋体" w:hAnsi="宋体" w:eastAsia="宋体" w:cs="宋体"/>
          <w:kern w:val="0"/>
          <w:sz w:val="24"/>
          <w:szCs w:val="24"/>
        </w:rPr>
        <w:t>（北京时间）前送至</w:t>
      </w:r>
      <w:r>
        <w:rPr>
          <w:rFonts w:hint="eastAsia" w:ascii="宋体" w:hAnsi="宋体" w:eastAsia="宋体" w:cs="宋体"/>
          <w:color w:val="FF0000"/>
          <w:kern w:val="0"/>
          <w:sz w:val="24"/>
          <w:szCs w:val="24"/>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逾期无效；若采用投递方式的，请于</w:t>
      </w:r>
      <w:r>
        <w:rPr>
          <w:rFonts w:hint="eastAsia" w:ascii="宋体" w:hAnsi="宋体" w:eastAsia="宋体" w:cs="宋体"/>
          <w:b w:val="0"/>
          <w:bCs w:val="0"/>
          <w:color w:val="FF0000"/>
          <w:kern w:val="0"/>
          <w:sz w:val="24"/>
          <w:szCs w:val="24"/>
          <w:lang w:val="en-US" w:eastAsia="zh-CN"/>
        </w:rPr>
        <w:t>2022年7月13日9时30分前</w:t>
      </w:r>
      <w:r>
        <w:rPr>
          <w:rFonts w:hint="eastAsia" w:ascii="宋体" w:hAnsi="宋体" w:eastAsia="宋体" w:cs="宋体"/>
          <w:color w:val="FF0000"/>
          <w:kern w:val="0"/>
          <w:sz w:val="24"/>
          <w:szCs w:val="24"/>
        </w:rPr>
        <w:t>（</w:t>
      </w:r>
      <w:r>
        <w:rPr>
          <w:rFonts w:hint="eastAsia" w:ascii="宋体" w:hAnsi="宋体" w:eastAsia="宋体" w:cs="宋体"/>
          <w:kern w:val="0"/>
          <w:sz w:val="24"/>
          <w:szCs w:val="24"/>
        </w:rPr>
        <w:t>北京时间）前投递至</w:t>
      </w:r>
      <w:r>
        <w:rPr>
          <w:rFonts w:hint="eastAsia" w:ascii="宋体" w:hAnsi="宋体" w:eastAsia="宋体" w:cs="宋体"/>
          <w:color w:val="FF0000"/>
          <w:kern w:val="0"/>
          <w:sz w:val="24"/>
          <w:szCs w:val="24"/>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快递面单上注明是：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杭州萧山国际机场空气自动监测站站房改造项目投标文件</w:t>
      </w:r>
      <w:r>
        <w:rPr>
          <w:rFonts w:hint="eastAsia" w:ascii="宋体" w:hAnsi="宋体" w:eastAsia="宋体" w:cs="宋体"/>
          <w:b/>
          <w:bCs/>
          <w:color w:val="000000" w:themeColor="text1"/>
          <w:kern w:val="0"/>
          <w:sz w:val="24"/>
          <w:szCs w:val="24"/>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（5）装订要求为不分册装订，每册采用胶装等方式装订，装订应牢固、不易拆散和换页，不得采用活页装订。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（6）封套上写明：</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招标人的地址：</w:t>
      </w:r>
      <w:r>
        <w:rPr>
          <w:rFonts w:hint="eastAsia" w:asciiTheme="minorEastAsia" w:hAnsiTheme="minorEastAsia" w:eastAsiaTheme="minorEastAsia" w:cstheme="minorEastAsia"/>
          <w:sz w:val="24"/>
          <w:szCs w:val="24"/>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招标人名称：</w:t>
      </w:r>
      <w:r>
        <w:rPr>
          <w:rFonts w:hint="eastAsia" w:asciiTheme="minorEastAsia" w:hAnsiTheme="minorEastAsia" w:eastAsiaTheme="minorEastAsia" w:cstheme="minorEastAsia"/>
          <w:kern w:val="0"/>
          <w:sz w:val="24"/>
          <w:szCs w:val="24"/>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项目名称： </w:t>
      </w:r>
      <w:r>
        <w:rPr>
          <w:rFonts w:hint="eastAsia" w:asciiTheme="minorEastAsia" w:hAnsiTheme="minorEastAsia" w:cstheme="minorEastAsia"/>
          <w:sz w:val="24"/>
          <w:szCs w:val="24"/>
          <w:u w:val="single"/>
          <w:lang w:val="en-US" w:eastAsia="zh-CN"/>
        </w:rPr>
        <w:t>杭州萧山国际机场空气自动监测站站房改造项目</w:t>
      </w:r>
      <w:r>
        <w:rPr>
          <w:rFonts w:hint="eastAsia" w:asciiTheme="minorEastAsia" w:hAnsiTheme="minorEastAsia" w:eastAsiaTheme="minorEastAsia" w:cstheme="minorEastAsia"/>
          <w:sz w:val="24"/>
          <w:szCs w:val="24"/>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在</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u w:val="single"/>
          <w:lang w:val="en-US" w:eastAsia="zh-CN"/>
        </w:rPr>
        <w:t>202</w:t>
      </w:r>
      <w:r>
        <w:rPr>
          <w:rFonts w:hint="eastAsia" w:asciiTheme="minorEastAsia" w:hAnsiTheme="minorEastAsia" w:cstheme="minorEastAsia"/>
          <w:color w:val="FF0000"/>
          <w:kern w:val="0"/>
          <w:sz w:val="24"/>
          <w:szCs w:val="24"/>
          <w:u w:val="single"/>
          <w:lang w:val="en-US" w:eastAsia="zh-CN"/>
        </w:rPr>
        <w:t>2</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lang w:val="en-US" w:eastAsia="zh-CN"/>
        </w:rPr>
        <w:t>7</w:t>
      </w:r>
      <w:r>
        <w:rPr>
          <w:rFonts w:hint="eastAsia" w:asciiTheme="minorEastAsia" w:hAnsiTheme="minorEastAsia" w:eastAsia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lang w:val="en-US" w:eastAsia="zh-CN"/>
        </w:rPr>
        <w:t>13</w:t>
      </w:r>
      <w:r>
        <w:rPr>
          <w:rFonts w:hint="eastAsia" w:asciiTheme="minorEastAsia" w:hAnsiTheme="minorEastAsia" w:eastAsiaTheme="minorEastAsia" w:cstheme="minorEastAsia"/>
          <w:color w:val="FF0000"/>
          <w:kern w:val="0"/>
          <w:sz w:val="24"/>
          <w:szCs w:val="24"/>
        </w:rPr>
        <w:t>日</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eastAsia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lang w:val="en-US" w:eastAsia="zh-CN"/>
        </w:rPr>
        <w:t xml:space="preserve"> 30</w:t>
      </w:r>
      <w:r>
        <w:rPr>
          <w:rFonts w:hint="eastAsia" w:asciiTheme="minorEastAsia" w:hAnsiTheme="minorEastAsia" w:eastAsiaTheme="minorEastAsia" w:cstheme="minorEastAsia"/>
          <w:color w:val="FF0000"/>
          <w:kern w:val="0"/>
          <w:sz w:val="24"/>
          <w:szCs w:val="24"/>
        </w:rPr>
        <w:t>分</w:t>
      </w:r>
      <w:r>
        <w:rPr>
          <w:rFonts w:hint="eastAsia" w:asciiTheme="minorEastAsia" w:hAnsiTheme="minorEastAsia" w:eastAsiaTheme="minorEastAsia" w:cstheme="minorEastAsia"/>
          <w:kern w:val="0"/>
          <w:sz w:val="24"/>
          <w:szCs w:val="24"/>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七、</w:t>
      </w:r>
      <w:r>
        <w:rPr>
          <w:rFonts w:hint="eastAsia" w:asciiTheme="minorEastAsia" w:hAnsiTheme="minorEastAsia" w:eastAsiaTheme="minorEastAsia" w:cstheme="minorEastAsia"/>
          <w:b/>
          <w:bCs/>
          <w:kern w:val="0"/>
          <w:sz w:val="24"/>
          <w:szCs w:val="24"/>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（1）</w:t>
      </w:r>
      <w:r>
        <w:rPr>
          <w:rFonts w:hint="eastAsia" w:asciiTheme="minorEastAsia" w:hAnsiTheme="minorEastAsia" w:eastAsiaTheme="minorEastAsia" w:cstheme="minorEastAsia"/>
          <w:kern w:val="0"/>
          <w:sz w:val="24"/>
          <w:szCs w:val="24"/>
        </w:rPr>
        <w:t>开标时间同投标截止时间</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开标地点</w:t>
      </w:r>
      <w:r>
        <w:rPr>
          <w:rFonts w:hint="eastAsia" w:asciiTheme="minorEastAsia" w:hAnsiTheme="minorEastAsia" w:eastAsiaTheme="minorEastAsia" w:cstheme="minorEastAsia"/>
          <w:kern w:val="0"/>
          <w:sz w:val="24"/>
          <w:szCs w:val="24"/>
          <w:lang w:val="en-US" w:eastAsia="zh-CN"/>
        </w:rPr>
        <w:t>为</w:t>
      </w:r>
      <w:r>
        <w:rPr>
          <w:rFonts w:hint="eastAsia" w:asciiTheme="minorEastAsia" w:hAnsiTheme="minorEastAsia" w:eastAsiaTheme="minorEastAsia" w:cstheme="minorEastAsia"/>
          <w:b/>
          <w:sz w:val="24"/>
          <w:szCs w:val="24"/>
        </w:rPr>
        <w:t>杭州萧山国际机场翔越路综合服务楼园区招标中心</w:t>
      </w:r>
      <w:r>
        <w:rPr>
          <w:rFonts w:hint="eastAsia" w:asciiTheme="minorEastAsia" w:hAnsiTheme="minorEastAsia" w:eastAsiaTheme="minorEastAsia" w:cstheme="minorEastAsia"/>
          <w:b/>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3"/>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（2）评标委员会成员招标人自行组建。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firstLine="480" w:firstLineChars="200"/>
        <w:textAlignment w:val="auto"/>
        <w:outlineLvl w:val="9"/>
        <w:rPr>
          <w:rFonts w:hint="eastAsia"/>
          <w:lang w:val="en-US" w:eastAsia="zh-CN"/>
        </w:rPr>
      </w:pPr>
      <w:r>
        <w:rPr>
          <w:rFonts w:hint="eastAsia" w:asciiTheme="minorEastAsia" w:hAnsiTheme="minorEastAsia" w:cstheme="minorEastAsia"/>
          <w:b w:val="0"/>
          <w:bCs w:val="0"/>
          <w:kern w:val="0"/>
          <w:sz w:val="24"/>
          <w:szCs w:val="24"/>
          <w:lang w:val="en-US" w:eastAsia="zh-CN"/>
        </w:rPr>
        <w:t>（3）评标委员会推荐的中标候选人数：1人。</w:t>
      </w:r>
    </w:p>
    <w:p>
      <w:pPr>
        <w:pStyle w:val="9"/>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kern w:val="0"/>
          <w:sz w:val="24"/>
          <w:szCs w:val="24"/>
          <w:lang w:val="en-US" w:eastAsia="zh-CN"/>
        </w:rPr>
        <w:t xml:space="preserve">    </w:t>
      </w:r>
      <w:bookmarkStart w:id="4" w:name="_Toc19218"/>
      <w:bookmarkStart w:id="5" w:name="_Toc3775"/>
      <w:r>
        <w:rPr>
          <w:rFonts w:hint="eastAsia" w:asciiTheme="minorEastAsia" w:hAnsiTheme="minorEastAsia" w:eastAsiaTheme="minorEastAsia" w:cstheme="minorEastAsia"/>
          <w:b w:val="0"/>
          <w:bCs w:val="0"/>
          <w:kern w:val="0"/>
          <w:sz w:val="24"/>
          <w:szCs w:val="24"/>
          <w:lang w:val="en-US" w:eastAsia="zh-CN"/>
        </w:rPr>
        <w:t>（4）</w:t>
      </w:r>
      <w:bookmarkEnd w:id="4"/>
      <w:bookmarkEnd w:id="5"/>
      <w:r>
        <w:rPr>
          <w:rFonts w:hint="eastAsia" w:asciiTheme="minorEastAsia" w:hAnsiTheme="minorEastAsia" w:eastAsiaTheme="minorEastAsia" w:cstheme="minorEastAsia"/>
          <w:b w:val="0"/>
          <w:bCs w:val="0"/>
          <w:kern w:val="0"/>
          <w:sz w:val="24"/>
          <w:szCs w:val="24"/>
          <w:lang w:val="en-US" w:eastAsia="zh-CN"/>
        </w:rPr>
        <w:t>本次评标采用综合评估法推荐中标候选人。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十</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color w:val="000000" w:themeColor="text1"/>
          <w:sz w:val="24"/>
          <w:szCs w:val="24"/>
          <w:lang w:val="en-US" w:eastAsia="zh-CN"/>
          <w14:textFill>
            <w14:solidFill>
              <w14:schemeClr w14:val="tx1"/>
            </w14:solidFill>
          </w14:textFill>
        </w:rPr>
        <w:t xml:space="preserve">闻晓丽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color w:val="000000" w:themeColor="text1"/>
          <w:sz w:val="24"/>
          <w:szCs w:val="24"/>
          <w:lang w:val="en-US" w:eastAsia="zh-CN"/>
          <w14:textFill>
            <w14:solidFill>
              <w14:schemeClr w14:val="tx1"/>
            </w14:solidFill>
          </w14:textFill>
        </w:rPr>
        <w:t>0571-86662361</w:t>
      </w:r>
    </w:p>
    <w:p>
      <w:pPr>
        <w:keepNext w:val="0"/>
        <w:keepLines w:val="0"/>
        <w:pageBreakBefore w:val="0"/>
        <w:widowControl/>
        <w:kinsoku/>
        <w:wordWrap/>
        <w:overflowPunct/>
        <w:topLinePunct w:val="0"/>
        <w:autoSpaceDE/>
        <w:autoSpaceDN/>
        <w:bidi w:val="0"/>
        <w:snapToGrid w:val="0"/>
        <w:spacing w:line="32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pPr>
        <w:pStyle w:val="9"/>
        <w:jc w:val="center"/>
      </w:pPr>
    </w:p>
    <w:p>
      <w:pPr>
        <w:pStyle w:val="9"/>
        <w:jc w:val="center"/>
      </w:pPr>
    </w:p>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bookmarkEnd w:id="2"/>
    <w:bookmarkEnd w:id="3"/>
    <w:p>
      <w:pPr>
        <w:pStyle w:val="9"/>
        <w:jc w:val="center"/>
      </w:pPr>
      <w:bookmarkStart w:id="6" w:name="_Toc27752"/>
      <w:bookmarkStart w:id="7" w:name="_Toc448097404"/>
      <w:bookmarkStart w:id="8" w:name="_Toc24237"/>
      <w:r>
        <w:t>第</w:t>
      </w:r>
      <w:r>
        <w:rPr>
          <w:rFonts w:hint="eastAsia"/>
        </w:rPr>
        <w:t>二</w:t>
      </w:r>
      <w:r>
        <w:t xml:space="preserve">章  </w:t>
      </w:r>
      <w:r>
        <w:rPr>
          <w:rFonts w:hint="eastAsia"/>
        </w:rPr>
        <w:t>评标办法</w:t>
      </w:r>
      <w:bookmarkEnd w:id="6"/>
    </w:p>
    <w:p>
      <w:pPr>
        <w:autoSpaceDE w:val="0"/>
        <w:autoSpaceDN w:val="0"/>
        <w:adjustRightInd w:val="0"/>
        <w:spacing w:before="3" w:line="100" w:lineRule="exact"/>
        <w:jc w:val="left"/>
        <w:rPr>
          <w:rFonts w:ascii="微软雅黑" w:hAnsi="Times New Roman" w:cs="微软雅黑"/>
          <w:kern w:val="0"/>
          <w:sz w:val="10"/>
          <w:szCs w:val="10"/>
        </w:rPr>
      </w:pPr>
      <w:bookmarkStart w:id="9" w:name="_Toc31578"/>
    </w:p>
    <w:bookmarkEnd w:id="9"/>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0"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0"/>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三</w:t>
      </w:r>
      <w:r>
        <w:rPr>
          <w:rFonts w:hint="eastAsia" w:ascii="宋体" w:hAnsi="宋体" w:cs="宋体"/>
          <w:sz w:val="22"/>
        </w:rPr>
        <w:t>)投标文件的技术评审；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四</w:t>
      </w:r>
      <w:r>
        <w:rPr>
          <w:rFonts w:hint="eastAsia" w:ascii="宋体" w:hAnsi="宋体" w:cs="宋体"/>
          <w:sz w:val="22"/>
        </w:rPr>
        <w:t>)投标文件的商务评审；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五</w:t>
      </w:r>
      <w:r>
        <w:rPr>
          <w:rFonts w:hint="eastAsia" w:ascii="宋体" w:hAnsi="宋体" w:cs="宋体"/>
          <w:sz w:val="22"/>
        </w:rPr>
        <w:t>)必要时对投标文件中的问题进行询标；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六</w:t>
      </w:r>
      <w:r>
        <w:rPr>
          <w:rFonts w:hint="eastAsia" w:ascii="宋体" w:hAnsi="宋体" w:cs="宋体"/>
          <w:sz w:val="22"/>
        </w:rPr>
        <w:t>)根据评标办法和标准计算综合得分；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七</w:t>
      </w:r>
      <w:r>
        <w:rPr>
          <w:rFonts w:hint="eastAsia" w:ascii="宋体" w:hAnsi="宋体" w:cs="宋体"/>
          <w:sz w:val="22"/>
        </w:rPr>
        <w:t>)对投标人进行排序，推荐中标候选人，完成评标报告。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1" w:name="_Hlk47377053"/>
      <w:r>
        <w:rPr>
          <w:rFonts w:hint="eastAsia" w:ascii="宋体" w:hAnsi="宋体" w:cs="宋体"/>
          <w:sz w:val="22"/>
        </w:rPr>
        <w:t>经评标委员会</w:t>
      </w:r>
      <w:bookmarkStart w:id="12" w:name="_Hlk47446073"/>
      <w:r>
        <w:rPr>
          <w:rFonts w:hint="eastAsia" w:ascii="宋体" w:hAnsi="宋体" w:cs="宋体"/>
          <w:sz w:val="22"/>
        </w:rPr>
        <w:t>评审后，符合性审查不予通过，不再进行下一步评审</w:t>
      </w:r>
      <w:bookmarkEnd w:id="12"/>
      <w:r>
        <w:rPr>
          <w:rFonts w:hint="eastAsia" w:ascii="宋体" w:hAnsi="宋体" w:cs="宋体"/>
          <w:sz w:val="22"/>
        </w:rPr>
        <w:t>。</w:t>
      </w:r>
      <w:bookmarkEnd w:id="11"/>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3"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3"/>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40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施工方案与技术措施内容的完整性、针对性和可行性</w:t>
            </w:r>
            <w:r>
              <w:rPr>
                <w:rFonts w:ascii="宋体" w:hAnsi="宋体"/>
                <w:color w:val="auto"/>
                <w:sz w:val="22"/>
              </w:rPr>
              <w:t>，</w:t>
            </w:r>
            <w:r>
              <w:rPr>
                <w:rFonts w:hint="eastAsia" w:ascii="宋体" w:hAnsi="宋体"/>
                <w:color w:val="auto"/>
                <w:sz w:val="22"/>
                <w:lang w:eastAsia="zh-Hans"/>
              </w:rPr>
              <w:t>特别是针对本项目重点难点部位</w:t>
            </w:r>
            <w:r>
              <w:rPr>
                <w:rFonts w:ascii="宋体" w:hAnsi="宋体"/>
                <w:color w:val="auto"/>
                <w:sz w:val="22"/>
              </w:rPr>
              <w:t>；</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施工质量的控制和检验手段是否科学、可靠</w:t>
            </w:r>
            <w:r>
              <w:rPr>
                <w:rFonts w:hint="eastAsia" w:ascii="宋体" w:hAnsi="宋体"/>
                <w:color w:val="auto"/>
                <w:sz w:val="22"/>
                <w:lang w:eastAsia="zh-CN"/>
              </w:rPr>
              <w:t>，</w:t>
            </w:r>
            <w:r>
              <w:rPr>
                <w:rFonts w:hint="eastAsia" w:ascii="宋体" w:hAnsi="宋体"/>
                <w:color w:val="auto"/>
                <w:sz w:val="22"/>
                <w:lang w:val="en-US" w:eastAsia="zh-CN"/>
              </w:rPr>
              <w:t>由于本项目包含设备标段，施工方应在履约过程中积极配合设备供应商安装的措施</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安全、文明施工的保证措施是否科学、到位</w:t>
            </w:r>
            <w:r>
              <w:rPr>
                <w:rFonts w:hint="eastAsia" w:ascii="宋体" w:hAnsi="宋体"/>
                <w:color w:val="auto"/>
                <w:sz w:val="22"/>
                <w:lang w:eastAsia="zh-CN"/>
              </w:rPr>
              <w:t>，</w:t>
            </w:r>
            <w:r>
              <w:rPr>
                <w:rFonts w:hint="eastAsia" w:ascii="宋体" w:hAnsi="宋体"/>
                <w:color w:val="auto"/>
                <w:sz w:val="22"/>
                <w:lang w:val="en-US" w:eastAsia="zh-CN"/>
              </w:rPr>
              <w:t>由于施工位置靠近北跑道东侧端，避免施工灯光污染，影响飞机起降及滑行的措施</w:t>
            </w:r>
            <w:r>
              <w:rPr>
                <w:rFonts w:hint="eastAsia" w:ascii="宋体" w:hAnsi="宋体"/>
                <w:color w:val="auto"/>
                <w:sz w:val="22"/>
              </w:rPr>
              <w:t>；各投标文件横向比较，</w:t>
            </w:r>
            <w:r>
              <w:rPr>
                <w:rFonts w:hint="eastAsia" w:ascii="宋体" w:hAnsi="宋体" w:cs="宋体"/>
                <w:color w:val="auto"/>
                <w:szCs w:val="24"/>
              </w:rPr>
              <w:t>优秀的得2.</w:t>
            </w:r>
            <w:r>
              <w:rPr>
                <w:rFonts w:hint="eastAsia" w:ascii="宋体" w:hAnsi="宋体" w:cs="宋体"/>
                <w:color w:val="auto"/>
                <w:szCs w:val="24"/>
                <w:lang w:val="en-US" w:eastAsia="zh-CN"/>
              </w:rPr>
              <w:t>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w:t>
            </w:r>
            <w:r>
              <w:rPr>
                <w:rFonts w:hint="eastAsia" w:ascii="宋体" w:hAnsi="宋体" w:cs="宋体"/>
                <w:color w:val="auto"/>
                <w:szCs w:val="24"/>
                <w:lang w:val="en-US" w:eastAsia="zh-CN"/>
              </w:rPr>
              <w:t>1.4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市政、市容、环保、消防等的保证措施是否科学、到位</w:t>
            </w:r>
            <w:r>
              <w:rPr>
                <w:rFonts w:hint="eastAsia" w:ascii="宋体" w:hAnsi="宋体"/>
                <w:color w:val="auto"/>
                <w:sz w:val="22"/>
                <w:lang w:eastAsia="zh-CN"/>
              </w:rPr>
              <w:t>，</w:t>
            </w:r>
            <w:r>
              <w:rPr>
                <w:rFonts w:hint="eastAsia" w:ascii="宋体" w:hAnsi="宋体"/>
                <w:color w:val="auto"/>
                <w:sz w:val="22"/>
                <w:lang w:val="en-US" w:eastAsia="zh-CN"/>
              </w:rPr>
              <w:t>由于施工位置靠近北跑道，施工单位防止FOD入侵的措施</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2.8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分；一般的得0-1</w:t>
            </w:r>
            <w:r>
              <w:rPr>
                <w:rFonts w:hint="eastAsia" w:ascii="宋体" w:hAnsi="宋体" w:cs="宋体"/>
                <w:color w:val="auto"/>
                <w:szCs w:val="24"/>
                <w:lang w:val="en-US" w:eastAsia="zh-CN"/>
              </w:rPr>
              <w:t>.4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sz w:val="22"/>
              </w:rPr>
              <w:t>工期承诺及施工进度网络计划、关键节点和线路的技术保证措施是否具有针对性和可行性；现场施工不利条件和恶劣天气对施工</w:t>
            </w:r>
            <w:r>
              <w:rPr>
                <w:rFonts w:hint="eastAsia" w:ascii="宋体" w:hAnsi="宋体"/>
                <w:sz w:val="22"/>
                <w:lang w:eastAsia="zh-Hans"/>
              </w:rPr>
              <w:t>工期</w:t>
            </w:r>
            <w:r>
              <w:rPr>
                <w:rFonts w:hint="eastAsia" w:ascii="宋体" w:hAnsi="宋体"/>
                <w:sz w:val="22"/>
              </w:rPr>
              <w:t>带来</w:t>
            </w:r>
            <w:r>
              <w:rPr>
                <w:rFonts w:hint="eastAsia" w:ascii="宋体" w:hAnsi="宋体"/>
                <w:sz w:val="22"/>
                <w:lang w:eastAsia="zh-Hans"/>
              </w:rPr>
              <w:t>的</w:t>
            </w:r>
            <w:r>
              <w:rPr>
                <w:rFonts w:hint="eastAsia" w:ascii="宋体" w:hAnsi="宋体"/>
                <w:sz w:val="22"/>
              </w:rPr>
              <w:t>影响</w:t>
            </w:r>
            <w:r>
              <w:rPr>
                <w:rFonts w:hint="eastAsia" w:ascii="宋体" w:hAnsi="宋体"/>
                <w:sz w:val="22"/>
                <w:lang w:eastAsia="zh-Hans"/>
              </w:rPr>
              <w:t>及</w:t>
            </w:r>
            <w:r>
              <w:rPr>
                <w:rFonts w:hint="eastAsia" w:ascii="宋体" w:hAnsi="宋体"/>
                <w:sz w:val="22"/>
              </w:rPr>
              <w:t>解决办法；各投标文件横向比较，</w:t>
            </w:r>
            <w:r>
              <w:rPr>
                <w:rFonts w:hint="eastAsia" w:ascii="宋体" w:hAnsi="宋体" w:cs="宋体"/>
                <w:szCs w:val="24"/>
              </w:rPr>
              <w:t>优秀的得</w:t>
            </w:r>
            <w:r>
              <w:rPr>
                <w:rFonts w:hint="eastAsia" w:ascii="宋体" w:hAnsi="宋体" w:cs="宋体"/>
                <w:szCs w:val="24"/>
                <w:lang w:val="en-US" w:eastAsia="zh-CN"/>
              </w:rPr>
              <w:t>4.2</w:t>
            </w:r>
            <w:r>
              <w:rPr>
                <w:rFonts w:hint="eastAsia" w:ascii="宋体" w:hAnsi="宋体" w:cs="宋体"/>
                <w:szCs w:val="24"/>
              </w:rPr>
              <w:t>-</w:t>
            </w:r>
            <w:r>
              <w:rPr>
                <w:rFonts w:hint="eastAsia" w:ascii="宋体" w:hAnsi="宋体" w:cs="宋体"/>
                <w:szCs w:val="24"/>
                <w:lang w:val="en-US" w:eastAsia="zh-CN"/>
              </w:rPr>
              <w:t>6</w:t>
            </w:r>
            <w:r>
              <w:rPr>
                <w:rFonts w:hint="eastAsia" w:ascii="宋体" w:hAnsi="宋体" w:cs="宋体"/>
                <w:szCs w:val="24"/>
              </w:rPr>
              <w:t>分；良好的</w:t>
            </w:r>
            <w:r>
              <w:rPr>
                <w:rFonts w:hint="eastAsia" w:ascii="宋体" w:hAnsi="宋体" w:cs="宋体"/>
                <w:szCs w:val="24"/>
                <w:lang w:val="en-US" w:eastAsia="zh-CN"/>
              </w:rPr>
              <w:t>2.1</w:t>
            </w:r>
            <w:r>
              <w:rPr>
                <w:rFonts w:hint="eastAsia" w:ascii="宋体" w:hAnsi="宋体" w:cs="宋体"/>
                <w:szCs w:val="24"/>
              </w:rPr>
              <w:t>-</w:t>
            </w:r>
            <w:r>
              <w:rPr>
                <w:rFonts w:hint="eastAsia" w:ascii="宋体" w:hAnsi="宋体" w:cs="宋体"/>
                <w:szCs w:val="24"/>
                <w:lang w:val="en-US" w:eastAsia="zh-CN"/>
              </w:rPr>
              <w:t>4.2</w:t>
            </w:r>
            <w:r>
              <w:rPr>
                <w:rFonts w:hint="eastAsia" w:ascii="宋体" w:hAnsi="宋体" w:cs="宋体"/>
                <w:szCs w:val="24"/>
              </w:rPr>
              <w:t>分；一般的得0-</w:t>
            </w:r>
            <w:r>
              <w:rPr>
                <w:rFonts w:hint="eastAsia" w:ascii="宋体" w:hAnsi="宋体" w:cs="宋体"/>
                <w:szCs w:val="24"/>
                <w:lang w:val="en-US" w:eastAsia="zh-CN"/>
              </w:rPr>
              <w:t>2.1</w:t>
            </w:r>
            <w:r>
              <w:rPr>
                <w:rFonts w:hint="eastAsia" w:ascii="宋体" w:hAnsi="宋体" w:cs="宋体"/>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w:t>
            </w:r>
            <w:r>
              <w:rPr>
                <w:rFonts w:hint="eastAsia" w:ascii="宋体" w:hAnsi="宋体" w:cs="宋体"/>
                <w:szCs w:val="24"/>
                <w:lang w:val="en-US" w:eastAsia="zh-CN"/>
              </w:rPr>
              <w:t>4.2</w:t>
            </w:r>
            <w:r>
              <w:rPr>
                <w:rFonts w:hint="eastAsia" w:ascii="宋体" w:hAnsi="宋体" w:cs="宋体"/>
                <w:szCs w:val="24"/>
              </w:rPr>
              <w:t>-</w:t>
            </w:r>
            <w:r>
              <w:rPr>
                <w:rFonts w:hint="eastAsia" w:ascii="宋体" w:hAnsi="宋体" w:cs="宋体"/>
                <w:szCs w:val="24"/>
                <w:lang w:val="en-US" w:eastAsia="zh-CN"/>
              </w:rPr>
              <w:t>6</w:t>
            </w:r>
            <w:r>
              <w:rPr>
                <w:rFonts w:hint="eastAsia" w:ascii="宋体" w:hAnsi="宋体" w:cs="宋体"/>
                <w:szCs w:val="24"/>
              </w:rPr>
              <w:t>分；良好的</w:t>
            </w:r>
            <w:r>
              <w:rPr>
                <w:rFonts w:hint="eastAsia" w:ascii="宋体" w:hAnsi="宋体" w:cs="宋体"/>
                <w:szCs w:val="24"/>
                <w:lang w:val="en-US" w:eastAsia="zh-CN"/>
              </w:rPr>
              <w:t>2.1</w:t>
            </w:r>
            <w:r>
              <w:rPr>
                <w:rFonts w:hint="eastAsia" w:ascii="宋体" w:hAnsi="宋体" w:cs="宋体"/>
                <w:szCs w:val="24"/>
              </w:rPr>
              <w:t>-</w:t>
            </w:r>
            <w:r>
              <w:rPr>
                <w:rFonts w:hint="eastAsia" w:ascii="宋体" w:hAnsi="宋体" w:cs="宋体"/>
                <w:szCs w:val="24"/>
                <w:lang w:val="en-US" w:eastAsia="zh-CN"/>
              </w:rPr>
              <w:t>4.2</w:t>
            </w:r>
            <w:r>
              <w:rPr>
                <w:rFonts w:hint="eastAsia" w:ascii="宋体" w:hAnsi="宋体" w:cs="宋体"/>
                <w:szCs w:val="24"/>
              </w:rPr>
              <w:t>分；一般的得0-</w:t>
            </w:r>
            <w:r>
              <w:rPr>
                <w:rFonts w:hint="eastAsia" w:ascii="宋体" w:hAnsi="宋体" w:cs="宋体"/>
                <w:szCs w:val="24"/>
                <w:lang w:val="en-US" w:eastAsia="zh-CN"/>
              </w:rPr>
              <w:t>2.1</w:t>
            </w:r>
            <w:r>
              <w:rPr>
                <w:rFonts w:hint="eastAsia" w:ascii="宋体" w:hAnsi="宋体" w:cs="宋体"/>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投标人所使用的主要设备材料根据投标人提供的证明文件进行综合打分，优秀的得5.4-8分；良好的2.7-5.3分；一般的得0-2.6分。</w:t>
            </w:r>
          </w:p>
        </w:tc>
        <w:tc>
          <w:tcPr>
            <w:tcW w:w="851" w:type="dxa"/>
            <w:vAlign w:val="center"/>
          </w:tcPr>
          <w:p>
            <w:pPr>
              <w:jc w:val="center"/>
              <w:rPr>
                <w:rFonts w:hint="eastAsia" w:ascii="宋体" w:hAnsi="宋体" w:cs="宋体"/>
                <w:szCs w:val="24"/>
              </w:rPr>
            </w:pPr>
            <w:r>
              <w:rPr>
                <w:rFonts w:hint="eastAsia" w:ascii="宋体" w:hAnsi="宋体" w:cs="宋体"/>
                <w:szCs w:val="24"/>
              </w:rPr>
              <w:t>0-8</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u w:val="single"/>
        </w:rPr>
        <w:t xml:space="preserve"> </w:t>
      </w:r>
      <w:r>
        <w:rPr>
          <w:rFonts w:hint="eastAsia" w:ascii="宋体" w:hAnsi="宋体" w:cs="宋体"/>
          <w:b/>
          <w:sz w:val="22"/>
          <w:u w:val="single"/>
          <w:lang w:val="en-US" w:eastAsia="zh-CN"/>
        </w:rPr>
        <w:t>60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5</w:t>
      </w:r>
      <w:r>
        <w:rPr>
          <w:rFonts w:hint="eastAsia" w:ascii="宋体" w:hAnsi="宋体" w:cs="宋体"/>
          <w:sz w:val="22"/>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6</w:t>
      </w:r>
      <w:r>
        <w:rPr>
          <w:rFonts w:hint="eastAsia" w:ascii="宋体" w:hAnsi="宋体" w:cs="宋体"/>
          <w:sz w:val="22"/>
        </w:rPr>
        <w:t>)评标基准价：报价平均值与有效评标价中的次低评标价(不足4个的与最低评标价)的算术平均值为评标基准价。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7</w:t>
      </w:r>
      <w:r>
        <w:rPr>
          <w:rFonts w:hint="eastAsia" w:ascii="宋体" w:hAnsi="宋体" w:cs="宋体"/>
          <w:sz w:val="22"/>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w:t>
      </w:r>
      <w:r>
        <w:rPr>
          <w:rFonts w:hint="eastAsia" w:ascii="宋体" w:hAnsi="宋体" w:cs="宋体"/>
          <w:b/>
          <w:sz w:val="22"/>
          <w:lang w:val="en-US" w:eastAsia="zh-CN"/>
        </w:rPr>
        <w:t>技术</w:t>
      </w:r>
      <w:r>
        <w:rPr>
          <w:rFonts w:hint="eastAsia" w:ascii="宋体" w:hAnsi="宋体" w:cs="宋体"/>
          <w:b/>
          <w:sz w:val="22"/>
        </w:rPr>
        <w:t>分+</w:t>
      </w:r>
      <w:r>
        <w:rPr>
          <w:rFonts w:hint="eastAsia" w:ascii="宋体" w:hAnsi="宋体" w:cs="宋体"/>
          <w:b/>
          <w:sz w:val="22"/>
          <w:lang w:val="en-US" w:eastAsia="zh-CN"/>
        </w:rPr>
        <w:t>商务</w:t>
      </w:r>
      <w:r>
        <w:rPr>
          <w:rFonts w:hint="eastAsia" w:ascii="宋体" w:hAnsi="宋体" w:cs="宋体"/>
          <w:b/>
          <w:sz w:val="22"/>
        </w:rPr>
        <w:t>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(2)当有效投标文件只有一名时，则由评标委员会确定是否推荐为中标候选人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rPr>
          <w:rFonts w:hint="eastAsia"/>
          <w:lang w:val="en-US" w:eastAsia="zh-CN"/>
        </w:rPr>
      </w:pPr>
      <w:r>
        <w:rPr>
          <w:rFonts w:ascii="宋体" w:hAnsi="宋体" w:cs="宋体"/>
          <w:sz w:val="22"/>
        </w:rPr>
        <w:br w:type="page"/>
      </w:r>
    </w:p>
    <w:p>
      <w:pPr>
        <w:pStyle w:val="9"/>
        <w:jc w:val="center"/>
        <w:rPr>
          <w:rFonts w:ascii="宋体" w:hAnsi="宋体" w:cs="宋体"/>
          <w:b/>
          <w:sz w:val="28"/>
          <w:szCs w:val="20"/>
        </w:rPr>
      </w:pPr>
      <w:bookmarkStart w:id="14" w:name="_Toc17411"/>
      <w:r>
        <w:rPr>
          <w:rFonts w:hint="eastAsia"/>
          <w:lang w:val="en-US" w:eastAsia="zh-CN"/>
        </w:rPr>
        <w:t>第三章</w:t>
      </w:r>
      <w:r>
        <w:t xml:space="preserve">  </w:t>
      </w:r>
      <w:r>
        <w:rPr>
          <w:rFonts w:hint="eastAsia"/>
        </w:rPr>
        <w:t>合同条款及格式</w:t>
      </w:r>
      <w:bookmarkEnd w:id="7"/>
      <w:bookmarkEnd w:id="14"/>
      <w:bookmarkStart w:id="15" w:name="_Toc448097405"/>
    </w:p>
    <w:bookmarkEnd w:id="15"/>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lang w:val="en-US" w:eastAsia="zh-CN"/>
        </w:rPr>
      </w:pPr>
      <w:bookmarkStart w:id="16" w:name="_Toc448097407"/>
      <w:r>
        <w:rPr>
          <w:rFonts w:hint="eastAsia" w:asciiTheme="minorEastAsia" w:hAnsiTheme="minorEastAsia" w:cstheme="minorEastAsia"/>
          <w:b/>
          <w:bCs/>
          <w:sz w:val="32"/>
          <w:szCs w:val="32"/>
          <w:lang w:val="en-US" w:eastAsia="zh-CN"/>
        </w:rPr>
        <w:t>杭州萧山国际机场空气自动监测站站房改造项目</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施工合同</w:t>
      </w:r>
    </w:p>
    <w:p>
      <w:pPr>
        <w:keepNext w:val="0"/>
        <w:keepLines w:val="0"/>
        <w:pageBreakBefore w:val="0"/>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0288;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9264;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按照《中华人民共和国</w:t>
      </w:r>
      <w:r>
        <w:rPr>
          <w:rFonts w:hint="eastAsia" w:asciiTheme="minorEastAsia" w:hAnsiTheme="minorEastAsia" w:eastAsiaTheme="minorEastAsia" w:cstheme="minorEastAsia"/>
          <w:sz w:val="24"/>
          <w:szCs w:val="24"/>
          <w:lang w:eastAsia="zh-CN"/>
        </w:rPr>
        <w:t>民法典</w:t>
      </w:r>
      <w:r>
        <w:rPr>
          <w:rFonts w:hint="eastAsia" w:asciiTheme="minorEastAsia" w:hAnsiTheme="minorEastAsia" w:eastAsiaTheme="minorEastAsia" w:cstheme="minorEastAsia"/>
          <w:sz w:val="24"/>
          <w:szCs w:val="24"/>
        </w:rPr>
        <w:t>》和《中华人民共和国建筑法》的规定，结合本工程具体情况，双方达成如下协议。</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1.1工程名称：</w:t>
      </w:r>
      <w:r>
        <w:rPr>
          <w:rFonts w:hint="eastAsia" w:asciiTheme="minorEastAsia" w:hAnsiTheme="minorEastAsia" w:cstheme="minorEastAsia"/>
          <w:sz w:val="24"/>
          <w:szCs w:val="24"/>
          <w:lang w:eastAsia="zh-CN"/>
        </w:rPr>
        <w:t>杭州萧山国际机场空气自动监测站站房改造项目</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1.3承包范围：原老顺丰基地东侧二楼办公用房转变为空气质量监测站，结合环境厅空气质量监测站点装修需求</w:t>
      </w:r>
      <w:r>
        <w:rPr>
          <w:rFonts w:hint="eastAsia" w:asciiTheme="minorEastAsia" w:hAnsiTheme="minorEastAsia" w:cstheme="minorEastAsia"/>
          <w:sz w:val="24"/>
          <w:szCs w:val="24"/>
          <w:lang w:eastAsia="zh-CN"/>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1.4承包方式：</w:t>
      </w:r>
      <w:r>
        <w:rPr>
          <w:rFonts w:hint="eastAsia" w:asciiTheme="minorEastAsia" w:hAnsiTheme="minorEastAsia" w:eastAsiaTheme="minorEastAsia" w:cstheme="minorEastAsia"/>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1.5工期：工程具体开工日期以发包人书面指示为准，工期</w:t>
      </w:r>
      <w:r>
        <w:rPr>
          <w:rFonts w:hint="eastAsia" w:asciiTheme="minorEastAsia" w:hAnsiTheme="minorEastAsia" w:eastAsiaTheme="minorEastAsia" w:cstheme="minorEastAsia"/>
          <w:sz w:val="24"/>
          <w:szCs w:val="24"/>
          <w:u w:val="single"/>
          <w:lang w:val="en-US" w:eastAsia="zh-CN"/>
        </w:rPr>
        <w:t>30</w:t>
      </w:r>
      <w:r>
        <w:rPr>
          <w:rFonts w:hint="eastAsia" w:asciiTheme="minorEastAsia" w:hAnsiTheme="minorEastAsia" w:eastAsiaTheme="minorEastAsia" w:cstheme="minorEastAsia"/>
          <w:sz w:val="24"/>
          <w:szCs w:val="24"/>
        </w:rPr>
        <w:t>日历天。</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1.6工程质量：</w:t>
      </w:r>
      <w:r>
        <w:rPr>
          <w:rFonts w:hint="eastAsia" w:asciiTheme="minorEastAsia" w:hAnsiTheme="minorEastAsia" w:eastAsiaTheme="minorEastAsia" w:cstheme="minorEastAsia"/>
          <w:kern w:val="0"/>
          <w:sz w:val="24"/>
          <w:szCs w:val="24"/>
          <w:u w:val="single"/>
        </w:rPr>
        <w:t>工程达到符合国家施工验收规范规定的合格标准，确保一次性验收合格。</w:t>
      </w:r>
    </w:p>
    <w:p>
      <w:pPr>
        <w:keepNext w:val="0"/>
        <w:keepLines w:val="0"/>
        <w:pageBreakBefore w:val="0"/>
        <w:kinsoku/>
        <w:wordWrap/>
        <w:topLinePunct w:val="0"/>
        <w:bidi w:val="0"/>
        <w:spacing w:line="400" w:lineRule="exact"/>
        <w:ind w:right="0" w:rightChars="0" w:firstLine="48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4" name="直接连接符 4"/>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61312;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sqprWAAAA&#10;CQEAAA8AAAAAAAAAAQAgAAAAIgAAAGRycy9kb3ducmV2LnhtbFBLAQIUABQAAAAIAIdO4kC10jNZ&#10;5gEAAJE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1.7合同</w:t>
      </w:r>
      <w:r>
        <w:rPr>
          <w:rFonts w:hint="eastAsia" w:asciiTheme="minorEastAsia" w:hAnsiTheme="minorEastAsia" w:eastAsiaTheme="minorEastAsia" w:cstheme="minorEastAsia"/>
          <w:sz w:val="24"/>
          <w:szCs w:val="24"/>
          <w:lang w:eastAsia="zh-CN"/>
        </w:rPr>
        <w:t>暂定</w:t>
      </w:r>
      <w:r>
        <w:rPr>
          <w:rFonts w:hint="eastAsia" w:asciiTheme="minorEastAsia" w:hAnsiTheme="minorEastAsia" w:eastAsiaTheme="minorEastAsia" w:cstheme="minorEastAsia"/>
          <w:sz w:val="24"/>
          <w:szCs w:val="24"/>
        </w:rPr>
        <w:t>价款（人民币大写）：</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2.1开工前</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天，向乙方提供经确认的设计方案图纸或做法说明</w:t>
      </w:r>
      <w:r>
        <w:rPr>
          <w:rFonts w:hint="eastAsia" w:asciiTheme="minorEastAsia" w:hAnsiTheme="minorEastAsia" w:eastAsiaTheme="minorEastAsia" w:cstheme="minorEastAsia"/>
          <w:sz w:val="24"/>
          <w:szCs w:val="24"/>
          <w:u w:val="single"/>
          <w:lang w:val="en-US" w:eastAsia="zh-CN"/>
        </w:rPr>
        <w:t>1</w:t>
      </w:r>
      <w:r>
        <w:rPr>
          <w:rFonts w:hint="eastAsia" w:asciiTheme="minorEastAsia" w:hAnsiTheme="minorEastAsia" w:eastAsiaTheme="minorEastAsia" w:cstheme="minorEastAsia"/>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2.2甲方组织</w:t>
      </w:r>
      <w:r>
        <w:rPr>
          <w:rFonts w:hint="eastAsia" w:asciiTheme="minorEastAsia" w:hAnsiTheme="minorEastAsia" w:eastAsiaTheme="minorEastAsia" w:cstheme="minorEastAsia"/>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eastAsia="zh-CN"/>
        </w:rPr>
        <w:t>涉及</w:t>
      </w:r>
      <w:r>
        <w:rPr>
          <w:rFonts w:hint="eastAsia" w:asciiTheme="minorEastAsia" w:hAnsiTheme="minorEastAsia" w:eastAsiaTheme="minorEastAsia" w:cstheme="minorEastAsia"/>
          <w:sz w:val="24"/>
          <w:szCs w:val="24"/>
        </w:rPr>
        <w:t>机场隔离区</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工程项目实施前，由甲方组织对乙方项目实施人员进行相关安全培训教育，并</w:t>
      </w:r>
      <w:r>
        <w:rPr>
          <w:rFonts w:hint="eastAsia" w:asciiTheme="minorEastAsia" w:hAnsiTheme="minorEastAsia" w:eastAsiaTheme="minorEastAsia" w:cstheme="minorEastAsia"/>
          <w:sz w:val="24"/>
          <w:szCs w:val="24"/>
          <w:lang w:eastAsia="zh-CN"/>
        </w:rPr>
        <w:t>与乙方</w:t>
      </w:r>
      <w:r>
        <w:rPr>
          <w:rFonts w:hint="eastAsia" w:asciiTheme="minorEastAsia" w:hAnsiTheme="minorEastAsia" w:eastAsiaTheme="minorEastAsia" w:cstheme="minorEastAsia"/>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2.5甲方指派</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2.6甲方委托</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监理公司进行工程监理，监理公司任命</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为总监理工程师，其职责在监理合同中应明确，并将合同副本交乙方</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项目所涉及项目工程造价的移交送审工作，由监理单位或甲方代表协助建设单位预决算员办理。</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乙方收到设计方案图纸或做法说明后</w:t>
      </w:r>
      <w:r>
        <w:rPr>
          <w:rFonts w:hint="eastAsia" w:asciiTheme="minorEastAsia" w:hAnsiTheme="minorEastAsia" w:eastAsiaTheme="minorEastAsia" w:cstheme="minorEastAsia"/>
          <w:sz w:val="24"/>
          <w:szCs w:val="24"/>
          <w:lang w:eastAsia="zh-CN"/>
        </w:rPr>
        <w:t>应</w:t>
      </w:r>
      <w:r>
        <w:rPr>
          <w:rFonts w:hint="eastAsia" w:asciiTheme="minorEastAsia" w:hAnsiTheme="minorEastAsia" w:eastAsiaTheme="minorEastAsia" w:cstheme="minorEastAsia"/>
          <w:sz w:val="24"/>
          <w:szCs w:val="24"/>
        </w:rPr>
        <w:t>及时进行现场踏勘，并结合现场实际情况进行复核完善，</w:t>
      </w:r>
      <w:r>
        <w:rPr>
          <w:rFonts w:hint="eastAsia" w:asciiTheme="minorEastAsia" w:hAnsiTheme="minorEastAsia" w:eastAsiaTheme="minorEastAsia" w:cstheme="minorEastAsia"/>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3.2乙方指派</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身份证号</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4.4因涉及甲方要求的设计或工程量变更或非乙方原因造成的停电、停水、停气及不可抗力因素影响，导致停工</w:t>
      </w:r>
      <w:r>
        <w:rPr>
          <w:rFonts w:hint="eastAsia" w:asciiTheme="minorEastAsia" w:hAnsiTheme="minorEastAsia" w:eastAsiaTheme="minorEastAsia" w:cstheme="minorEastAsia"/>
          <w:sz w:val="24"/>
          <w:szCs w:val="24"/>
          <w:u w:val="single"/>
          <w:lang w:val="en-US" w:eastAsia="zh-CN"/>
        </w:rPr>
        <w:t>8</w:t>
      </w:r>
      <w:r>
        <w:rPr>
          <w:rFonts w:hint="eastAsia" w:asciiTheme="minorEastAsia" w:hAnsiTheme="minorEastAsia" w:eastAsiaTheme="minorEastAsia" w:cstheme="minorEastAsia"/>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5.1本工程以施工图纸、</w:t>
      </w:r>
      <w:r>
        <w:rPr>
          <w:rFonts w:hint="eastAsia" w:asciiTheme="minorEastAsia" w:hAnsiTheme="minorEastAsia" w:cstheme="minorEastAsia"/>
          <w:sz w:val="24"/>
          <w:szCs w:val="24"/>
          <w:lang w:val="en-US" w:eastAsia="zh-CN"/>
        </w:rPr>
        <w:t>做法</w:t>
      </w:r>
      <w:r>
        <w:rPr>
          <w:rFonts w:hint="eastAsia" w:asciiTheme="minorEastAsia" w:hAnsiTheme="minorEastAsia" w:eastAsiaTheme="minorEastAsia" w:cstheme="minorEastAsia"/>
          <w:sz w:val="24"/>
          <w:szCs w:val="24"/>
          <w:lang w:val="en-US" w:eastAsia="zh-CN"/>
        </w:rPr>
        <w:t>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5.5工程竣工后，乙方应通知甲方验收，甲方自接到验收通知</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5"/>
        </w:numPr>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6.1双方商定本合同价款采用第</w:t>
      </w:r>
      <w:r>
        <w:rPr>
          <w:rFonts w:hint="eastAsia" w:asciiTheme="minorEastAsia" w:hAnsiTheme="minorEastAsia" w:eastAsiaTheme="minorEastAsia" w:cstheme="minorEastAsia"/>
          <w:sz w:val="24"/>
          <w:szCs w:val="24"/>
          <w:u w:val="single"/>
          <w:lang w:val="en-US" w:eastAsia="zh-CN"/>
        </w:rPr>
        <w:t>2</w:t>
      </w:r>
      <w:r>
        <w:rPr>
          <w:rFonts w:hint="eastAsia" w:asciiTheme="minorEastAsia" w:hAnsiTheme="minorEastAsia" w:eastAsiaTheme="minorEastAsia" w:cstheme="minorEastAsia"/>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（2）固定单价。</w:t>
      </w:r>
      <w:r>
        <w:rPr>
          <w:rFonts w:hint="eastAsia" w:asciiTheme="minorEastAsia" w:hAnsiTheme="minorEastAsia" w:eastAsiaTheme="minorEastAsia" w:cstheme="minorEastAsia"/>
          <w:sz w:val="24"/>
          <w:szCs w:val="24"/>
          <w:lang w:eastAsia="zh-CN"/>
        </w:rPr>
        <w:t>可调价格按</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6.2工程竣工验收后，乙方提出工程结算申请并将有关资料送交甲方。甲方按照以下方式办理款项支付：</w:t>
      </w:r>
      <w:bookmarkStart w:id="17" w:name="_Hlk47444557"/>
    </w:p>
    <w:bookmarkEnd w:id="17"/>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 xml:space="preserve">3 </w:t>
      </w:r>
      <w:r>
        <w:rPr>
          <w:rFonts w:hint="eastAsia" w:asciiTheme="minorEastAsia" w:hAnsiTheme="minorEastAsia" w:eastAsiaTheme="minorEastAsia" w:cstheme="minorEastAsia"/>
          <w:sz w:val="24"/>
          <w:szCs w:val="24"/>
        </w:rPr>
        <w:t>工程竣工验收通过</w:t>
      </w:r>
      <w:r>
        <w:rPr>
          <w:rFonts w:hint="eastAsia" w:asciiTheme="minorEastAsia" w:hAnsiTheme="minorEastAsia" w:cstheme="minorEastAsia"/>
          <w:sz w:val="24"/>
          <w:szCs w:val="24"/>
          <w:lang w:val="en-US" w:eastAsia="zh-CN"/>
        </w:rPr>
        <w:t>并</w:t>
      </w:r>
      <w:r>
        <w:rPr>
          <w:rFonts w:hint="eastAsia" w:asciiTheme="minorEastAsia" w:hAnsiTheme="minorEastAsia" w:eastAsiaTheme="minorEastAsia" w:cstheme="minorEastAsia"/>
          <w:sz w:val="24"/>
          <w:szCs w:val="24"/>
        </w:rPr>
        <w:t>完成工程结算，经发包人认可后30天内，发包人向承包人支付至结算价的95%；结算价的5%留作质量保证金，待缺陷责任期满后无利息支付。</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6.4</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甲方提出工程变更和签证的费用，由乙方在施工前提出并补充编制工料单价预算书。变更估价时，工程量清单中有的项目单价；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七</w:t>
      </w:r>
      <w:r>
        <w:rPr>
          <w:rFonts w:hint="eastAsia" w:asciiTheme="minorEastAsia" w:hAnsiTheme="minorEastAsia" w:eastAsiaTheme="minorEastAsia" w:cstheme="minorEastAsia"/>
          <w:sz w:val="24"/>
          <w:szCs w:val="24"/>
        </w:rPr>
        <w:t>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八</w:t>
      </w:r>
      <w:r>
        <w:rPr>
          <w:rFonts w:hint="eastAsia" w:asciiTheme="minorEastAsia" w:hAnsiTheme="minorEastAsia" w:eastAsiaTheme="minorEastAsia" w:cstheme="minorEastAsia"/>
          <w:sz w:val="24"/>
          <w:szCs w:val="24"/>
        </w:rPr>
        <w:t>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九</w:t>
      </w:r>
      <w:r>
        <w:rPr>
          <w:rFonts w:hint="eastAsia" w:asciiTheme="minorEastAsia" w:hAnsiTheme="minorEastAsia" w:eastAsiaTheme="minorEastAsia" w:cstheme="minorEastAsia"/>
          <w:sz w:val="24"/>
          <w:szCs w:val="24"/>
        </w:rPr>
        <w:t>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9.1由于乙方原因，逾期竣工，每逾期一天，乙方支付甲方</w:t>
      </w:r>
      <w:r>
        <w:rPr>
          <w:rFonts w:hint="eastAsia" w:asciiTheme="minorEastAsia" w:hAnsiTheme="minorEastAsia" w:eastAsiaTheme="minorEastAsia" w:cstheme="minorEastAsia"/>
          <w:sz w:val="24"/>
          <w:szCs w:val="24"/>
          <w:lang w:eastAsia="zh-CN"/>
        </w:rPr>
        <w:t>壹万</w:t>
      </w:r>
      <w:r>
        <w:rPr>
          <w:rFonts w:hint="eastAsia" w:asciiTheme="minorEastAsia" w:hAnsiTheme="minorEastAsia" w:eastAsiaTheme="minorEastAsia" w:cstheme="minorEastAsia"/>
          <w:sz w:val="24"/>
          <w:szCs w:val="24"/>
        </w:rPr>
        <w:t>元违约金</w:t>
      </w:r>
      <w:r>
        <w:rPr>
          <w:rFonts w:hint="eastAsia" w:asciiTheme="minorEastAsia" w:hAnsiTheme="minorEastAsia" w:eastAsiaTheme="minorEastAsia" w:cstheme="minorEastAsia"/>
          <w:sz w:val="24"/>
          <w:szCs w:val="24"/>
          <w:lang w:eastAsia="zh-CN"/>
        </w:rPr>
        <w:t>；甲方有权终止合同，并保留对乙方追溯赔偿其他一切损失的权利</w:t>
      </w:r>
      <w:r>
        <w:rPr>
          <w:rFonts w:hint="eastAsia" w:asciiTheme="minorEastAsia" w:hAnsiTheme="minorEastAsia" w:eastAsiaTheme="minorEastAsia" w:cstheme="minorEastAsia"/>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w:t>
      </w: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11.2本合同一共</w:t>
      </w:r>
      <w:r>
        <w:rPr>
          <w:rFonts w:hint="eastAsia" w:asciiTheme="minorEastAsia" w:hAnsiTheme="minorEastAsia" w:cstheme="minorEastAsia"/>
          <w:sz w:val="24"/>
          <w:szCs w:val="24"/>
          <w:lang w:val="en-US" w:eastAsia="zh-CN"/>
        </w:rPr>
        <w:t>陆</w:t>
      </w:r>
      <w:r>
        <w:rPr>
          <w:rFonts w:hint="eastAsia" w:asciiTheme="minorEastAsia" w:hAnsiTheme="minorEastAsia" w:eastAsiaTheme="minorEastAsia" w:cstheme="minorEastAsia"/>
          <w:sz w:val="24"/>
          <w:szCs w:val="24"/>
        </w:rPr>
        <w:t>份，甲乙双方各执</w:t>
      </w:r>
      <w:r>
        <w:rPr>
          <w:rFonts w:hint="eastAsia" w:asciiTheme="minorEastAsia" w:hAnsiTheme="minorEastAsia" w:cstheme="minorEastAsia"/>
          <w:sz w:val="24"/>
          <w:szCs w:val="24"/>
          <w:lang w:val="en-US" w:eastAsia="zh-CN"/>
        </w:rPr>
        <w:t>叁</w:t>
      </w:r>
      <w:r>
        <w:rPr>
          <w:rFonts w:hint="eastAsia" w:asciiTheme="minorEastAsia" w:hAnsiTheme="minorEastAsia" w:eastAsiaTheme="minorEastAsia" w:cstheme="minorEastAsia"/>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（1）工程质量保修书</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（2）安全文明施工协议书  </w:t>
      </w:r>
    </w:p>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（3）疫情防控责任书</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年  月  日                      年  月  </w:t>
      </w:r>
      <w:r>
        <w:rPr>
          <w:rFonts w:hint="eastAsia" w:asciiTheme="minorEastAsia" w:hAnsiTheme="minorEastAsia" w:cstheme="minorEastAsia"/>
          <w:sz w:val="24"/>
          <w:szCs w:val="24"/>
          <w:lang w:val="en-US" w:eastAsia="zh-CN"/>
        </w:rPr>
        <w:t>日</w:t>
      </w:r>
    </w:p>
    <w:p>
      <w:pPr>
        <w:keepNext w:val="0"/>
        <w:keepLines w:val="0"/>
        <w:pageBreakBefore/>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附件一</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承包人（全称）：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lang w:eastAsia="zh-CN"/>
        </w:rPr>
        <w:t>杭州萧山国际机场空气自动监测站站房改造项目</w:t>
      </w:r>
      <w:r>
        <w:rPr>
          <w:rFonts w:hint="eastAsia" w:asciiTheme="minorEastAsia" w:hAnsiTheme="minorEastAsia" w:eastAsiaTheme="minorEastAsia" w:cstheme="minorEastAsia"/>
          <w:sz w:val="24"/>
          <w:szCs w:val="24"/>
        </w:rPr>
        <w:t>（工程全称）签订工程质量保修书。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一、工程质量保修范围和内容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本次工程所涉及的所有内容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二、质量保修期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1．地基基础工程和主体结构工程为设计文件规定的工程合理使用年限；</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2．屋面防水工程、有防水要求的卫生间、房间和外墙面的防渗为5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3．装修工程为2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4．电气管线、给排水管道、设备安装工程为 2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5．供热与供冷系统为2 个采暖期、供冷期；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6．住宅小区内的给排水设施、道路等配套工程为2年；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7．其他项目保修期限约定如下：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质量保修期自工程竣工验收合格之日起计算。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三、缺陷责任期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工程缺陷责任期为</w:t>
      </w:r>
      <w:r>
        <w:rPr>
          <w:rFonts w:hint="eastAsia" w:asciiTheme="minorEastAsia" w:hAnsiTheme="minorEastAsia" w:eastAsiaTheme="minorEastAsia" w:cstheme="minorEastAsia"/>
          <w:sz w:val="24"/>
          <w:szCs w:val="24"/>
          <w:u w:val="single"/>
        </w:rPr>
        <w:t>24</w:t>
      </w:r>
      <w:r>
        <w:rPr>
          <w:rFonts w:hint="eastAsia" w:asciiTheme="minorEastAsia" w:hAnsiTheme="minorEastAsia" w:eastAsiaTheme="minorEastAsia" w:cstheme="minorEastAsia"/>
          <w:sz w:val="24"/>
          <w:szCs w:val="24"/>
        </w:rPr>
        <w:t>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缺陷责任期届满后，缺陷责任期届满后，经发包人确认核实，承包人不存在违约情形以及质量保修不存在问题后15天内无息返还质保金。</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五、保修费用</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发包人(公章)：                     承包人(公章)：    </w:t>
      </w: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安全文明施工协议书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发包人（</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承包人（</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w:t>
      </w:r>
      <w:r>
        <w:rPr>
          <w:rFonts w:hint="eastAsia" w:asciiTheme="minorEastAsia" w:hAnsiTheme="minorEastAsia" w:cstheme="minorEastAsia"/>
          <w:b/>
          <w:sz w:val="24"/>
          <w:szCs w:val="24"/>
          <w:u w:val="single"/>
          <w:lang w:eastAsia="zh-CN"/>
        </w:rPr>
        <w:t>杭州萧山国际机场空气自动监测站站房改造项目</w:t>
      </w:r>
      <w:r>
        <w:rPr>
          <w:rFonts w:hint="eastAsia" w:asciiTheme="minorEastAsia" w:hAnsiTheme="minorEastAsia" w:eastAsia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一、</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对</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实行安全目标管理，安全目标的具体内容是</w:t>
      </w:r>
      <w:r>
        <w:rPr>
          <w:rFonts w:hint="eastAsia" w:asciiTheme="minorEastAsia" w:hAnsiTheme="minorEastAsia" w:eastAsiaTheme="minorEastAsia" w:cstheme="minorEastAsia"/>
          <w:sz w:val="24"/>
          <w:szCs w:val="24"/>
        </w:rPr>
        <w:t>：</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5、不得对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6、不得要求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7、由于民航行业的特殊性和空防安全的重要性，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对进出飞行区施工的人员和车辆实行通行证管理制度。为此，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成员必须参加</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组织的专门安全教育培训和考试（主要是机场飞行、空防、不停航施工等安全方面知识）；同时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应协助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对全体施工人员进行安全教育培训和考核，并协助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8、联系和协调机场公安机关，督促施工单位按有关规定申报暂住登记和申领《暂住证》，并协助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拒不按照本协议条款规定组织安全文明施工的，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有权责令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因违反民航总局第191号令《民用机场运行安全管理规定》而发生不安全事件，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有权按照相关处罚条例对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予以处罚，造成严重后果或损失重大的，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18、在施工组织设计中应当制定安全技术措施和施工现场临时用电方案，对危险性较大的部分分项工程应当制定专项施工方案，并附安全验算计算书，经</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20、应根据不同的施工阶段和环境及季节、气候的变化，在施工现场采取相应的安全防护措施；施工现场暂时停止施工的，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要做好现场防护工作，所需费用由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提出申请，报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备案，办证费用由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自理。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30、应当加强通行证的管理，建立管理台帐。通行证仅限持证本人、本车使用，严禁转借、涂改和冒用；持证人员发生调离、辞退、开除等情况的，应及时收回通行证交由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报机场公安机关注销；如发生人员和车辆通行证遗失的，应在第一时间向</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报告；持证车辆重新调配或报废的，应及时将通行证交由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申报注销。上述环节因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管理不力发生问题的，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32、在机场有飞行任务期间，禁止在跑道端之外300米以内、跑道中心线两侧75米以内的区域进行任何施工作业。如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33、实行不停航施工的区域，开挖的明沟和施工材料堆放处，必须根据</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要求用桔黄色小旗标识以示警告；在低能见度的白天和夜间，应当按照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37、在施工现场建立清扫制度，落实到人，做到工完料尽场地清，车辆进出场应有防泥带出措施。建筑垃圾及时清运，并堆放到</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40、制定包括重大安全生产事故、重大道路交通事故、重大消防安全事故、重大刑事案件以及群体性事件等突发性事件在内的应急处置预案，一旦发生，及时报告</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41、遵守国家消防法律法规，建立和健全消防管理规章制度，明确消防安全责任人，健全消防安全网络（配备专职或兼职消防员），建立消防应急队伍，并报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49、占用、挖掘道路，跨越道路架设、铺设管线以及大型机械进出机场须提前与</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协商，征得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四、违约责任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50、本《安全文明施工协议书》是工程施工合同的重要组成部分，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必须严格遵守和履行，如有违反，</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可以追究</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责任；</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违约情况严重，或是社会影响恶劣，又或是造成</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或他方重大损失，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可解除施工合同且不须向</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51、严禁因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五、本协议书附于《</w:t>
      </w:r>
      <w:r>
        <w:rPr>
          <w:rFonts w:hint="eastAsia" w:asciiTheme="minorEastAsia" w:hAnsiTheme="minorEastAsia" w:cstheme="minorEastAsia"/>
          <w:sz w:val="24"/>
          <w:szCs w:val="24"/>
          <w:lang w:eastAsia="zh-CN"/>
        </w:rPr>
        <w:t>杭州萧山国际机场空气自动监测站站房改造项目</w:t>
      </w:r>
      <w:r>
        <w:rPr>
          <w:rFonts w:hint="eastAsia" w:asciiTheme="minorEastAsia" w:hAnsiTheme="minorEastAsia" w:eastAsiaTheme="minorEastAsia" w:cstheme="minorEastAsia"/>
          <w:sz w:val="24"/>
          <w:szCs w:val="24"/>
          <w:lang w:val="en-US" w:eastAsia="zh-CN"/>
        </w:rPr>
        <w:t>施工合同</w:t>
      </w:r>
      <w:r>
        <w:rPr>
          <w:rFonts w:hint="eastAsia" w:asciiTheme="minorEastAsia" w:hAnsiTheme="minorEastAsia" w:eastAsiaTheme="minorEastAsia" w:cstheme="minorEastAsia"/>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（一）由于</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行为违反国家法律、法规和杭州萧山国际机场有限公司有关规章制度和责任书规定内容，</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进行处罚。</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（二）本责任书解释权归</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（三）本责任书由甲乙双方共同盖章后生效。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发包人：                                          承包人： </w:t>
      </w:r>
    </w:p>
    <w:p>
      <w:pPr>
        <w:keepNext w:val="0"/>
        <w:keepLines w:val="0"/>
        <w:pageBreakBefore w:val="0"/>
        <w:kinsoku/>
        <w:wordWrap/>
        <w:topLinePunct w:val="0"/>
        <w:bidi w:val="0"/>
        <w:spacing w:line="360" w:lineRule="exact"/>
        <w:ind w:right="0" w:rightChars="0"/>
        <w:jc w:val="both"/>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 xml:space="preserve"> </w:t>
      </w:r>
      <w:r>
        <w:rPr>
          <w:rFonts w:hint="eastAsia" w:asciiTheme="minorEastAsia" w:hAnsiTheme="minorEastAsia" w:eastAsiaTheme="minorEastAsia" w:cstheme="minorEastAsia"/>
          <w:b/>
          <w:sz w:val="24"/>
          <w:szCs w:val="24"/>
        </w:rPr>
        <w:t xml:space="preserve"> </w:t>
      </w: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2"/>
          <w:highlight w:val="none"/>
        </w:rPr>
      </w:pPr>
      <w:r>
        <w:rPr>
          <w:rFonts w:hint="eastAsia" w:ascii="宋体" w:hAnsi="宋体" w:cs="宋体"/>
          <w:sz w:val="22"/>
          <w:highlight w:val="none"/>
        </w:rPr>
        <w:t>附件</w:t>
      </w:r>
      <w:r>
        <w:rPr>
          <w:rFonts w:hint="eastAsia" w:ascii="宋体" w:hAnsi="宋体" w:cs="宋体"/>
          <w:sz w:val="22"/>
          <w:highlight w:val="none"/>
          <w:lang w:val="en-US" w:eastAsia="zh-CN"/>
        </w:rPr>
        <w:t>三</w:t>
      </w:r>
      <w:r>
        <w:rPr>
          <w:rFonts w:hint="eastAsia" w:ascii="宋体" w:hAnsi="宋体" w:cs="宋体"/>
          <w:sz w:val="22"/>
          <w:highlight w:val="none"/>
        </w:rPr>
        <w:t>：</w:t>
      </w:r>
    </w:p>
    <w:p>
      <w:pPr>
        <w:numPr>
          <w:ilvl w:val="0"/>
          <w:numId w:val="0"/>
        </w:numPr>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疫情防控责任书</w:t>
      </w:r>
    </w:p>
    <w:p>
      <w:pPr>
        <w:numPr>
          <w:ilvl w:val="0"/>
          <w:numId w:val="0"/>
        </w:numPr>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【】公司按照以下条款严格管理，【】公司的法定代表人为疫情防控承担者，承担疫情防控责任。机场公司所属【】部门有权对乙方管理情况进行监督。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一、【】公司负责监督员工在岗防护情况，做到防护到位。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二、【】公司要求员工严禁接触涉疫区域内的高危人员或物品，避免因管理不当导致的安全风险。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三、【】公司员工做到适宜接种全员接种疫苗，新进员工需接种疫苗后上岗。并做好员工疫苗接种的管控工作，避免因员工未接种疫苗导致的安全风险。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四、</w:t>
      </w:r>
      <w:r>
        <w:rPr>
          <w:rFonts w:hint="eastAsia" w:ascii="宋体" w:hAnsi="宋体" w:eastAsia="宋体" w:cs="宋体"/>
          <w:sz w:val="22"/>
          <w:szCs w:val="22"/>
          <w:highlight w:val="none"/>
          <w:lang w:val="en-US" w:eastAsia="zh-CN"/>
        </w:rPr>
        <w:t>【】公司需根据机场公司要求，及时安排员工开展核酸检测工作，核酸检测做到“应检尽检”。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五、</w:t>
      </w:r>
      <w:r>
        <w:rPr>
          <w:rFonts w:hint="eastAsia" w:ascii="宋体" w:hAnsi="宋体" w:eastAsia="宋体" w:cs="宋体"/>
          <w:sz w:val="22"/>
          <w:szCs w:val="22"/>
          <w:highlight w:val="none"/>
          <w:lang w:val="en-US" w:eastAsia="zh-CN"/>
        </w:rPr>
        <w:t>【】公司需做到培训到位及防控要求传达到位，定期对员工开展疫情防控培训，培训内容包括但不限于个人防护要求及近期国内疫情情况通报等，及时传达公司防控相关要求。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七、【】公司需做好员工身体状况动态监控，掌握职工健康状况，制定应急预案，如遇发热、咳嗽等症状者要求主动报告，并做好防护及送医措施。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八、【】公司需做好做好洗手液、口罩、温度计、75%酒精、含氯消毒液等药械物资准备。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九、若因</w:t>
      </w:r>
      <w:r>
        <w:rPr>
          <w:rFonts w:hint="eastAsia" w:ascii="宋体" w:hAnsi="宋体" w:eastAsia="宋体" w:cs="宋体"/>
          <w:sz w:val="22"/>
          <w:szCs w:val="22"/>
          <w:highlight w:val="none"/>
          <w:lang w:val="en-US" w:eastAsia="zh-CN"/>
        </w:rPr>
        <w:t>【】公司及其员工</w:t>
      </w:r>
      <w:r>
        <w:rPr>
          <w:rFonts w:hint="eastAsia" w:ascii="宋体" w:hAnsi="宋体" w:eastAsia="宋体" w:cs="宋体"/>
          <w:color w:val="000000"/>
          <w:sz w:val="22"/>
          <w:szCs w:val="22"/>
          <w:highlight w:val="none"/>
          <w:lang w:val="en-US" w:eastAsia="zh-CN"/>
        </w:rPr>
        <w:t>原因导致新型冠状肺炎疫情传播，则</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承担由此产生的实际损失。而且机场公司有权解除合同，全额没收</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的履约保证金。若履约保证金不足以弥补</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给机场公司造成的实际损失，则机场公司有权继续向</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追偿。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承诺人：</w:t>
      </w: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w:t>
      </w:r>
    </w:p>
    <w:p>
      <w:pPr>
        <w:pStyle w:val="9"/>
        <w:keepNext w:val="0"/>
        <w:keepLines w:val="0"/>
        <w:pageBreakBefore/>
        <w:widowControl w:val="0"/>
        <w:kinsoku/>
        <w:wordWrap/>
        <w:overflowPunct/>
        <w:topLinePunct w:val="0"/>
        <w:autoSpaceDE/>
        <w:autoSpaceDN/>
        <w:bidi w:val="0"/>
        <w:adjustRightInd/>
        <w:snapToGrid/>
        <w:jc w:val="center"/>
        <w:textAlignment w:val="auto"/>
      </w:pPr>
      <w:bookmarkStart w:id="18" w:name="_Toc27673"/>
      <w:r>
        <w:rPr>
          <w:rFonts w:hint="eastAsia"/>
        </w:rPr>
        <w:t>第</w:t>
      </w:r>
      <w:r>
        <w:rPr>
          <w:rFonts w:hint="eastAsia"/>
          <w:lang w:val="en-US" w:eastAsia="zh-CN"/>
        </w:rPr>
        <w:t>四</w:t>
      </w:r>
      <w:r>
        <w:rPr>
          <w:rFonts w:hint="eastAsia"/>
        </w:rPr>
        <w:t>章  工程量清单</w:t>
      </w:r>
      <w:bookmarkEnd w:id="16"/>
      <w:r>
        <w:rPr>
          <w:rFonts w:hint="eastAsia"/>
        </w:rPr>
        <w:t>（详见附件）</w:t>
      </w:r>
      <w:bookmarkEnd w:id="18"/>
    </w:p>
    <w:p>
      <w:pPr>
        <w:widowControl/>
        <w:jc w:val="left"/>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9"/>
        <w:jc w:val="center"/>
      </w:pPr>
      <w:bookmarkStart w:id="19" w:name="_Toc9507"/>
      <w:r>
        <w:rPr>
          <w:rFonts w:hint="eastAsia"/>
        </w:rPr>
        <w:t>第</w:t>
      </w:r>
      <w:r>
        <w:rPr>
          <w:rFonts w:hint="eastAsia"/>
          <w:lang w:val="en-US" w:eastAsia="zh-CN"/>
        </w:rPr>
        <w:t>五</w:t>
      </w:r>
      <w:r>
        <w:rPr>
          <w:rFonts w:hint="eastAsia"/>
        </w:rPr>
        <w:t xml:space="preserve">章  </w:t>
      </w:r>
      <w:r>
        <w:rPr>
          <w:rFonts w:hint="eastAsia"/>
          <w:lang w:val="en-US" w:eastAsia="zh-CN"/>
        </w:rPr>
        <w:t>图纸</w:t>
      </w:r>
      <w:r>
        <w:rPr>
          <w:rFonts w:hint="eastAsia"/>
        </w:rPr>
        <w:t>（详见附件）</w:t>
      </w:r>
      <w:bookmarkEnd w:id="19"/>
    </w:p>
    <w:p>
      <w:pPr>
        <w:widowControl/>
        <w:jc w:val="left"/>
      </w:pPr>
    </w:p>
    <w:p>
      <w:pPr>
        <w:widowControl/>
        <w:jc w:val="left"/>
        <w:rPr>
          <w:rFonts w:hint="eastAsia" w:ascii="Cambria" w:hAnsi="Cambria" w:eastAsia="黑体" w:cs="Times New Roman"/>
          <w:b/>
          <w:bCs/>
          <w:kern w:val="0"/>
          <w:sz w:val="32"/>
          <w:szCs w:val="32"/>
          <w:lang w:val="en-US" w:eastAsia="zh-CN"/>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9"/>
        <w:jc w:val="both"/>
      </w:pPr>
      <w:bookmarkStart w:id="20" w:name="_Toc448097409"/>
      <w:bookmarkStart w:id="21" w:name="_Toc275274581"/>
      <w:r>
        <w:rPr>
          <w:rFonts w:hint="eastAsia"/>
        </w:rPr>
        <w:t xml:space="preserve"> </w:t>
      </w:r>
      <w:r>
        <w:t xml:space="preserve">                </w:t>
      </w:r>
    </w:p>
    <w:p>
      <w:pPr>
        <w:pStyle w:val="9"/>
        <w:jc w:val="both"/>
      </w:pPr>
    </w:p>
    <w:p>
      <w:pPr>
        <w:pStyle w:val="9"/>
        <w:jc w:val="both"/>
      </w:pPr>
    </w:p>
    <w:p>
      <w:pPr>
        <w:pStyle w:val="9"/>
        <w:jc w:val="both"/>
      </w:pPr>
    </w:p>
    <w:p/>
    <w:p/>
    <w:p/>
    <w:p/>
    <w:p/>
    <w:p/>
    <w:p/>
    <w:p/>
    <w:p/>
    <w:p/>
    <w:p/>
    <w:p/>
    <w:p/>
    <w:p/>
    <w:p/>
    <w:p/>
    <w:p/>
    <w:p/>
    <w:p/>
    <w:p/>
    <w:p/>
    <w:p/>
    <w:p/>
    <w:p/>
    <w:p/>
    <w:p/>
    <w:p/>
    <w:p/>
    <w:p/>
    <w:p/>
    <w:p/>
    <w:p>
      <w:pPr>
        <w:pStyle w:val="9"/>
        <w:jc w:val="both"/>
      </w:pPr>
    </w:p>
    <w:p>
      <w:pPr>
        <w:pStyle w:val="9"/>
        <w:numPr>
          <w:ilvl w:val="0"/>
          <w:numId w:val="0"/>
        </w:numPr>
        <w:jc w:val="center"/>
        <w:rPr>
          <w:rFonts w:hint="eastAsia"/>
          <w:lang w:val="en-US" w:eastAsia="zh-CN"/>
        </w:rPr>
      </w:pPr>
      <w:bookmarkStart w:id="22" w:name="_Toc17683"/>
      <w:r>
        <w:rPr>
          <w:rFonts w:hint="eastAsia"/>
          <w:lang w:val="en-US" w:eastAsia="zh-CN"/>
        </w:rPr>
        <w:t>第六章</w:t>
      </w:r>
      <w:r>
        <w:t xml:space="preserve"> </w:t>
      </w:r>
      <w:r>
        <w:rPr>
          <w:rFonts w:hint="eastAsia"/>
          <w:lang w:val="en-US" w:eastAsia="zh-CN"/>
        </w:rPr>
        <w:t>技术标准及要求</w:t>
      </w:r>
      <w:bookmarkEnd w:id="22"/>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：主要工作内容具体详见图纸及工程量清单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依据设计施工图纸和技术文件要求，本工程项目的施工必须达到以下现行中华人民共和国及省、市、行业的一切有关法规、规范的要求，如下述标准及规范要求有出入则以较严格者为准。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3"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12"/>
        <w:tblW w:w="8560" w:type="dxa"/>
        <w:jc w:val="center"/>
        <w:tblInd w:w="0" w:type="dxa"/>
        <w:tblLayout w:type="fixed"/>
        <w:tblCellMar>
          <w:top w:w="0" w:type="dxa"/>
          <w:left w:w="108" w:type="dxa"/>
          <w:bottom w:w="0" w:type="dxa"/>
          <w:right w:w="108" w:type="dxa"/>
        </w:tblCellMar>
      </w:tblPr>
      <w:tblGrid>
        <w:gridCol w:w="1063"/>
        <w:gridCol w:w="2783"/>
        <w:gridCol w:w="4714"/>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714"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2783"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电力电缆</w:t>
            </w:r>
          </w:p>
        </w:tc>
        <w:tc>
          <w:tcPr>
            <w:tcW w:w="4714"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远东</w:t>
            </w:r>
            <w:r>
              <w:rPr>
                <w:rFonts w:hint="eastAsia" w:ascii="宋体" w:hAnsi="宋体" w:cs="宋体"/>
                <w:bCs/>
                <w:sz w:val="22"/>
                <w:lang w:val="en-US" w:eastAsia="zh-CN"/>
              </w:rPr>
              <w:t>电缆</w:t>
            </w:r>
            <w:r>
              <w:rPr>
                <w:rFonts w:hint="eastAsia" w:ascii="宋体" w:hAnsi="宋体" w:cs="宋体"/>
                <w:bCs/>
                <w:sz w:val="22"/>
              </w:rPr>
              <w:t>、</w:t>
            </w:r>
            <w:r>
              <w:rPr>
                <w:rFonts w:hint="eastAsia" w:ascii="宋体" w:hAnsi="宋体" w:cs="宋体"/>
                <w:bCs/>
                <w:sz w:val="22"/>
                <w:lang w:val="en-US" w:eastAsia="zh-CN"/>
              </w:rPr>
              <w:t>中大元通</w:t>
            </w:r>
            <w:r>
              <w:rPr>
                <w:rFonts w:hint="eastAsia" w:ascii="宋体" w:hAnsi="宋体" w:cs="宋体"/>
                <w:bCs/>
                <w:sz w:val="22"/>
              </w:rPr>
              <w:t>、</w:t>
            </w:r>
            <w:r>
              <w:rPr>
                <w:rFonts w:hint="eastAsia" w:ascii="宋体" w:hAnsi="宋体" w:cs="宋体"/>
                <w:bCs/>
                <w:sz w:val="22"/>
                <w:lang w:val="en-US" w:eastAsia="zh-CN"/>
              </w:rPr>
              <w:t>浙江</w:t>
            </w:r>
            <w:r>
              <w:rPr>
                <w:rFonts w:hint="eastAsia" w:ascii="宋体" w:hAnsi="宋体" w:cs="宋体"/>
                <w:bCs/>
                <w:sz w:val="22"/>
              </w:rPr>
              <w:t>万马或“相当于”品牌</w:t>
            </w:r>
          </w:p>
        </w:tc>
      </w:tr>
      <w:tr>
        <w:tblPrEx>
          <w:tblLayout w:type="fixed"/>
          <w:tblCellMar>
            <w:top w:w="0" w:type="dxa"/>
            <w:left w:w="108" w:type="dxa"/>
            <w:bottom w:w="0" w:type="dxa"/>
            <w:right w:w="108" w:type="dxa"/>
          </w:tblCellMar>
        </w:tblPrEx>
        <w:trPr>
          <w:trHeight w:val="315"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2</w:t>
            </w:r>
          </w:p>
        </w:tc>
        <w:tc>
          <w:tcPr>
            <w:tcW w:w="2783" w:type="dxa"/>
            <w:tcBorders>
              <w:top w:val="nil"/>
              <w:left w:val="nil"/>
              <w:bottom w:val="single" w:color="auto" w:sz="4" w:space="0"/>
              <w:right w:val="single" w:color="auto" w:sz="4" w:space="0"/>
            </w:tcBorders>
            <w:vAlign w:val="center"/>
          </w:tcPr>
          <w:p>
            <w:pPr>
              <w:snapToGrid w:val="0"/>
              <w:rPr>
                <w:rFonts w:hint="eastAsia" w:ascii="宋体" w:hAnsi="宋体" w:cs="宋体" w:eastAsiaTheme="minorEastAsia"/>
                <w:bCs/>
                <w:sz w:val="22"/>
                <w:lang w:val="en-US" w:eastAsia="zh-CN"/>
              </w:rPr>
            </w:pPr>
            <w:r>
              <w:rPr>
                <w:rFonts w:hint="eastAsia" w:ascii="宋体" w:hAnsi="宋体" w:cs="宋体"/>
                <w:bCs/>
                <w:sz w:val="22"/>
                <w:lang w:val="en-US" w:eastAsia="zh-CN"/>
              </w:rPr>
              <w:t>乳胶漆</w:t>
            </w:r>
          </w:p>
        </w:tc>
        <w:tc>
          <w:tcPr>
            <w:tcW w:w="4714"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多乐士、立邦、SKK或“相当于”品牌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3</w:t>
            </w:r>
          </w:p>
        </w:tc>
        <w:tc>
          <w:tcPr>
            <w:tcW w:w="2783" w:type="dxa"/>
            <w:tcBorders>
              <w:top w:val="nil"/>
              <w:left w:val="nil"/>
              <w:bottom w:val="single" w:color="auto" w:sz="4" w:space="0"/>
              <w:right w:val="single" w:color="auto" w:sz="4" w:space="0"/>
            </w:tcBorders>
            <w:vAlign w:val="center"/>
          </w:tcPr>
          <w:p>
            <w:pPr>
              <w:snapToGrid w:val="0"/>
              <w:rPr>
                <w:rFonts w:hint="eastAsia" w:ascii="宋体" w:hAnsi="宋体" w:cs="宋体" w:eastAsiaTheme="minorEastAsia"/>
                <w:bCs/>
                <w:sz w:val="22"/>
                <w:lang w:val="en-US" w:eastAsia="zh-CN"/>
              </w:rPr>
            </w:pPr>
            <w:r>
              <w:rPr>
                <w:rFonts w:hint="eastAsia" w:ascii="宋体" w:hAnsi="宋体" w:cs="宋体"/>
                <w:bCs/>
                <w:sz w:val="22"/>
                <w:lang w:val="en-US" w:eastAsia="zh-CN"/>
              </w:rPr>
              <w:t>防水涂料</w:t>
            </w:r>
          </w:p>
        </w:tc>
        <w:tc>
          <w:tcPr>
            <w:tcW w:w="4714"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‌东方雨虹、万宝力、西卡或“相当于”品牌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nil"/>
              <w:right w:val="single" w:color="auto" w:sz="4" w:space="0"/>
            </w:tcBorders>
            <w:vAlign w:val="center"/>
          </w:tcPr>
          <w:p>
            <w:pPr>
              <w:snapToGrid w:val="0"/>
              <w:jc w:val="center"/>
              <w:rPr>
                <w:rFonts w:ascii="宋体" w:hAnsi="宋体" w:cs="宋体"/>
                <w:sz w:val="22"/>
              </w:rPr>
            </w:pPr>
            <w:r>
              <w:rPr>
                <w:rFonts w:hint="eastAsia" w:ascii="宋体" w:hAnsi="宋体" w:cs="宋体"/>
                <w:sz w:val="22"/>
              </w:rPr>
              <w:t>4</w:t>
            </w:r>
          </w:p>
        </w:tc>
        <w:tc>
          <w:tcPr>
            <w:tcW w:w="2783" w:type="dxa"/>
            <w:tcBorders>
              <w:top w:val="nil"/>
              <w:left w:val="nil"/>
              <w:bottom w:val="nil"/>
              <w:right w:val="single" w:color="auto" w:sz="4" w:space="0"/>
            </w:tcBorders>
            <w:vAlign w:val="center"/>
          </w:tcPr>
          <w:p>
            <w:pPr>
              <w:snapToGrid w:val="0"/>
              <w:rPr>
                <w:rFonts w:hint="default" w:ascii="宋体" w:hAnsi="宋体" w:cs="宋体" w:eastAsiaTheme="minorEastAsia"/>
                <w:bCs/>
                <w:sz w:val="22"/>
                <w:lang w:val="en-US" w:eastAsia="zh-CN"/>
              </w:rPr>
            </w:pPr>
            <w:r>
              <w:rPr>
                <w:rFonts w:hint="eastAsia" w:ascii="宋体" w:hAnsi="宋体" w:cs="宋体"/>
                <w:bCs/>
                <w:sz w:val="22"/>
                <w:lang w:val="en-US" w:eastAsia="zh-CN"/>
              </w:rPr>
              <w:t>SBS卷材</w:t>
            </w:r>
          </w:p>
        </w:tc>
        <w:tc>
          <w:tcPr>
            <w:tcW w:w="4714" w:type="dxa"/>
            <w:tcBorders>
              <w:top w:val="nil"/>
              <w:left w:val="nil"/>
              <w:bottom w:val="nil"/>
              <w:right w:val="single" w:color="auto" w:sz="4" w:space="0"/>
            </w:tcBorders>
            <w:vAlign w:val="center"/>
          </w:tcPr>
          <w:p>
            <w:pPr>
              <w:snapToGrid w:val="0"/>
              <w:rPr>
                <w:rFonts w:ascii="宋体" w:hAnsi="宋体" w:cs="宋体"/>
                <w:bCs/>
                <w:sz w:val="22"/>
              </w:rPr>
            </w:pPr>
            <w:r>
              <w:rPr>
                <w:rFonts w:hint="eastAsia" w:ascii="宋体" w:hAnsi="宋体" w:cs="宋体"/>
                <w:bCs/>
                <w:sz w:val="22"/>
              </w:rPr>
              <w:t>‌东方雨虹、宏源、禹王或“相当于”品牌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nil"/>
              <w:right w:val="single" w:color="auto" w:sz="4" w:space="0"/>
            </w:tcBorders>
            <w:vAlign w:val="center"/>
          </w:tcPr>
          <w:p>
            <w:pPr>
              <w:snapToGrid w:val="0"/>
              <w:jc w:val="center"/>
              <w:rPr>
                <w:rFonts w:hint="eastAsia" w:ascii="宋体" w:hAnsi="宋体" w:cs="宋体" w:eastAsiaTheme="minorEastAsia"/>
                <w:sz w:val="22"/>
                <w:lang w:val="en-US" w:eastAsia="zh-CN"/>
              </w:rPr>
            </w:pPr>
            <w:r>
              <w:rPr>
                <w:rFonts w:hint="eastAsia" w:ascii="宋体" w:hAnsi="宋体" w:cs="宋体"/>
                <w:sz w:val="22"/>
                <w:lang w:val="en-US" w:eastAsia="zh-CN"/>
              </w:rPr>
              <w:t>5</w:t>
            </w:r>
          </w:p>
        </w:tc>
        <w:tc>
          <w:tcPr>
            <w:tcW w:w="2783" w:type="dxa"/>
            <w:tcBorders>
              <w:top w:val="nil"/>
              <w:left w:val="nil"/>
              <w:bottom w:val="nil"/>
              <w:right w:val="single" w:color="auto" w:sz="4" w:space="0"/>
            </w:tcBorders>
            <w:vAlign w:val="center"/>
          </w:tcPr>
          <w:p>
            <w:pPr>
              <w:snapToGrid w:val="0"/>
              <w:rPr>
                <w:rFonts w:hint="eastAsia" w:ascii="宋体" w:hAnsi="宋体" w:cs="宋体" w:eastAsiaTheme="minorEastAsia"/>
                <w:bCs/>
                <w:sz w:val="22"/>
                <w:lang w:val="en-US" w:eastAsia="zh-CN"/>
              </w:rPr>
            </w:pPr>
            <w:r>
              <w:rPr>
                <w:rFonts w:hint="eastAsia" w:ascii="宋体" w:hAnsi="宋体" w:cs="宋体"/>
                <w:bCs/>
                <w:sz w:val="22"/>
                <w:lang w:val="en-US" w:eastAsia="zh-CN"/>
              </w:rPr>
              <w:t>空调</w:t>
            </w:r>
          </w:p>
        </w:tc>
        <w:tc>
          <w:tcPr>
            <w:tcW w:w="4714" w:type="dxa"/>
            <w:tcBorders>
              <w:top w:val="nil"/>
              <w:left w:val="nil"/>
              <w:bottom w:val="nil"/>
              <w:right w:val="single" w:color="auto" w:sz="4" w:space="0"/>
            </w:tcBorders>
            <w:vAlign w:val="center"/>
          </w:tcPr>
          <w:p>
            <w:pPr>
              <w:snapToGrid w:val="0"/>
              <w:rPr>
                <w:rFonts w:hint="default" w:ascii="宋体" w:hAnsi="宋体" w:cs="宋体" w:eastAsiaTheme="minorEastAsia"/>
                <w:bCs/>
                <w:sz w:val="22"/>
                <w:lang w:val="en-US" w:eastAsia="zh-CN"/>
              </w:rPr>
            </w:pPr>
            <w:r>
              <w:rPr>
                <w:rFonts w:hint="eastAsia" w:ascii="宋体" w:hAnsi="宋体" w:cs="宋体"/>
                <w:bCs/>
                <w:sz w:val="22"/>
                <w:lang w:val="en-US" w:eastAsia="zh-CN"/>
              </w:rPr>
              <w:t>美的、格力、海尔</w:t>
            </w:r>
            <w:r>
              <w:rPr>
                <w:rFonts w:hint="eastAsia" w:ascii="宋体" w:hAnsi="宋体" w:cs="宋体"/>
                <w:bCs/>
                <w:sz w:val="22"/>
              </w:rPr>
              <w:t>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nil"/>
              <w:right w:val="single" w:color="auto" w:sz="4" w:space="0"/>
            </w:tcBorders>
            <w:vAlign w:val="center"/>
          </w:tcPr>
          <w:p>
            <w:pPr>
              <w:snapToGrid w:val="0"/>
              <w:jc w:val="center"/>
              <w:rPr>
                <w:rFonts w:hint="eastAsia" w:ascii="宋体" w:hAnsi="宋体" w:cs="宋体" w:eastAsiaTheme="minorEastAsia"/>
                <w:sz w:val="22"/>
                <w:lang w:val="en-US" w:eastAsia="zh-CN"/>
              </w:rPr>
            </w:pPr>
            <w:r>
              <w:rPr>
                <w:rFonts w:hint="eastAsia" w:ascii="宋体" w:hAnsi="宋体" w:cs="宋体"/>
                <w:sz w:val="22"/>
                <w:lang w:val="en-US" w:eastAsia="zh-CN"/>
              </w:rPr>
              <w:t>6</w:t>
            </w:r>
          </w:p>
        </w:tc>
        <w:tc>
          <w:tcPr>
            <w:tcW w:w="2783" w:type="dxa"/>
            <w:tcBorders>
              <w:top w:val="nil"/>
              <w:left w:val="nil"/>
              <w:bottom w:val="nil"/>
              <w:right w:val="single" w:color="auto" w:sz="4" w:space="0"/>
            </w:tcBorders>
            <w:vAlign w:val="center"/>
          </w:tcPr>
          <w:p>
            <w:pPr>
              <w:snapToGrid w:val="0"/>
              <w:rPr>
                <w:rFonts w:hint="default" w:ascii="宋体" w:hAnsi="宋体" w:cs="宋体"/>
                <w:bCs/>
                <w:sz w:val="22"/>
                <w:lang w:val="en-US" w:eastAsia="zh-CN"/>
              </w:rPr>
            </w:pPr>
            <w:r>
              <w:rPr>
                <w:rFonts w:hint="eastAsia" w:ascii="宋体" w:hAnsi="宋体" w:cs="宋体"/>
                <w:bCs/>
                <w:sz w:val="22"/>
                <w:lang w:val="en-US" w:eastAsia="zh-CN"/>
              </w:rPr>
              <w:t>插座</w:t>
            </w:r>
          </w:p>
        </w:tc>
        <w:tc>
          <w:tcPr>
            <w:tcW w:w="4714" w:type="dxa"/>
            <w:tcBorders>
              <w:top w:val="nil"/>
              <w:left w:val="nil"/>
              <w:bottom w:val="nil"/>
              <w:right w:val="single" w:color="auto" w:sz="4" w:space="0"/>
            </w:tcBorders>
            <w:vAlign w:val="center"/>
          </w:tcPr>
          <w:p>
            <w:pPr>
              <w:snapToGrid w:val="0"/>
              <w:rPr>
                <w:rFonts w:hint="eastAsia" w:ascii="宋体" w:hAnsi="宋体" w:cs="宋体"/>
                <w:bCs/>
                <w:sz w:val="22"/>
                <w:lang w:val="en-US" w:eastAsia="zh-CN"/>
              </w:rPr>
            </w:pPr>
            <w:r>
              <w:rPr>
                <w:rFonts w:hint="eastAsia" w:ascii="宋体" w:hAnsi="宋体" w:cs="宋体"/>
                <w:sz w:val="22"/>
              </w:rPr>
              <w:t>鸿雁、正泰、德力西</w:t>
            </w:r>
            <w:r>
              <w:rPr>
                <w:rFonts w:hint="eastAsia" w:ascii="宋体" w:hAnsi="宋体" w:cs="宋体"/>
                <w:bCs/>
                <w:sz w:val="22"/>
              </w:rPr>
              <w:t>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hint="default" w:ascii="宋体" w:hAnsi="宋体" w:cs="宋体"/>
                <w:sz w:val="22"/>
                <w:lang w:val="en-US" w:eastAsia="zh-CN"/>
              </w:rPr>
            </w:pPr>
            <w:r>
              <w:rPr>
                <w:rFonts w:hint="eastAsia" w:ascii="宋体" w:hAnsi="宋体" w:cs="宋体"/>
                <w:sz w:val="22"/>
                <w:lang w:val="en-US" w:eastAsia="zh-CN"/>
              </w:rPr>
              <w:t>7</w:t>
            </w:r>
          </w:p>
        </w:tc>
        <w:tc>
          <w:tcPr>
            <w:tcW w:w="2783" w:type="dxa"/>
            <w:tcBorders>
              <w:top w:val="nil"/>
              <w:left w:val="nil"/>
              <w:bottom w:val="single" w:color="auto" w:sz="4" w:space="0"/>
              <w:right w:val="single" w:color="auto" w:sz="4" w:space="0"/>
            </w:tcBorders>
            <w:vAlign w:val="center"/>
          </w:tcPr>
          <w:p>
            <w:pPr>
              <w:snapToGrid w:val="0"/>
              <w:rPr>
                <w:rFonts w:hint="default" w:ascii="宋体" w:hAnsi="宋体" w:cs="宋体"/>
                <w:bCs/>
                <w:sz w:val="22"/>
                <w:lang w:val="en-US" w:eastAsia="zh-CN"/>
              </w:rPr>
            </w:pPr>
            <w:r>
              <w:rPr>
                <w:rFonts w:hint="eastAsia" w:ascii="宋体" w:hAnsi="宋体" w:cs="宋体"/>
                <w:bCs/>
                <w:sz w:val="22"/>
                <w:lang w:val="en-US" w:eastAsia="zh-CN"/>
              </w:rPr>
              <w:t>空开</w:t>
            </w:r>
          </w:p>
        </w:tc>
        <w:tc>
          <w:tcPr>
            <w:tcW w:w="4714" w:type="dxa"/>
            <w:tcBorders>
              <w:top w:val="nil"/>
              <w:left w:val="nil"/>
              <w:bottom w:val="single" w:color="auto" w:sz="4" w:space="0"/>
              <w:right w:val="single" w:color="auto" w:sz="4" w:space="0"/>
            </w:tcBorders>
            <w:vAlign w:val="center"/>
          </w:tcPr>
          <w:p>
            <w:pPr>
              <w:snapToGrid w:val="0"/>
              <w:rPr>
                <w:rFonts w:hint="eastAsia" w:ascii="宋体" w:hAnsi="宋体" w:cs="宋体"/>
                <w:bCs/>
                <w:sz w:val="22"/>
                <w:lang w:val="en-US" w:eastAsia="zh-CN"/>
              </w:rPr>
            </w:pPr>
            <w:r>
              <w:rPr>
                <w:rFonts w:hint="eastAsia" w:ascii="宋体" w:hAnsi="宋体" w:cs="宋体"/>
                <w:bCs/>
                <w:sz w:val="22"/>
              </w:rPr>
              <w:t>施耐德、ABB、西门子或“相当于”品牌</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（3）施工过程中如涉及需拆除原有材料设备（除需利旧的材料设备外），由承包人自行处理，其残值及处置相关费用，由投标人综合考虑，包含在投标报价中。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承包人需就一切有关之材料和整体结构，必须满足施工图纸及相应的技术标准及规范的规定。若产生施工偏差，承包人必须无条件返工，直至达到施工图纸及相应的技术标准及规范的规定，费用由承包人承担。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3.5.3承包人应严格按已确认设计图纸和施工技术方案组织施工，并无条件地接受发包人对施工质量的监督和管理。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3"/>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5.1施工临设在建设单位指定区域自行搭设，</w:t>
      </w:r>
      <w:r>
        <w:rPr>
          <w:rFonts w:hint="eastAsia" w:ascii="宋体" w:hAnsi="宋体" w:cs="宋体"/>
          <w:b/>
          <w:sz w:val="22"/>
          <w:lang w:val="en-US" w:eastAsia="zh-CN"/>
        </w:rPr>
        <w:t>施工进场前方案</w:t>
      </w:r>
      <w:r>
        <w:rPr>
          <w:rFonts w:hint="eastAsia" w:ascii="宋体" w:hAnsi="宋体" w:cs="宋体"/>
          <w:b/>
          <w:sz w:val="22"/>
        </w:rPr>
        <w:t>报招标人同意后方可搭建</w:t>
      </w:r>
      <w:r>
        <w:rPr>
          <w:rFonts w:hint="eastAsia" w:ascii="宋体" w:hAnsi="宋体" w:cs="宋体"/>
          <w:b/>
          <w:sz w:val="22"/>
          <w:lang w:eastAsia="zh-CN"/>
        </w:rPr>
        <w:t>。</w:t>
      </w:r>
      <w:r>
        <w:rPr>
          <w:rFonts w:hint="eastAsia" w:ascii="宋体" w:hAnsi="宋体" w:cs="宋体"/>
          <w:b/>
          <w:sz w:val="22"/>
        </w:rPr>
        <w:t>施工临设用地、材料堆场等在工程竣工验收通过后10日内自行拆除、彻底清理，并恢复原状。费用由投标人综合考虑，不另行计算。</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hint="eastAsia" w:ascii="宋体" w:hAnsi="宋体" w:cs="宋体"/>
          <w:b/>
          <w:sz w:val="22"/>
          <w:lang w:val="en-US" w:eastAsia="zh-CN"/>
        </w:rPr>
        <w:t>2</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5.3本工程为固定单价合同。请投标人依据本项目招标内容、技术标准及要求、工程量清单及图纸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hint="eastAsia" w:ascii="宋体" w:hAnsi="宋体" w:cs="宋体"/>
          <w:b/>
          <w:bCs w:val="0"/>
          <w:sz w:val="22"/>
        </w:rPr>
      </w:pPr>
      <w:r>
        <w:rPr>
          <w:rFonts w:hint="eastAsia" w:ascii="宋体" w:hAnsi="宋体" w:cs="宋体"/>
          <w:b/>
          <w:sz w:val="22"/>
          <w:lang w:val="en-US" w:eastAsia="zh-CN"/>
        </w:rPr>
        <w:t xml:space="preserve">5.4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pStyle w:val="4"/>
        <w:keepNext w:val="0"/>
        <w:keepLines w:val="0"/>
        <w:pageBreakBefore w:val="0"/>
        <w:widowControl w:val="0"/>
        <w:kinsoku/>
        <w:wordWrap/>
        <w:overflowPunct/>
        <w:topLinePunct w:val="0"/>
        <w:autoSpaceDE/>
        <w:autoSpaceDN/>
        <w:bidi w:val="0"/>
        <w:adjustRightInd/>
        <w:snapToGrid/>
        <w:ind w:left="0" w:leftChars="0" w:firstLine="442" w:firstLineChars="200"/>
        <w:textAlignment w:val="auto"/>
        <w:rPr>
          <w:rFonts w:hint="eastAsia" w:ascii="宋体" w:hAnsi="宋体" w:cs="宋体"/>
          <w:b/>
          <w:bCs w:val="0"/>
          <w:sz w:val="22"/>
          <w:lang w:val="en-US" w:eastAsia="zh-CN"/>
        </w:rPr>
      </w:pPr>
      <w:r>
        <w:rPr>
          <w:rFonts w:hint="eastAsia" w:ascii="宋体" w:hAnsi="宋体" w:cs="宋体"/>
          <w:b/>
          <w:bCs w:val="0"/>
          <w:sz w:val="22"/>
          <w:lang w:val="en-US" w:eastAsia="zh-CN"/>
        </w:rPr>
        <w:t>5.5  承包人须无条件配合招标人另行采购的空气质量监测相关仪器采购等设备的安装调试工作，相关费用由投标人综合考虑，包含在投标报价中。</w:t>
      </w:r>
    </w:p>
    <w:p>
      <w:pPr>
        <w:pStyle w:val="4"/>
        <w:keepNext w:val="0"/>
        <w:keepLines w:val="0"/>
        <w:pageBreakBefore w:val="0"/>
        <w:widowControl w:val="0"/>
        <w:kinsoku/>
        <w:wordWrap/>
        <w:overflowPunct/>
        <w:topLinePunct w:val="0"/>
        <w:autoSpaceDE/>
        <w:autoSpaceDN/>
        <w:bidi w:val="0"/>
        <w:adjustRightInd/>
        <w:snapToGrid/>
        <w:ind w:left="0" w:leftChars="0" w:firstLine="442" w:firstLineChars="200"/>
        <w:textAlignment w:val="auto"/>
        <w:rPr>
          <w:rFonts w:hint="default" w:ascii="宋体" w:hAnsi="宋体" w:cs="宋体"/>
          <w:b/>
          <w:bCs w:val="0"/>
          <w:sz w:val="22"/>
          <w:lang w:val="en-US" w:eastAsia="zh-CN"/>
        </w:rPr>
      </w:pPr>
      <w:r>
        <w:rPr>
          <w:rFonts w:hint="eastAsia" w:ascii="宋体" w:hAnsi="宋体" w:cs="宋体"/>
          <w:b/>
          <w:bCs w:val="0"/>
          <w:sz w:val="22"/>
          <w:lang w:val="en-US" w:eastAsia="zh-CN"/>
        </w:rPr>
        <w:t>5.6  由于本项目部分施工内容需要招标人另行采购的空气质量监测相关仪器采购等设备进场才能确认，承包人须无条件等待设备进场，等待时间不计入工期。</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5.7 中标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rPr>
          <w:rFonts w:hint="default" w:eastAsia="黑体"/>
          <w:lang w:val="en-US" w:eastAsia="zh-CN"/>
        </w:rP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
    <w:p/>
    <w:p/>
    <w:p/>
    <w:p/>
    <w:p/>
    <w:p/>
    <w:p/>
    <w:p/>
    <w:p/>
    <w:bookmarkEnd w:id="8"/>
    <w:bookmarkEnd w:id="20"/>
    <w:bookmarkEnd w:id="21"/>
    <w:p>
      <w:pPr>
        <w:pStyle w:val="3"/>
        <w:spacing w:before="0" w:after="0" w:line="564" w:lineRule="exact"/>
        <w:ind w:right="57"/>
        <w:jc w:val="center"/>
        <w:rPr>
          <w:sz w:val="32"/>
          <w:szCs w:val="32"/>
        </w:rPr>
      </w:pPr>
      <w:bookmarkStart w:id="24" w:name="_Toc10055"/>
      <w:bookmarkStart w:id="25" w:name="_Toc52907682"/>
      <w:r>
        <w:rPr>
          <w:sz w:val="32"/>
          <w:szCs w:val="32"/>
        </w:rPr>
        <w:t>第</w:t>
      </w:r>
      <w:r>
        <w:rPr>
          <w:rFonts w:hint="eastAsia"/>
          <w:sz w:val="32"/>
          <w:szCs w:val="32"/>
          <w:lang w:eastAsia="zh-CN"/>
        </w:rPr>
        <w:t>七</w:t>
      </w:r>
      <w:r>
        <w:rPr>
          <w:sz w:val="32"/>
          <w:szCs w:val="32"/>
        </w:rPr>
        <w:t>章</w:t>
      </w:r>
      <w:r>
        <w:rPr>
          <w:rFonts w:hint="eastAsia"/>
          <w:sz w:val="32"/>
          <w:szCs w:val="32"/>
        </w:rPr>
        <w:t xml:space="preserve">    </w:t>
      </w:r>
      <w:r>
        <w:rPr>
          <w:sz w:val="32"/>
          <w:szCs w:val="32"/>
        </w:rPr>
        <w:t>投标文件格式</w:t>
      </w:r>
      <w:bookmarkEnd w:id="24"/>
      <w:bookmarkEnd w:id="25"/>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6"/>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认为需要提供的</w:t>
      </w:r>
      <w:r>
        <w:rPr>
          <w:rFonts w:ascii="微软雅黑" w:hAnsi="Times New Roman" w:cs="微软雅黑"/>
          <w:spacing w:val="-2"/>
          <w:kern w:val="0"/>
          <w:sz w:val="22"/>
        </w:rPr>
        <w:t>其他材料。</w:t>
      </w:r>
    </w:p>
    <w:p>
      <w:pPr>
        <w:pStyle w:val="14"/>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hint="eastAsia"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233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336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336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jc w:val="both"/>
        <w:rPr>
          <w:rFonts w:cs="微软雅黑"/>
          <w:b/>
          <w:kern w:val="0"/>
          <w:sz w:val="36"/>
          <w:szCs w:val="36"/>
        </w:rPr>
      </w:pPr>
      <w:r>
        <w:rPr>
          <w:rFonts w:hint="eastAsia" w:cs="微软雅黑"/>
          <w:b/>
          <w:kern w:val="0"/>
          <w:sz w:val="36"/>
          <w:szCs w:val="36"/>
          <w:lang w:val="en-US" w:eastAsia="zh-CN"/>
        </w:rPr>
        <w:t xml:space="preserve">                三</w:t>
      </w:r>
      <w:r>
        <w:rPr>
          <w:rFonts w:hint="eastAsia" w:cs="微软雅黑"/>
          <w:b/>
          <w:kern w:val="0"/>
          <w:sz w:val="36"/>
          <w:szCs w:val="36"/>
        </w:rPr>
        <w:t>、已标价工程量清单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snapToGrid w:val="0"/>
        <w:spacing w:line="360" w:lineRule="auto"/>
        <w:ind w:firstLine="422" w:firstLineChars="200"/>
        <w:rPr>
          <w:rFonts w:ascii="宋体" w:hAnsi="宋体" w:cs="Arial"/>
          <w:b/>
          <w:bCs/>
          <w:kern w:val="0"/>
          <w:szCs w:val="21"/>
        </w:rPr>
      </w:pPr>
      <w:r>
        <w:rPr>
          <w:rFonts w:hint="eastAsia" w:ascii="宋体" w:hAnsi="宋体" w:cs="Arial"/>
          <w:b/>
          <w:bCs/>
          <w:kern w:val="0"/>
          <w:szCs w:val="21"/>
        </w:rPr>
        <w:t>(</w:t>
      </w:r>
      <w:r>
        <w:rPr>
          <w:rFonts w:ascii="宋体" w:hAnsi="宋体" w:cs="Arial"/>
          <w:b/>
          <w:bCs/>
          <w:kern w:val="0"/>
          <w:szCs w:val="21"/>
        </w:rPr>
        <w:t>18</w:t>
      </w:r>
      <w:r>
        <w:rPr>
          <w:rFonts w:hint="eastAsia" w:ascii="宋体" w:hAnsi="宋体" w:cs="Arial"/>
          <w:b/>
          <w:bCs/>
          <w:kern w:val="0"/>
          <w:szCs w:val="21"/>
        </w:rPr>
        <w:t>)主要设备材料选用品牌一览表</w:t>
      </w:r>
    </w:p>
    <w:p>
      <w:pPr>
        <w:pStyle w:val="4"/>
        <w:ind w:firstLine="0" w:firstLineChars="0"/>
        <w:jc w:val="center"/>
        <w:rPr>
          <w:rFonts w:ascii="宋体" w:hAnsi="宋体" w:cs="宋体"/>
          <w:b/>
          <w:kern w:val="0"/>
          <w:sz w:val="32"/>
          <w:szCs w:val="32"/>
          <w:lang w:val="zh-CN"/>
        </w:rPr>
      </w:pPr>
      <w:r>
        <w:rPr>
          <w:rFonts w:ascii="宋体" w:hAnsi="宋体" w:cs="Arial"/>
          <w:b/>
          <w:bCs/>
          <w:kern w:val="0"/>
          <w:szCs w:val="21"/>
        </w:rPr>
        <w:br w:type="page"/>
      </w:r>
      <w:r>
        <w:rPr>
          <w:rFonts w:hint="eastAsia" w:ascii="宋体" w:hAnsi="宋体" w:cs="宋体"/>
          <w:b/>
          <w:kern w:val="0"/>
          <w:sz w:val="32"/>
          <w:szCs w:val="32"/>
          <w:lang w:val="zh-CN"/>
        </w:rPr>
        <w:t>主要设备材料选用品牌一览表</w:t>
      </w:r>
    </w:p>
    <w:tbl>
      <w:tblPr>
        <w:tblStyle w:val="12"/>
        <w:tblpPr w:leftFromText="180" w:rightFromText="180" w:vertAnchor="text" w:horzAnchor="page" w:tblpX="1689" w:tblpY="299"/>
        <w:tblOverlap w:val="never"/>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675"/>
        <w:gridCol w:w="2046"/>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6" w:hRule="atLeast"/>
          <w:tblHeader/>
        </w:trPr>
        <w:tc>
          <w:tcPr>
            <w:tcW w:w="1090"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3675" w:type="dxa"/>
            <w:vAlign w:val="center"/>
          </w:tcPr>
          <w:p>
            <w:pPr>
              <w:widowControl/>
              <w:snapToGrid w:val="0"/>
              <w:jc w:val="center"/>
              <w:rPr>
                <w:rFonts w:ascii="宋体" w:hAnsi="宋体" w:cs="宋体"/>
                <w:bCs/>
                <w:kern w:val="0"/>
                <w:sz w:val="22"/>
              </w:rPr>
            </w:pPr>
            <w:r>
              <w:rPr>
                <w:rFonts w:ascii="宋体" w:hAnsi="宋体" w:cs="宋体"/>
                <w:bCs/>
                <w:kern w:val="0"/>
                <w:sz w:val="22"/>
              </w:rPr>
              <w:t>材料设备名称</w:t>
            </w:r>
          </w:p>
        </w:tc>
        <w:tc>
          <w:tcPr>
            <w:tcW w:w="204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c>
          <w:tcPr>
            <w:tcW w:w="2394" w:type="dxa"/>
            <w:vAlign w:val="center"/>
          </w:tcPr>
          <w:p>
            <w:pPr>
              <w:widowControl/>
              <w:snapToGrid w:val="0"/>
              <w:jc w:val="center"/>
              <w:rPr>
                <w:rFonts w:hint="eastAsia" w:ascii="宋体" w:hAnsi="宋体" w:cs="宋体" w:eastAsiaTheme="minorEastAsia"/>
                <w:bCs/>
                <w:kern w:val="0"/>
                <w:sz w:val="22"/>
                <w:lang w:val="en-US" w:eastAsia="zh-CN"/>
              </w:rPr>
            </w:pPr>
            <w:r>
              <w:rPr>
                <w:rFonts w:hint="eastAsia" w:ascii="宋体" w:hAnsi="宋体" w:cs="宋体"/>
                <w:bCs/>
                <w:kern w:val="0"/>
                <w:sz w:val="2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宋体" w:eastAsiaTheme="minorEastAsia"/>
                <w:bCs/>
                <w:kern w:val="0"/>
                <w:sz w:val="22"/>
                <w:lang w:val="en-US" w:eastAsia="zh-CN"/>
              </w:rPr>
            </w:pPr>
            <w:r>
              <w:rPr>
                <w:rFonts w:hint="eastAsia" w:ascii="宋体" w:hAnsi="宋体" w:cs="宋体"/>
                <w:bCs/>
                <w:kern w:val="0"/>
                <w:sz w:val="22"/>
                <w:lang w:val="en-US" w:eastAsia="zh-CN"/>
              </w:rPr>
              <w:t>1</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2</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3</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4</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5</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bl>
    <w:p>
      <w:pPr>
        <w:widowControl/>
        <w:jc w:val="left"/>
        <w:rPr>
          <w:rFonts w:hint="eastAsia" w:ascii="宋体" w:hAnsi="宋体" w:cs="宋体"/>
          <w:b/>
          <w:szCs w:val="21"/>
        </w:rPr>
      </w:pPr>
    </w:p>
    <w:p>
      <w:pPr>
        <w:widowControl/>
        <w:jc w:val="left"/>
        <w:rPr>
          <w:rFonts w:hint="eastAsia" w:ascii="宋体" w:hAnsi="宋体" w:cs="宋体"/>
          <w:b/>
          <w:szCs w:val="21"/>
        </w:rPr>
      </w:pPr>
    </w:p>
    <w:p>
      <w:pPr>
        <w:widowControl/>
        <w:jc w:val="left"/>
        <w:rPr>
          <w:rFonts w:hint="eastAsia" w:ascii="宋体" w:hAnsi="宋体" w:cs="宋体"/>
          <w:b/>
          <w:szCs w:val="21"/>
        </w:rPr>
      </w:pPr>
    </w:p>
    <w:p>
      <w:pPr>
        <w:widowControl/>
        <w:jc w:val="left"/>
        <w:rPr>
          <w:rFonts w:ascii="宋体" w:hAnsi="宋体" w:cs="宋体"/>
          <w:b/>
          <w:szCs w:val="21"/>
        </w:rPr>
      </w:pPr>
      <w:r>
        <w:rPr>
          <w:rFonts w:hint="eastAsia" w:ascii="宋体" w:hAnsi="宋体" w:cs="宋体"/>
          <w:b/>
          <w:szCs w:val="21"/>
        </w:rPr>
        <w:t>注：根据招标文件第</w:t>
      </w:r>
      <w:r>
        <w:rPr>
          <w:rFonts w:hint="eastAsia" w:ascii="宋体" w:hAnsi="宋体" w:cs="宋体"/>
          <w:b/>
          <w:szCs w:val="21"/>
          <w:lang w:val="en-US" w:eastAsia="zh-CN"/>
        </w:rPr>
        <w:t>六</w:t>
      </w:r>
      <w:r>
        <w:rPr>
          <w:rFonts w:hint="eastAsia" w:ascii="宋体" w:hAnsi="宋体" w:cs="宋体"/>
          <w:b/>
          <w:szCs w:val="21"/>
        </w:rPr>
        <w:t>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autoSpaceDE w:val="0"/>
        <w:autoSpaceDN w:val="0"/>
        <w:adjustRightInd w:val="0"/>
        <w:spacing w:line="360" w:lineRule="auto"/>
        <w:jc w:val="center"/>
        <w:rPr>
          <w:rFonts w:cs="宋体"/>
          <w:sz w:val="22"/>
        </w:rPr>
      </w:pPr>
    </w:p>
    <w:p>
      <w:pPr>
        <w:widowControl/>
        <w:jc w:val="left"/>
        <w:rPr>
          <w:rFonts w:cs="宋体"/>
          <w:sz w:val="22"/>
        </w:rPr>
      </w:pPr>
      <w:r>
        <w:rPr>
          <w:rFonts w:cs="宋体"/>
          <w:sz w:val="22"/>
        </w:rPr>
        <w:br w:type="page"/>
      </w:r>
    </w:p>
    <w:p>
      <w:pPr>
        <w:widowControl/>
        <w:jc w:val="center"/>
        <w:rPr>
          <w:rFonts w:hint="eastAsia" w:cs="微软雅黑"/>
          <w:b/>
          <w:kern w:val="0"/>
          <w:sz w:val="36"/>
          <w:szCs w:val="36"/>
          <w:lang w:val="en-US" w:eastAsia="zh-CN"/>
        </w:rPr>
      </w:pPr>
      <w:bookmarkStart w:id="26" w:name="_Hlk54024727"/>
    </w:p>
    <w:p>
      <w:pPr>
        <w:widowControl/>
        <w:jc w:val="center"/>
        <w:rPr>
          <w:rFonts w:hint="eastAsia" w:cs="微软雅黑"/>
          <w:b/>
          <w:kern w:val="0"/>
          <w:sz w:val="36"/>
          <w:szCs w:val="36"/>
          <w:lang w:val="en-US" w:eastAsia="zh-CN"/>
        </w:rPr>
      </w:pPr>
    </w:p>
    <w:p>
      <w:pPr>
        <w:widowControl/>
        <w:jc w:val="center"/>
        <w:rPr>
          <w:rFonts w:hint="eastAsia" w:cs="微软雅黑"/>
          <w:b/>
          <w:kern w:val="0"/>
          <w:sz w:val="36"/>
          <w:szCs w:val="36"/>
        </w:rPr>
      </w:pPr>
      <w:r>
        <w:rPr>
          <w:rFonts w:hint="eastAsia" w:cs="微软雅黑"/>
          <w:b/>
          <w:kern w:val="0"/>
          <w:sz w:val="36"/>
          <w:szCs w:val="36"/>
          <w:lang w:val="en-US" w:eastAsia="zh-CN"/>
        </w:rPr>
        <w:t>四</w:t>
      </w:r>
      <w:r>
        <w:rPr>
          <w:rFonts w:hint="eastAsia" w:cs="微软雅黑"/>
          <w:b/>
          <w:kern w:val="0"/>
          <w:sz w:val="36"/>
          <w:szCs w:val="36"/>
        </w:rPr>
        <w:t>、投标人认为需要提供的其他材料</w:t>
      </w:r>
    </w:p>
    <w:p>
      <w:pPr>
        <w:autoSpaceDE w:val="0"/>
        <w:autoSpaceDN w:val="0"/>
        <w:adjustRightInd w:val="0"/>
        <w:spacing w:line="360" w:lineRule="auto"/>
        <w:jc w:val="center"/>
        <w:rPr>
          <w:b/>
          <w:sz w:val="24"/>
        </w:rPr>
      </w:pPr>
    </w:p>
    <w:bookmarkEnd w:id="26"/>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000000"/>
    <w:rsid w:val="02B95F5F"/>
    <w:rsid w:val="073D70B6"/>
    <w:rsid w:val="08A037D7"/>
    <w:rsid w:val="09E436C7"/>
    <w:rsid w:val="0C2258A4"/>
    <w:rsid w:val="13506F32"/>
    <w:rsid w:val="15C55E70"/>
    <w:rsid w:val="28BD1AD1"/>
    <w:rsid w:val="2DBD794B"/>
    <w:rsid w:val="3308314E"/>
    <w:rsid w:val="3862043E"/>
    <w:rsid w:val="3A980D91"/>
    <w:rsid w:val="4D2E1D74"/>
    <w:rsid w:val="4E694A6E"/>
    <w:rsid w:val="579A74BA"/>
    <w:rsid w:val="635903D4"/>
    <w:rsid w:val="646B5557"/>
    <w:rsid w:val="677036EC"/>
    <w:rsid w:val="6F74423D"/>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szCs w:val="24"/>
    </w:r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20639</Words>
  <Characters>21314</Characters>
  <Lines>0</Lines>
  <Paragraphs>0</Paragraphs>
  <ScaleCrop>false</ScaleCrop>
  <LinksUpToDate>false</LinksUpToDate>
  <CharactersWithSpaces>22831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2022-06-22T06:13:12Z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