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杭州萧山国际机场新建T4航站楼涉疫垃圾回收点项目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八</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cstheme="minorBidi"/>
          <w:kern w:val="2"/>
          <w:sz w:val="21"/>
          <w:szCs w:val="22"/>
          <w:lang w:val="en-US" w:eastAsia="zh-CN" w:bidi="ar-SA"/>
        </w:rPr>
        <w:id w:val="147480402"/>
        <w15:color w:val="DBDBDB"/>
      </w:sdtPr>
      <w:sdtEndPr>
        <w:rPr>
          <w:rFonts w:asciiTheme="minorHAnsi" w:hAnsiTheme="minorHAnsi" w:eastAsiaTheme="minorEastAsia" w:cstheme="minorBidi"/>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_Toc8459 </w:instrText>
          </w:r>
          <w:r>
            <w:rPr>
              <w:rFonts w:hint="eastAsia" w:ascii="宋体" w:hAnsi="宋体" w:eastAsia="宋体" w:cs="宋体"/>
              <w:bCs/>
              <w:sz w:val="36"/>
              <w:szCs w:val="56"/>
            </w:rP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_Toc682 </w:instrText>
          </w:r>
          <w:r>
            <w:rPr>
              <w:rFonts w:hint="eastAsia" w:ascii="宋体" w:hAnsi="宋体" w:eastAsia="宋体" w:cs="宋体"/>
              <w:bCs/>
              <w:sz w:val="36"/>
              <w:szCs w:val="56"/>
            </w:rP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_Toc17411 </w:instrText>
          </w:r>
          <w:r>
            <w:rPr>
              <w:rFonts w:hint="eastAsia" w:ascii="宋体" w:hAnsi="宋体" w:eastAsia="宋体" w:cs="宋体"/>
              <w:bCs/>
              <w:sz w:val="36"/>
              <w:szCs w:val="56"/>
            </w:rPr>
            <w:fldChar w:fldCharType="separate"/>
          </w:r>
          <w:r>
            <w:rPr>
              <w:rFonts w:hint="eastAsia"/>
              <w:sz w:val="36"/>
              <w:szCs w:val="44"/>
              <w:lang w:val="en-US" w:eastAsia="zh-CN"/>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ascii="宋体" w:hAnsi="宋体" w:eastAsia="宋体" w:cs="宋体"/>
              <w:bCs/>
              <w:sz w:val="36"/>
              <w:szCs w:val="56"/>
            </w:rPr>
            <w:fldChar w:fldCharType="end"/>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_Toc27673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四</w:t>
          </w:r>
          <w:r>
            <w:rPr>
              <w:rFonts w:hint="eastAsia"/>
              <w:sz w:val="36"/>
              <w:szCs w:val="44"/>
            </w:rPr>
            <w:t>章 工程量清单（详见附件）</w:t>
          </w:r>
          <w:r>
            <w:rPr>
              <w:sz w:val="36"/>
              <w:szCs w:val="44"/>
            </w:rPr>
            <w:tab/>
          </w:r>
          <w:r>
            <w:rPr>
              <w:rFonts w:hint="eastAsia"/>
              <w:sz w:val="36"/>
              <w:szCs w:val="44"/>
              <w:lang w:val="en-US" w:eastAsia="zh-CN"/>
            </w:rPr>
            <w:t>1</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8</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_Toc9507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五</w:t>
          </w:r>
          <w:r>
            <w:rPr>
              <w:rFonts w:hint="eastAsia"/>
              <w:sz w:val="36"/>
              <w:szCs w:val="44"/>
            </w:rPr>
            <w:t xml:space="preserve">章 </w:t>
          </w:r>
          <w:r>
            <w:rPr>
              <w:rFonts w:hint="eastAsia"/>
              <w:sz w:val="36"/>
              <w:szCs w:val="44"/>
              <w:lang w:val="en-US" w:eastAsia="zh-CN"/>
            </w:rPr>
            <w:t>图纸</w:t>
          </w:r>
          <w:r>
            <w:rPr>
              <w:rFonts w:hint="eastAsia"/>
              <w:sz w:val="36"/>
              <w:szCs w:val="44"/>
            </w:rPr>
            <w:t>（详见附件）</w:t>
          </w:r>
          <w:r>
            <w:rPr>
              <w:sz w:val="36"/>
              <w:szCs w:val="44"/>
            </w:rPr>
            <w:tab/>
          </w:r>
          <w:r>
            <w:rPr>
              <w:rFonts w:hint="eastAsia"/>
              <w:sz w:val="36"/>
              <w:szCs w:val="44"/>
              <w:lang w:val="en-US" w:eastAsia="zh-CN"/>
            </w:rPr>
            <w:t>1</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9</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_Toc17683 </w:instrText>
          </w:r>
          <w:r>
            <w:rPr>
              <w:rFonts w:hint="eastAsia" w:ascii="宋体" w:hAnsi="宋体" w:eastAsia="宋体" w:cs="宋体"/>
              <w:bCs/>
              <w:sz w:val="36"/>
              <w:szCs w:val="56"/>
            </w:rPr>
            <w:fldChar w:fldCharType="separate"/>
          </w:r>
          <w:r>
            <w:rPr>
              <w:rFonts w:hint="eastAsia"/>
              <w:sz w:val="36"/>
              <w:szCs w:val="44"/>
              <w:lang w:val="en-US" w:eastAsia="zh-CN"/>
            </w:rPr>
            <w:t>第六章</w:t>
          </w:r>
          <w:r>
            <w:rPr>
              <w:sz w:val="36"/>
              <w:szCs w:val="44"/>
            </w:rPr>
            <w:t xml:space="preserve"> </w:t>
          </w:r>
          <w:r>
            <w:rPr>
              <w:rFonts w:hint="eastAsia"/>
              <w:sz w:val="36"/>
              <w:szCs w:val="44"/>
              <w:lang w:val="en-US" w:eastAsia="zh-CN"/>
            </w:rPr>
            <w:t>技术标准及要求</w:t>
          </w:r>
          <w:r>
            <w:rPr>
              <w:sz w:val="36"/>
              <w:szCs w:val="44"/>
            </w:rPr>
            <w:tab/>
          </w:r>
          <w:r>
            <w:rPr>
              <w:rFonts w:hint="eastAsia"/>
              <w:sz w:val="36"/>
              <w:szCs w:val="44"/>
              <w:lang w:val="en-US" w:eastAsia="zh-CN"/>
            </w:rPr>
            <w:t>2</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0</w:t>
          </w:r>
        </w:p>
        <w:p>
          <w:pPr>
            <w:pStyle w:val="8"/>
            <w:tabs>
              <w:tab w:val="right" w:leader="dot" w:pos="9639"/>
            </w:tabs>
            <w:rPr>
              <w:rFonts w:hint="eastAsia" w:eastAsia="宋体"/>
              <w:sz w:val="36"/>
              <w:szCs w:val="44"/>
              <w:lang w:val="en-US" w:eastAsia="zh-CN"/>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_Toc10055 </w:instrText>
          </w:r>
          <w:r>
            <w:rPr>
              <w:rFonts w:hint="eastAsia" w:ascii="宋体" w:hAnsi="宋体" w:eastAsia="宋体" w:cs="宋体"/>
              <w:bCs/>
              <w:sz w:val="36"/>
              <w:szCs w:val="56"/>
            </w:rPr>
            <w:fldChar w:fldCharType="separate"/>
          </w:r>
          <w:r>
            <w:rPr>
              <w:sz w:val="36"/>
              <w:szCs w:val="52"/>
            </w:rPr>
            <w:t>第</w:t>
          </w:r>
          <w:r>
            <w:rPr>
              <w:rFonts w:hint="eastAsia"/>
              <w:sz w:val="36"/>
              <w:szCs w:val="52"/>
              <w:lang w:eastAsia="zh-CN"/>
            </w:rPr>
            <w:t>七</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lang w:val="en-US" w:eastAsia="zh-CN"/>
            </w:rPr>
            <w:t>2</w:t>
          </w:r>
          <w:r>
            <w:rPr>
              <w:rFonts w:hint="eastAsia" w:ascii="宋体" w:hAnsi="宋体" w:eastAsia="宋体" w:cs="宋体"/>
              <w:bCs/>
              <w:sz w:val="36"/>
              <w:szCs w:val="56"/>
            </w:rPr>
            <w:fldChar w:fldCharType="end"/>
          </w:r>
          <w:r>
            <w:rPr>
              <w:rFonts w:hint="eastAsia" w:ascii="宋体" w:hAnsi="宋体" w:eastAsia="宋体" w:cs="宋体"/>
              <w:bCs/>
              <w:sz w:val="36"/>
              <w:szCs w:val="56"/>
              <w:lang w:val="en-US" w:eastAsia="zh-CN"/>
            </w:rPr>
            <w:t>4</w:t>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_Toc4370 </w:instrText>
          </w:r>
          <w:r>
            <w:rPr>
              <w:rFonts w:hint="eastAsia" w:ascii="宋体" w:hAnsi="宋体" w:eastAsia="宋体" w:cs="宋体"/>
              <w:bCs/>
              <w:sz w:val="36"/>
              <w:szCs w:val="56"/>
            </w:rPr>
            <w:fldChar w:fldCharType="separate"/>
          </w:r>
          <w:r>
            <w:rPr>
              <w:rFonts w:hint="eastAsia"/>
              <w:sz w:val="36"/>
              <w:szCs w:val="52"/>
              <w:lang w:val="en-US" w:eastAsia="zh-CN"/>
            </w:rPr>
            <w:t>第八章</w:t>
          </w:r>
          <w:r>
            <w:rPr>
              <w:sz w:val="36"/>
              <w:szCs w:val="52"/>
            </w:rPr>
            <w:t xml:space="preserve"> </w:t>
          </w:r>
          <w:r>
            <w:rPr>
              <w:rFonts w:hint="eastAsia"/>
              <w:sz w:val="36"/>
              <w:szCs w:val="52"/>
            </w:rPr>
            <w:t>航站楼施工围挡管理标准</w:t>
          </w:r>
          <w:r>
            <w:rPr>
              <w:sz w:val="36"/>
              <w:szCs w:val="44"/>
            </w:rPr>
            <w:tab/>
          </w:r>
          <w:r>
            <w:rPr>
              <w:sz w:val="36"/>
              <w:szCs w:val="44"/>
            </w:rPr>
            <w:fldChar w:fldCharType="begin"/>
          </w:r>
          <w:r>
            <w:rPr>
              <w:sz w:val="36"/>
              <w:szCs w:val="44"/>
            </w:rPr>
            <w:instrText xml:space="preserve"> PAGEREF _Toc4370 \h </w:instrText>
          </w:r>
          <w:r>
            <w:rPr>
              <w:sz w:val="36"/>
              <w:szCs w:val="44"/>
            </w:rPr>
            <w:fldChar w:fldCharType="separate"/>
          </w:r>
          <w:r>
            <w:rPr>
              <w:sz w:val="36"/>
              <w:szCs w:val="44"/>
            </w:rPr>
            <w:t>3</w:t>
          </w:r>
          <w:r>
            <w:rPr>
              <w:rFonts w:hint="eastAsia"/>
              <w:sz w:val="36"/>
              <w:szCs w:val="44"/>
              <w:lang w:val="en-US" w:eastAsia="zh-CN"/>
            </w:rPr>
            <w:t>2</w:t>
          </w:r>
          <w:r>
            <w:rPr>
              <w:sz w:val="36"/>
              <w:szCs w:val="44"/>
            </w:rPr>
            <w:fldChar w:fldCharType="end"/>
          </w:r>
          <w:r>
            <w:rPr>
              <w:rFonts w:hint="eastAsia" w:ascii="宋体" w:hAnsi="宋体" w:eastAsia="宋体" w:cs="宋体"/>
              <w:bCs/>
              <w:sz w:val="36"/>
              <w:szCs w:val="56"/>
            </w:rPr>
            <w:fldChar w:fldCharType="end"/>
          </w:r>
        </w:p>
        <w:p>
          <w:pPr>
            <w:spacing w:line="560" w:lineRule="exact"/>
            <w:jc w:val="both"/>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9"/>
        <w:keepNext w:val="0"/>
        <w:keepLines w:val="0"/>
        <w:pageBreakBefore/>
        <w:widowControl w:val="0"/>
        <w:kinsoku/>
        <w:wordWrap/>
        <w:overflowPunct/>
        <w:topLinePunct w:val="0"/>
        <w:autoSpaceDE/>
        <w:autoSpaceDN/>
        <w:bidi w:val="0"/>
        <w:adjustRightInd/>
        <w:snapToGrid/>
        <w:textAlignment w:val="auto"/>
      </w:pPr>
      <w:bookmarkStart w:id="0" w:name="_Toc448097401"/>
      <w:bookmarkStart w:id="1" w:name="_Toc8459"/>
      <w:r>
        <w:rPr>
          <w:rFonts w:hint="eastAsia"/>
        </w:rPr>
        <w:t>第一章 招标公告</w:t>
      </w:r>
      <w:bookmarkEnd w:id="0"/>
      <w:bookmarkEnd w:id="1"/>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项目概况：在T4机坪、T4航站楼0米层西侧23号门与高架连廊下方</w:t>
      </w:r>
      <w:r>
        <w:rPr>
          <w:rFonts w:hint="eastAsia" w:ascii="宋体" w:hAnsi="宋体" w:eastAsia="宋体" w:cs="宋体"/>
          <w:b/>
          <w:bCs/>
          <w:kern w:val="0"/>
          <w:sz w:val="24"/>
          <w:szCs w:val="24"/>
          <w:lang w:eastAsia="zh-CN"/>
        </w:rPr>
        <w:t>，</w:t>
      </w:r>
      <w:r>
        <w:rPr>
          <w:rFonts w:hint="eastAsia" w:ascii="宋体" w:hAnsi="宋体" w:eastAsia="宋体" w:cs="宋体"/>
          <w:b/>
          <w:bCs/>
          <w:kern w:val="0"/>
          <w:sz w:val="24"/>
          <w:szCs w:val="24"/>
        </w:rPr>
        <w:t>按防疫办需求各新建一个涉疫垃圾回收点</w:t>
      </w:r>
      <w:r>
        <w:rPr>
          <w:rFonts w:hint="eastAsia" w:ascii="宋体" w:hAnsi="宋体" w:eastAsia="宋体" w:cs="宋体"/>
          <w:b/>
          <w:bCs/>
          <w:kern w:val="0"/>
          <w:sz w:val="24"/>
          <w:szCs w:val="24"/>
          <w:lang w:val="en-US" w:eastAsia="zh-CN"/>
        </w:rPr>
        <w:t>。</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工程量清单和技术标准及要求</w:t>
      </w:r>
      <w:r>
        <w:rPr>
          <w:rFonts w:hint="eastAsia" w:ascii="宋体" w:hAnsi="宋体" w:eastAsia="宋体" w:cs="宋体"/>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kern w:val="0"/>
          <w:sz w:val="24"/>
          <w:szCs w:val="24"/>
          <w:u w:val="single"/>
          <w:lang w:val="en-US" w:eastAsia="zh-CN"/>
        </w:rPr>
        <w:t>1</w:t>
      </w:r>
      <w:r>
        <w:rPr>
          <w:rFonts w:hint="eastAsia" w:ascii="宋体" w:hAnsi="宋体" w:eastAsia="宋体" w:cs="宋体"/>
          <w:kern w:val="0"/>
          <w:sz w:val="24"/>
          <w:szCs w:val="24"/>
          <w:u w:val="single"/>
        </w:rPr>
        <w:t>0</w:t>
      </w:r>
      <w:r>
        <w:rPr>
          <w:rFonts w:hint="eastAsia" w:ascii="宋体" w:hAnsi="宋体" w:eastAsia="宋体" w:cs="宋体"/>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w:t>
      </w:r>
      <w:r>
        <w:rPr>
          <w:rFonts w:hint="eastAsia" w:ascii="宋体" w:hAnsi="宋体" w:eastAsia="宋体" w:cs="宋体"/>
          <w:b/>
          <w:bCs/>
          <w:sz w:val="24"/>
          <w:szCs w:val="24"/>
          <w:u w:val="single"/>
        </w:rPr>
        <w:t>须提供相应任职文件</w:t>
      </w:r>
      <w:r>
        <w:rPr>
          <w:rFonts w:hint="eastAsia" w:ascii="宋体" w:hAnsi="宋体" w:eastAsia="宋体" w:cs="宋体"/>
          <w:b/>
          <w:bCs/>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2" w:name="_Toc448097402"/>
      <w:bookmarkStart w:id="3" w:name="_Toc448097403"/>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8</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。踏勘集中地点为</w:t>
      </w:r>
      <w:r>
        <w:rPr>
          <w:rFonts w:hint="eastAsia" w:ascii="宋体" w:hAnsi="宋体" w:eastAsia="宋体" w:cs="宋体"/>
          <w:color w:val="FF0000"/>
          <w:kern w:val="0"/>
          <w:sz w:val="24"/>
          <w:szCs w:val="24"/>
          <w:lang w:eastAsia="zh-CN"/>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2022年8月31日9时30分前</w:t>
      </w:r>
      <w:r>
        <w:rPr>
          <w:rFonts w:hint="eastAsia" w:ascii="宋体" w:hAnsi="宋体" w:eastAsia="宋体" w:cs="宋体"/>
          <w:b w:val="0"/>
          <w:bCs w:val="0"/>
          <w:kern w:val="0"/>
          <w:sz w:val="24"/>
          <w:szCs w:val="24"/>
          <w:lang w:val="en-US" w:eastAsia="zh-CN"/>
        </w:rPr>
        <w:t>，以E-mail及书面形式提交给招标人（邮箱：373285581@qq.com，联系人：吴淼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b w:val="0"/>
          <w:bCs w:val="0"/>
          <w:color w:val="FF0000"/>
          <w:kern w:val="0"/>
          <w:sz w:val="24"/>
          <w:szCs w:val="24"/>
          <w:lang w:val="en-US" w:eastAsia="zh-CN"/>
        </w:rPr>
        <w:t>2022年9月2日9时30分前</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杭州萧山国际机场新建T4航站楼涉疫垃圾回收点项目招标文件</w:t>
      </w:r>
      <w:r>
        <w:rPr>
          <w:rFonts w:hint="eastAsia" w:ascii="宋体" w:hAnsi="宋体" w:eastAsia="宋体" w:cs="宋体"/>
          <w:kern w:val="0"/>
          <w:sz w:val="24"/>
          <w:szCs w:val="24"/>
        </w:rPr>
        <w:t>，并派专人于</w:t>
      </w:r>
      <w:r>
        <w:rPr>
          <w:rFonts w:hint="eastAsia" w:ascii="宋体" w:hAnsi="宋体" w:eastAsia="宋体" w:cs="宋体"/>
          <w:b w:val="0"/>
          <w:bCs w:val="0"/>
          <w:color w:val="FF0000"/>
          <w:kern w:val="0"/>
          <w:sz w:val="24"/>
          <w:szCs w:val="24"/>
          <w:lang w:val="en-US" w:eastAsia="zh-CN"/>
        </w:rPr>
        <w:t>2022年9月2日9时30分前</w:t>
      </w:r>
      <w:r>
        <w:rPr>
          <w:rFonts w:hint="eastAsia" w:ascii="宋体" w:hAnsi="宋体" w:eastAsia="宋体" w:cs="宋体"/>
          <w:kern w:val="0"/>
          <w:sz w:val="24"/>
          <w:szCs w:val="24"/>
        </w:rPr>
        <w:t>（北京时间）前送至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b w:val="0"/>
          <w:bCs w:val="0"/>
          <w:color w:val="FF0000"/>
          <w:kern w:val="0"/>
          <w:sz w:val="24"/>
          <w:szCs w:val="24"/>
          <w:lang w:val="en-US" w:eastAsia="zh-CN"/>
        </w:rPr>
        <w:t xml:space="preserve"> 2022年9月2日9时30分前</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北京时间）前投递至</w:t>
      </w:r>
      <w:r>
        <w:rPr>
          <w:rFonts w:hint="eastAsia" w:ascii="宋体" w:hAnsi="宋体" w:eastAsia="宋体" w:cs="宋体"/>
          <w:color w:val="FF0000"/>
          <w:kern w:val="0"/>
          <w:sz w:val="24"/>
          <w:szCs w:val="24"/>
        </w:rPr>
        <w:t>杭州萧山国际机场</w:t>
      </w:r>
      <w:r>
        <w:rPr>
          <w:rFonts w:hint="eastAsia" w:ascii="宋体" w:hAnsi="宋体" w:eastAsia="宋体" w:cs="宋体"/>
          <w:color w:val="FF0000"/>
          <w:kern w:val="0"/>
          <w:sz w:val="24"/>
          <w:szCs w:val="24"/>
          <w:lang w:val="en-US" w:eastAsia="zh-CN"/>
        </w:rPr>
        <w:t>物业维修中心</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杭州萧山国际机场新建T4航站楼涉疫垃圾回收点项目招标文件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（6）封套上写明：</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杭州萧山国际机场新建T4航站楼涉疫垃圾回收点项目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2022</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 xml:space="preserve"> 9 </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 xml:space="preserve"> 2 </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lang w:val="en-US" w:eastAsia="zh-CN"/>
        </w:rPr>
        <w:t xml:space="preserve"> 9 </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lang w:val="en-US" w:eastAsia="zh-CN"/>
        </w:rPr>
        <w:t xml:space="preserve">  30</w:t>
      </w:r>
      <w:bookmarkStart w:id="28" w:name="_GoBack"/>
      <w:bookmarkEnd w:id="28"/>
      <w:r>
        <w:rPr>
          <w:rFonts w:hint="eastAsia" w:asciiTheme="minorEastAsia" w:hAnsiTheme="minorEastAsia" w:cstheme="minorEastAsia"/>
          <w:color w:val="FF0000"/>
          <w:kern w:val="0"/>
          <w:sz w:val="24"/>
          <w:szCs w:val="24"/>
          <w:u w:val="single"/>
          <w:lang w:val="en-US" w:eastAsia="zh-CN"/>
        </w:rPr>
        <w:t xml:space="preserve"> </w:t>
      </w:r>
      <w:r>
        <w:rPr>
          <w:rFonts w:hint="eastAsia" w:asciiTheme="minorEastAsia" w:hAnsiTheme="minorEastAsia" w:eastAsiaTheme="minorEastAsia" w:cstheme="minorEastAsia"/>
          <w:color w:val="FF0000"/>
          <w:kern w:val="0"/>
          <w:sz w:val="24"/>
          <w:szCs w:val="24"/>
        </w:rPr>
        <w:t>分</w:t>
      </w:r>
      <w:r>
        <w:rPr>
          <w:rFonts w:hint="eastAsia" w:asciiTheme="minorEastAsia" w:hAnsiTheme="minorEastAsia" w:eastAsiaTheme="minorEastAsia" w:cstheme="minorEastAsia"/>
          <w:kern w:val="0"/>
          <w:sz w:val="24"/>
          <w:szCs w:val="24"/>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杭州萧山国际机场</w:t>
      </w:r>
      <w:r>
        <w:rPr>
          <w:rFonts w:hint="eastAsia" w:asciiTheme="minorEastAsia" w:hAnsiTheme="minorEastAsia" w:cstheme="minorEastAsia"/>
          <w:b/>
          <w:sz w:val="24"/>
          <w:szCs w:val="24"/>
          <w:lang w:val="en-US" w:eastAsia="zh-CN"/>
        </w:rPr>
        <w:t>物业维修</w:t>
      </w:r>
      <w:r>
        <w:rPr>
          <w:rFonts w:hint="eastAsia" w:asciiTheme="minorEastAsia" w:hAnsiTheme="minorEastAsia" w:eastAsiaTheme="minorEastAsia" w:cstheme="minorEastAsia"/>
          <w:b/>
          <w:sz w:val="24"/>
          <w:szCs w:val="24"/>
        </w:rPr>
        <w:t>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9"/>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w:t>
      </w:r>
      <w:bookmarkStart w:id="4" w:name="_Toc3775"/>
      <w:bookmarkStart w:id="5" w:name="_Toc19218"/>
      <w:r>
        <w:rPr>
          <w:rFonts w:hint="eastAsia" w:asciiTheme="minorEastAsia" w:hAnsiTheme="minorEastAsia" w:eastAsiaTheme="minorEastAsia" w:cstheme="minorEastAsia"/>
          <w:b w:val="0"/>
          <w:bCs w:val="0"/>
          <w:kern w:val="0"/>
          <w:sz w:val="24"/>
          <w:szCs w:val="24"/>
          <w:lang w:val="en-US" w:eastAsia="zh-CN"/>
        </w:rPr>
        <w:t>（4）</w:t>
      </w:r>
      <w:bookmarkEnd w:id="4"/>
      <w:bookmarkEnd w:id="5"/>
      <w:r>
        <w:rPr>
          <w:rFonts w:hint="eastAsia" w:asciiTheme="minorEastAsia" w:hAnsiTheme="minorEastAsia" w:eastAsiaTheme="minorEastAsia" w:cstheme="minorEastAsia"/>
          <w:b w:val="0"/>
          <w:bCs w:val="0"/>
          <w:kern w:val="0"/>
          <w:sz w:val="24"/>
          <w:szCs w:val="24"/>
          <w:lang w:val="en-US" w:eastAsia="zh-CN"/>
        </w:rPr>
        <w:t>本次评标采用综合评估法推荐中标候选人。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吴淼清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9"/>
        <w:jc w:val="center"/>
      </w:pPr>
    </w:p>
    <w:p>
      <w:pPr>
        <w:pStyle w:val="9"/>
        <w:jc w:val="center"/>
      </w:pPr>
    </w:p>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bookmarkEnd w:id="2"/>
    <w:bookmarkEnd w:id="3"/>
    <w:p>
      <w:pPr>
        <w:pStyle w:val="9"/>
        <w:jc w:val="center"/>
      </w:pPr>
      <w:bookmarkStart w:id="6" w:name="_Toc27752"/>
      <w:bookmarkStart w:id="7" w:name="_Toc448097404"/>
      <w:bookmarkStart w:id="8"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bookmarkStart w:id="9" w:name="_Toc31578"/>
    </w:p>
    <w:bookmarkEnd w:id="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40" w:firstLineChars="200"/>
        <w:jc w:val="both"/>
        <w:textAlignment w:val="auto"/>
        <w:outlineLvl w:val="9"/>
        <w:rPr>
          <w:rFonts w:ascii="宋体" w:hAnsi="宋体" w:cs="宋体"/>
          <w:kern w:val="0"/>
          <w:sz w:val="22"/>
        </w:rPr>
      </w:pPr>
      <w:r>
        <w:rPr>
          <w:rFonts w:hint="eastAsia" w:ascii="宋体" w:hAnsi="宋体" w:cs="宋体"/>
          <w:kern w:val="0"/>
          <w:sz w:val="22"/>
        </w:rPr>
        <w:t>评标应遵循公平、公正、科学、择优的原则。</w:t>
      </w:r>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42" w:firstLineChars="200"/>
        <w:jc w:val="both"/>
        <w:textAlignment w:val="auto"/>
        <w:outlineLvl w:val="9"/>
        <w:rPr>
          <w:rFonts w:ascii="宋体" w:hAnsi="宋体" w:cs="宋体"/>
          <w:b/>
          <w:kern w:val="0"/>
          <w:sz w:val="22"/>
        </w:rPr>
      </w:pPr>
      <w:r>
        <w:rPr>
          <w:rFonts w:hint="eastAsia" w:ascii="宋体" w:hAnsi="宋体" w:cs="宋体"/>
          <w:b/>
          <w:kern w:val="0"/>
          <w:sz w:val="22"/>
        </w:rPr>
        <w:t>二、评标组织</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ascii="宋体" w:hAnsi="宋体" w:cs="宋体"/>
          <w:sz w:val="22"/>
        </w:rPr>
      </w:pPr>
      <w:r>
        <w:rPr>
          <w:rFonts w:hint="eastAsia" w:ascii="宋体" w:hAnsi="宋体" w:cs="宋体"/>
          <w:sz w:val="22"/>
        </w:rPr>
        <w:t>评标工作由招标人依法组建的评标委员会负责。</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ascii="宋体" w:hAnsi="宋体" w:cs="宋体"/>
          <w:sz w:val="22"/>
        </w:rPr>
      </w:pPr>
      <w:bookmarkStart w:id="10"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0"/>
    </w:p>
    <w:p>
      <w:pPr>
        <w:keepNext w:val="0"/>
        <w:keepLines w:val="0"/>
        <w:pageBreakBefore w:val="0"/>
        <w:widowControl w:val="0"/>
        <w:kinsoku/>
        <w:wordWrap/>
        <w:overflowPunct/>
        <w:topLinePunct w:val="0"/>
        <w:autoSpaceDE/>
        <w:autoSpaceDN/>
        <w:bidi w:val="0"/>
        <w:adjustRightInd/>
        <w:snapToGrid w:val="0"/>
        <w:spacing w:line="360" w:lineRule="exact"/>
        <w:ind w:left="0" w:leftChars="0" w:right="0" w:rightChars="0" w:firstLine="442" w:firstLineChars="200"/>
        <w:jc w:val="both"/>
        <w:textAlignment w:val="auto"/>
        <w:outlineLvl w:val="9"/>
        <w:rPr>
          <w:rFonts w:ascii="宋体" w:hAnsi="宋体" w:cs="宋体"/>
          <w:b/>
          <w:kern w:val="0"/>
          <w:sz w:val="22"/>
        </w:rPr>
      </w:pPr>
      <w:r>
        <w:rPr>
          <w:rFonts w:hint="eastAsia" w:ascii="宋体" w:hAnsi="宋体" w:cs="宋体"/>
          <w:b/>
          <w:kern w:val="0"/>
          <w:sz w:val="22"/>
        </w:rPr>
        <w:t>三、评标程序和内容</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五</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六</w:t>
      </w:r>
      <w:r>
        <w:rPr>
          <w:rFonts w:hint="eastAsia" w:ascii="宋体" w:hAnsi="宋体" w:cs="宋体"/>
          <w:sz w:val="22"/>
        </w:rPr>
        <w:t>)根据评标办法和标准计算综合得分；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七</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1" w:name="_Hlk47377053"/>
      <w:r>
        <w:rPr>
          <w:rFonts w:hint="eastAsia" w:ascii="宋体" w:hAnsi="宋体" w:cs="宋体"/>
          <w:sz w:val="22"/>
        </w:rPr>
        <w:t>经评标委员会</w:t>
      </w:r>
      <w:bookmarkStart w:id="12" w:name="_Hlk47446073"/>
      <w:r>
        <w:rPr>
          <w:rFonts w:hint="eastAsia" w:ascii="宋体" w:hAnsi="宋体" w:cs="宋体"/>
          <w:sz w:val="22"/>
        </w:rPr>
        <w:t>评审后，符合性审查不予通过，不再进行下一步评审</w:t>
      </w:r>
      <w:bookmarkEnd w:id="12"/>
      <w:r>
        <w:rPr>
          <w:rFonts w:hint="eastAsia" w:ascii="宋体" w:hAnsi="宋体" w:cs="宋体"/>
          <w:sz w:val="22"/>
        </w:rPr>
        <w:t>。</w:t>
      </w:r>
      <w:bookmarkEnd w:id="11"/>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3"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3"/>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40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施工方案与技术措施内容的完整性、针对性和可行性</w:t>
            </w:r>
            <w:r>
              <w:rPr>
                <w:rFonts w:ascii="宋体" w:hAnsi="宋体"/>
                <w:color w:val="auto"/>
                <w:sz w:val="22"/>
              </w:rPr>
              <w:t>，</w:t>
            </w:r>
            <w:r>
              <w:rPr>
                <w:rFonts w:hint="eastAsia" w:ascii="宋体" w:hAnsi="宋体"/>
                <w:color w:val="auto"/>
                <w:sz w:val="22"/>
                <w:lang w:eastAsia="zh-Hans"/>
              </w:rPr>
              <w:t>特别是针对本项目重点难点部位</w:t>
            </w:r>
            <w:r>
              <w:rPr>
                <w:rFonts w:ascii="宋体" w:hAnsi="宋体"/>
                <w:color w:val="auto"/>
                <w:sz w:val="22"/>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施工质量的控制和检验手段是否科学、可靠；各投标文件横向比较，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安全、文明施工的保证措施是否科学、到位</w:t>
            </w:r>
            <w:r>
              <w:rPr>
                <w:rFonts w:hint="eastAsia" w:ascii="宋体" w:hAnsi="宋体"/>
                <w:color w:val="auto"/>
                <w:sz w:val="22"/>
                <w:lang w:eastAsia="zh-CN"/>
              </w:rPr>
              <w:t>，</w:t>
            </w:r>
            <w:r>
              <w:rPr>
                <w:rFonts w:hint="eastAsia" w:ascii="宋体" w:hAnsi="宋体"/>
                <w:color w:val="auto"/>
                <w:sz w:val="22"/>
                <w:lang w:val="en-US" w:eastAsia="zh-CN"/>
              </w:rPr>
              <w:t>由于部分工程施工位置在4号机坪，夜间施工须避免施工灯光污染，影响飞机滑进推出的措施</w:t>
            </w:r>
            <w:r>
              <w:rPr>
                <w:rFonts w:hint="eastAsia" w:ascii="宋体" w:hAnsi="宋体"/>
                <w:color w:val="auto"/>
                <w:sz w:val="22"/>
              </w:rPr>
              <w:t>；各投标文件横向比较，</w:t>
            </w:r>
            <w:r>
              <w:rPr>
                <w:rFonts w:hint="eastAsia" w:ascii="宋体" w:hAnsi="宋体" w:cs="宋体"/>
                <w:color w:val="auto"/>
                <w:szCs w:val="24"/>
              </w:rPr>
              <w:t>优秀的得2.</w:t>
            </w:r>
            <w:r>
              <w:rPr>
                <w:rFonts w:hint="eastAsia" w:ascii="宋体" w:hAnsi="宋体" w:cs="宋体"/>
                <w:color w:val="auto"/>
                <w:szCs w:val="24"/>
                <w:lang w:val="en-US" w:eastAsia="zh-CN"/>
              </w:rPr>
              <w:t>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w:t>
            </w:r>
            <w:r>
              <w:rPr>
                <w:rFonts w:hint="eastAsia" w:ascii="宋体" w:hAnsi="宋体" w:cs="宋体"/>
                <w:color w:val="auto"/>
                <w:szCs w:val="24"/>
                <w:lang w:val="en-US" w:eastAsia="zh-CN"/>
              </w:rPr>
              <w:t>1.4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市政、市容、环保、消防等的保证措施是否科学、到位</w:t>
            </w:r>
            <w:r>
              <w:rPr>
                <w:rFonts w:hint="eastAsia" w:ascii="宋体" w:hAnsi="宋体"/>
                <w:color w:val="auto"/>
                <w:sz w:val="22"/>
                <w:lang w:eastAsia="zh-CN"/>
              </w:rPr>
              <w:t>，</w:t>
            </w:r>
            <w:r>
              <w:rPr>
                <w:rFonts w:hint="eastAsia" w:ascii="宋体" w:hAnsi="宋体"/>
                <w:color w:val="auto"/>
                <w:sz w:val="22"/>
                <w:lang w:val="en-US" w:eastAsia="zh-CN"/>
              </w:rPr>
              <w:t>由于部分工程施工位置在4号机坪，施工单位防止FOD入侵的措施</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2.8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分；一般的得0-1</w:t>
            </w:r>
            <w:r>
              <w:rPr>
                <w:rFonts w:hint="eastAsia" w:ascii="宋体" w:hAnsi="宋体" w:cs="宋体"/>
                <w:color w:val="auto"/>
                <w:szCs w:val="24"/>
                <w:lang w:val="en-US" w:eastAsia="zh-CN"/>
              </w:rPr>
              <w:t>.4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工期承诺及施工进度网络计划、关键节点和线路的技术保证措施是否具有针对性和可行性；现场施工不利条件和恶劣天气对施工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w:t>
            </w:r>
            <w:r>
              <w:rPr>
                <w:rFonts w:hint="eastAsia" w:ascii="宋体" w:hAnsi="宋体"/>
                <w:color w:val="auto"/>
                <w:sz w:val="22"/>
                <w:lang w:val="en-US" w:eastAsia="zh-CN"/>
              </w:rPr>
              <w:t>配合建设方提请施工相关报批手续；</w:t>
            </w:r>
            <w:r>
              <w:rPr>
                <w:rFonts w:hint="eastAsia" w:ascii="宋体" w:hAnsi="宋体"/>
                <w:sz w:val="22"/>
              </w:rPr>
              <w:t>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投标人所使用的主要设备材料根据投标人提供的证明文件进行综合打分，优秀的得5.4-8分；良好的2.7-5.3分；一般的得0-2.6分。</w:t>
            </w:r>
          </w:p>
        </w:tc>
        <w:tc>
          <w:tcPr>
            <w:tcW w:w="851" w:type="dxa"/>
            <w:vAlign w:val="center"/>
          </w:tcPr>
          <w:p>
            <w:pPr>
              <w:jc w:val="center"/>
              <w:rPr>
                <w:rFonts w:hint="eastAsia" w:ascii="宋体" w:hAnsi="宋体" w:cs="宋体"/>
                <w:szCs w:val="24"/>
              </w:rPr>
            </w:pPr>
            <w:r>
              <w:rPr>
                <w:rFonts w:hint="eastAsia" w:ascii="宋体" w:hAnsi="宋体" w:cs="宋体"/>
                <w:szCs w:val="24"/>
              </w:rPr>
              <w:t>0-8</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u w:val="single"/>
        </w:rPr>
        <w:t xml:space="preserve"> </w:t>
      </w:r>
      <w:r>
        <w:rPr>
          <w:rFonts w:hint="eastAsia" w:ascii="宋体" w:hAnsi="宋体" w:cs="宋体"/>
          <w:b/>
          <w:sz w:val="22"/>
          <w:u w:val="single"/>
          <w:lang w:val="en-US" w:eastAsia="zh-CN"/>
        </w:rPr>
        <w:t>60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b w:val="0"/>
          <w:bCs w:val="0"/>
          <w:sz w:val="22"/>
        </w:rPr>
        <w:t>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评分范围：通过符合性审查的所有投标文件进入评分范围(下称有效评标价)。</w:t>
      </w:r>
    </w:p>
    <w:p>
      <w:pPr>
        <w:pStyle w:val="5"/>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hint="eastAsia"/>
        </w:rPr>
      </w:pPr>
      <w:r>
        <w:rPr>
          <w:rFonts w:hint="eastAsia" w:hAnsi="宋体" w:cs="Calibri"/>
          <w:b/>
          <w:bCs/>
          <w:sz w:val="22"/>
          <w:szCs w:val="22"/>
        </w:rPr>
        <w:t>二次平均法</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7</w:t>
      </w:r>
      <w:r>
        <w:rPr>
          <w:rFonts w:hint="eastAsia" w:ascii="宋体" w:hAnsi="宋体" w:cs="宋体"/>
          <w:sz w:val="22"/>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w:t>
      </w:r>
      <w:r>
        <w:rPr>
          <w:rFonts w:hint="eastAsia" w:ascii="宋体" w:hAnsi="宋体" w:cs="宋体"/>
          <w:b/>
          <w:sz w:val="22"/>
          <w:lang w:val="en-US" w:eastAsia="zh-CN"/>
        </w:rPr>
        <w:t>技术</w:t>
      </w:r>
      <w:r>
        <w:rPr>
          <w:rFonts w:hint="eastAsia" w:ascii="宋体" w:hAnsi="宋体" w:cs="宋体"/>
          <w:b/>
          <w:sz w:val="22"/>
        </w:rPr>
        <w:t>分+</w:t>
      </w:r>
      <w:r>
        <w:rPr>
          <w:rFonts w:hint="eastAsia" w:ascii="宋体" w:hAnsi="宋体" w:cs="宋体"/>
          <w:b/>
          <w:sz w:val="22"/>
          <w:lang w:val="en-US" w:eastAsia="zh-CN"/>
        </w:rPr>
        <w:t>商务</w:t>
      </w:r>
      <w:r>
        <w:rPr>
          <w:rFonts w:hint="eastAsia"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(2)当有效投标文件只有一名时，则由评标委员会确定是否推荐为中标候选人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2" w:firstLineChars="200"/>
        <w:jc w:val="both"/>
        <w:textAlignment w:val="auto"/>
        <w:outlineLvl w:val="9"/>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rPr>
          <w:rFonts w:hint="eastAsia"/>
          <w:lang w:val="en-US" w:eastAsia="zh-CN"/>
        </w:rPr>
      </w:pPr>
      <w:r>
        <w:rPr>
          <w:rFonts w:ascii="宋体" w:hAnsi="宋体" w:cs="宋体"/>
          <w:sz w:val="22"/>
        </w:rPr>
        <w:br w:type="page"/>
      </w:r>
    </w:p>
    <w:p>
      <w:pPr>
        <w:pStyle w:val="9"/>
        <w:jc w:val="center"/>
        <w:rPr>
          <w:rFonts w:ascii="宋体" w:hAnsi="宋体" w:cs="宋体"/>
          <w:b/>
          <w:sz w:val="28"/>
          <w:szCs w:val="20"/>
        </w:rPr>
      </w:pPr>
      <w:bookmarkStart w:id="14" w:name="_Toc17411"/>
      <w:r>
        <w:rPr>
          <w:rFonts w:hint="eastAsia"/>
          <w:lang w:val="en-US" w:eastAsia="zh-CN"/>
        </w:rPr>
        <w:t>第三章</w:t>
      </w:r>
      <w:r>
        <w:t xml:space="preserve">  </w:t>
      </w:r>
      <w:r>
        <w:rPr>
          <w:rFonts w:hint="eastAsia"/>
        </w:rPr>
        <w:t>合同条款及格式</w:t>
      </w:r>
      <w:bookmarkEnd w:id="7"/>
      <w:bookmarkEnd w:id="14"/>
      <w:bookmarkStart w:id="15" w:name="_Toc448097405"/>
    </w:p>
    <w:bookmarkEnd w:id="15"/>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16" w:name="_Toc448097407"/>
      <w:r>
        <w:rPr>
          <w:rFonts w:hint="eastAsia" w:asciiTheme="minorEastAsia" w:hAnsiTheme="minorEastAsia" w:cstheme="minorEastAsia"/>
          <w:b/>
          <w:bCs/>
          <w:sz w:val="32"/>
          <w:szCs w:val="32"/>
          <w:lang w:val="en-US" w:eastAsia="zh-CN"/>
        </w:rPr>
        <w:t>杭州萧山国际机场新建T4航站楼涉疫垃圾回收点项目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028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926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5"/>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杭州萧山国际机场新建T4航站楼涉疫垃圾回收点项目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1.3承包范围：在T4机坪、T4航站楼0米层西侧23号门与高架连廊下方</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按防疫办需求各新建一个涉疫垃圾回收点</w:t>
      </w:r>
      <w:r>
        <w:rPr>
          <w:rFonts w:hint="eastAsia" w:asciiTheme="minorEastAsia" w:hAnsiTheme="minorEastAsia" w:cstheme="minorEastAsia"/>
          <w:sz w:val="24"/>
          <w:szCs w:val="24"/>
          <w:lang w:eastAsia="zh-CN"/>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1.5工期：工程具体开工日期以发包人书面指示为准，工期</w:t>
      </w:r>
      <w:r>
        <w:rPr>
          <w:rFonts w:hint="eastAsia" w:asciiTheme="minorEastAsia" w:hAnsiTheme="minorEastAsia" w:cstheme="minorEastAsia"/>
          <w:sz w:val="24"/>
          <w:szCs w:val="24"/>
          <w:u w:val="single"/>
          <w:lang w:val="en-US" w:eastAsia="zh-CN"/>
        </w:rPr>
        <w:t>10</w:t>
      </w:r>
      <w:r>
        <w:rPr>
          <w:rFonts w:hint="eastAsia" w:asciiTheme="minorEastAsia" w:hAnsiTheme="minorEastAsia" w:eastAsiaTheme="minorEastAsia" w:cstheme="minorEastAsia"/>
          <w:sz w:val="24"/>
          <w:szCs w:val="24"/>
        </w:rPr>
        <w:t>日历天。</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1312"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61312;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1.7合同</w:t>
      </w:r>
      <w:r>
        <w:rPr>
          <w:rFonts w:hint="eastAsia" w:asciiTheme="minorEastAsia" w:hAnsiTheme="minorEastAsia" w:eastAsiaTheme="minorEastAsia" w:cstheme="minorEastAsia"/>
          <w:sz w:val="24"/>
          <w:szCs w:val="24"/>
          <w:lang w:eastAsia="zh-CN"/>
        </w:rPr>
        <w:t>暂定</w:t>
      </w:r>
      <w:r>
        <w:rPr>
          <w:rFonts w:hint="eastAsia" w:asciiTheme="minorEastAsia" w:hAnsiTheme="minorEastAsia" w:eastAsiaTheme="minorEastAsia" w:cstheme="minorEastAsia"/>
          <w:sz w:val="24"/>
          <w:szCs w:val="24"/>
        </w:rPr>
        <w:t>价款（人民币大写）：</w:t>
      </w:r>
    </w:p>
    <w:p>
      <w:pPr>
        <w:keepNext w:val="0"/>
        <w:keepLines w:val="0"/>
        <w:pageBreakBefore w:val="0"/>
        <w:numPr>
          <w:ilvl w:val="0"/>
          <w:numId w:val="5"/>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2.5甲方指派</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项目所涉及项目工程造价的移交送审工作，由监理单位或甲方代表协助建设单位预决算员办理。</w:t>
      </w:r>
    </w:p>
    <w:p>
      <w:pPr>
        <w:keepNext w:val="0"/>
        <w:keepLines w:val="0"/>
        <w:pageBreakBefore w:val="0"/>
        <w:numPr>
          <w:ilvl w:val="0"/>
          <w:numId w:val="5"/>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6"/>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17" w:name="_Hlk47444557"/>
    </w:p>
    <w:bookmarkEnd w:id="17"/>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w:t>
      </w: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%；结算价的</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rPr>
        <w:t>%留作质量保证金，待缺陷责任期满后无利息支付。</w:t>
      </w:r>
      <w:r>
        <w:rPr>
          <w:rFonts w:hint="eastAsia" w:asciiTheme="minorEastAsia" w:hAnsiTheme="minorEastAsia" w:eastAsiaTheme="minorEastAsia" w:cstheme="minorEastAsia"/>
          <w:b/>
          <w:bCs/>
          <w:sz w:val="24"/>
          <w:szCs w:val="24"/>
        </w:rPr>
        <w:t>★</w:t>
      </w:r>
      <w:r>
        <w:rPr>
          <w:rFonts w:hint="eastAsia" w:asciiTheme="minorEastAsia" w:hAnsiTheme="minorEastAsia" w:cstheme="minorEastAsia"/>
          <w:b/>
          <w:bCs/>
          <w:sz w:val="24"/>
          <w:szCs w:val="24"/>
          <w:lang w:val="en-US" w:eastAsia="zh-CN"/>
        </w:rPr>
        <w:t>施工安全监管</w:t>
      </w:r>
      <w:r>
        <w:rPr>
          <w:rFonts w:hint="eastAsia" w:asciiTheme="minorEastAsia" w:hAnsiTheme="minorEastAsia" w:eastAsiaTheme="minorEastAsia" w:cstheme="minorEastAsia"/>
          <w:b/>
          <w:bCs/>
          <w:sz w:val="24"/>
          <w:szCs w:val="24"/>
        </w:rPr>
        <w:t>费用为暂列金额，结算时承包人需提供相应票据作为依据按实结算。</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甲方提出工程变更和签证的费用，由乙方在施工前提出并补充编制工料单价预算书。变更估价时，工程量清单中有的项目单价，按乙方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u w:val="single"/>
          <w:lang w:eastAsia="zh-CN"/>
        </w:rPr>
        <w:t>壹万</w:t>
      </w:r>
      <w:r>
        <w:rPr>
          <w:rFonts w:hint="eastAsia" w:asciiTheme="minorEastAsia" w:hAnsiTheme="minorEastAsia" w:eastAsiaTheme="minorEastAsia" w:cstheme="minorEastAsia"/>
          <w:sz w:val="24"/>
          <w:szCs w:val="24"/>
          <w:u w:val="single"/>
        </w:rPr>
        <w:t>元</w:t>
      </w:r>
      <w:r>
        <w:rPr>
          <w:rFonts w:hint="eastAsia" w:asciiTheme="minorEastAsia" w:hAnsiTheme="minorEastAsia" w:eastAsiaTheme="minorEastAsia" w:cstheme="minorEastAsia"/>
          <w:sz w:val="24"/>
          <w:szCs w:val="24"/>
        </w:rPr>
        <w:t>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r>
        <w:rPr>
          <w:rFonts w:hint="eastAsia" w:asciiTheme="minorEastAsia" w:hAnsiTheme="minorEastAsia" w:cstheme="minorEastAsia"/>
          <w:sz w:val="24"/>
          <w:szCs w:val="24"/>
          <w:lang w:eastAsia="zh-CN"/>
        </w:rPr>
        <w:t>：</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杭州萧山国际机场</w:t>
      </w:r>
      <w:r>
        <w:rPr>
          <w:rFonts w:hint="eastAsia" w:asciiTheme="minorEastAsia" w:hAnsiTheme="minorEastAsia" w:cstheme="minorEastAsia"/>
          <w:sz w:val="24"/>
          <w:szCs w:val="24"/>
          <w:u w:val="single"/>
          <w:lang w:val="en-US" w:eastAsia="zh-CN"/>
        </w:rPr>
        <w:t>新建T4航站楼涉疫垃圾回收点</w:t>
      </w:r>
      <w:r>
        <w:rPr>
          <w:rFonts w:hint="eastAsia" w:asciiTheme="minorEastAsia" w:hAnsiTheme="minorEastAsia" w:cstheme="minorEastAsia"/>
          <w:sz w:val="24"/>
          <w:szCs w:val="24"/>
          <w:u w:val="single"/>
          <w:lang w:eastAsia="zh-CN"/>
        </w:rPr>
        <w:t>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二、质量保修期</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1．地基基础工程和主体结构工程为设计文件规定的工程合理使用年限；</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2．屋面防水工程、有防水要求的卫生间、房间和外墙面的防渗为5 年；</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3．装修工程为2 年；</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4．电气管线、给排水管道、设备安装工程为 2 年；</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5．供热与供冷系统为2 个采暖期、供冷期；</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6．住宅小区内的给排水设施、道路等配套工程为2年；</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质量保修期自工程竣工验收合格之日起计算。</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w:t>
      </w:r>
      <w:r>
        <w:rPr>
          <w:rFonts w:hint="eastAsia" w:asciiTheme="minorEastAsia" w:hAnsiTheme="minorEastAsia" w:eastAsiaTheme="minorEastAsia" w:cstheme="minorEastAsia"/>
          <w:sz w:val="24"/>
          <w:szCs w:val="24"/>
          <w:u w:val="single"/>
        </w:rPr>
        <w:t>24</w:t>
      </w:r>
      <w:r>
        <w:rPr>
          <w:rFonts w:hint="eastAsia" w:asciiTheme="minorEastAsia" w:hAnsiTheme="minorEastAsia" w:eastAsiaTheme="minorEastAsia" w:cstheme="minorEastAsia"/>
          <w:sz w:val="24"/>
          <w:szCs w:val="24"/>
        </w:rPr>
        <w:t>个月，缺陷责任期自工程竣工验收合格之日起计算。单位工程先于全部工程进行验收，单位工程缺陷责任期自单位工程验收合格之日起算。</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eastAsiaTheme="minorEastAsia" w:cstheme="minorEastAsia"/>
          <w:sz w:val="24"/>
          <w:szCs w:val="24"/>
          <w:u w:val="single"/>
        </w:rPr>
        <w:t>15</w:t>
      </w:r>
      <w:r>
        <w:rPr>
          <w:rFonts w:hint="eastAsia" w:asciiTheme="minorEastAsia" w:hAnsiTheme="minorEastAsia" w:eastAsiaTheme="minorEastAsia" w:cstheme="minorEastAsia"/>
          <w:sz w:val="24"/>
          <w:szCs w:val="24"/>
        </w:rPr>
        <w:t>天内无息返还质保金。</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w:t>
      </w:r>
      <w:r>
        <w:rPr>
          <w:rFonts w:hint="eastAsia" w:asciiTheme="minorEastAsia" w:hAnsiTheme="minorEastAsia" w:eastAsiaTheme="minorEastAsia" w:cstheme="minorEastAsia"/>
          <w:sz w:val="24"/>
          <w:szCs w:val="24"/>
          <w:u w:val="single"/>
        </w:rPr>
        <w:t>2</w:t>
      </w:r>
      <w:r>
        <w:rPr>
          <w:rFonts w:hint="eastAsia" w:asciiTheme="minorEastAsia" w:hAnsiTheme="minorEastAsia" w:eastAsiaTheme="minorEastAsia" w:cstheme="minorEastAsia"/>
          <w:sz w:val="24"/>
          <w:szCs w:val="24"/>
        </w:rPr>
        <w:t>天内派人保修。承包人不在约定期限内派人保修的，发包人可以自行委托他人修理。费用从质量保证金中扣除。修复部分的质保期自修复之日起重新开始计算。</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发包人(公章)：                     承包人(公章)：    </w:t>
      </w: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杭州萧山国际机场</w:t>
      </w:r>
      <w:r>
        <w:rPr>
          <w:rFonts w:hint="eastAsia" w:asciiTheme="minorEastAsia" w:hAnsiTheme="minorEastAsia" w:cstheme="minorEastAsia"/>
          <w:b/>
          <w:sz w:val="24"/>
          <w:szCs w:val="24"/>
          <w:u w:val="single"/>
          <w:lang w:val="en-US" w:eastAsia="zh-CN"/>
        </w:rPr>
        <w:t>新建T4航站楼涉疫垃圾回收点项目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w:t>
      </w:r>
      <w:r>
        <w:rPr>
          <w:rFonts w:hint="eastAsia" w:asciiTheme="minorEastAsia" w:hAnsiTheme="minorEastAsia" w:eastAsiaTheme="minorEastAsia" w:cstheme="minorEastAsia"/>
          <w:sz w:val="24"/>
          <w:szCs w:val="24"/>
          <w:u w:val="single"/>
        </w:rPr>
        <w:t>20%</w:t>
      </w:r>
      <w:r>
        <w:rPr>
          <w:rFonts w:hint="eastAsia" w:asciiTheme="minorEastAsia" w:hAnsiTheme="minorEastAsia" w:eastAsiaTheme="minorEastAsia" w:cstheme="minorEastAsia"/>
          <w:sz w:val="24"/>
          <w:szCs w:val="24"/>
        </w:rPr>
        <w:t>，如发生飞行事故扣合同总款</w:t>
      </w:r>
      <w:r>
        <w:rPr>
          <w:rFonts w:hint="eastAsia" w:asciiTheme="minorEastAsia" w:hAnsiTheme="minorEastAsia" w:eastAsiaTheme="minorEastAsia" w:cstheme="minorEastAsia"/>
          <w:sz w:val="24"/>
          <w:szCs w:val="24"/>
          <w:u w:val="single"/>
        </w:rPr>
        <w:t>50％</w:t>
      </w:r>
      <w:r>
        <w:rPr>
          <w:rFonts w:hint="eastAsia" w:asciiTheme="minorEastAsia" w:hAnsiTheme="minorEastAsia" w:eastAsiaTheme="minorEastAsia" w:cstheme="minorEastAsia"/>
          <w:sz w:val="24"/>
          <w:szCs w:val="24"/>
        </w:rPr>
        <w:t>，并追究法律责任。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w:t>
      </w:r>
      <w:r>
        <w:rPr>
          <w:rFonts w:hint="eastAsia" w:asciiTheme="minorEastAsia" w:hAnsiTheme="minorEastAsia" w:eastAsiaTheme="minorEastAsia" w:cstheme="minorEastAsia"/>
          <w:sz w:val="24"/>
          <w:szCs w:val="24"/>
          <w:u w:val="single"/>
        </w:rPr>
        <w:t>《</w:t>
      </w:r>
      <w:r>
        <w:rPr>
          <w:rFonts w:hint="eastAsia" w:asciiTheme="minorEastAsia" w:hAnsiTheme="minorEastAsia" w:cstheme="minorEastAsia"/>
          <w:sz w:val="24"/>
          <w:szCs w:val="24"/>
          <w:u w:val="single"/>
          <w:lang w:eastAsia="zh-CN"/>
        </w:rPr>
        <w:t>杭州萧山国际机场</w:t>
      </w:r>
      <w:r>
        <w:rPr>
          <w:rFonts w:hint="eastAsia" w:asciiTheme="minorEastAsia" w:hAnsiTheme="minorEastAsia" w:cstheme="minorEastAsia"/>
          <w:sz w:val="24"/>
          <w:szCs w:val="24"/>
          <w:u w:val="single"/>
          <w:lang w:val="en-US" w:eastAsia="zh-CN"/>
        </w:rPr>
        <w:t>新建T4航站楼涉疫垃圾回收点</w:t>
      </w:r>
      <w:r>
        <w:rPr>
          <w:rFonts w:hint="eastAsia" w:asciiTheme="minorEastAsia" w:hAnsiTheme="minorEastAsia" w:cstheme="minorEastAsia"/>
          <w:sz w:val="24"/>
          <w:szCs w:val="24"/>
          <w:u w:val="single"/>
          <w:lang w:eastAsia="zh-CN"/>
        </w:rPr>
        <w:t>项目</w:t>
      </w:r>
      <w:r>
        <w:rPr>
          <w:rFonts w:hint="eastAsia" w:asciiTheme="minorEastAsia" w:hAnsiTheme="minorEastAsia" w:eastAsiaTheme="minorEastAsia" w:cstheme="minorEastAsia"/>
          <w:sz w:val="24"/>
          <w:szCs w:val="24"/>
          <w:u w:val="single"/>
          <w:lang w:val="en-US" w:eastAsia="zh-CN"/>
        </w:rPr>
        <w:t>施工合同</w:t>
      </w:r>
      <w:r>
        <w:rPr>
          <w:rFonts w:hint="eastAsia" w:asciiTheme="minorEastAsia" w:hAnsiTheme="minorEastAsia" w:eastAsiaTheme="minorEastAsia" w:cstheme="minorEastAsia"/>
          <w:sz w:val="24"/>
          <w:szCs w:val="24"/>
          <w:u w:val="single"/>
        </w:rPr>
        <w:t>》</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承担由此产生的实际损失，且机场公司有权解除合同。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9"/>
        <w:keepNext w:val="0"/>
        <w:keepLines w:val="0"/>
        <w:pageBreakBefore/>
        <w:widowControl w:val="0"/>
        <w:kinsoku/>
        <w:wordWrap/>
        <w:overflowPunct/>
        <w:topLinePunct w:val="0"/>
        <w:autoSpaceDE/>
        <w:autoSpaceDN/>
        <w:bidi w:val="0"/>
        <w:adjustRightInd/>
        <w:snapToGrid/>
        <w:jc w:val="center"/>
        <w:textAlignment w:val="auto"/>
      </w:pPr>
      <w:bookmarkStart w:id="18" w:name="_Toc27673"/>
      <w:r>
        <w:rPr>
          <w:rFonts w:hint="eastAsia"/>
        </w:rPr>
        <w:t>第</w:t>
      </w:r>
      <w:r>
        <w:rPr>
          <w:rFonts w:hint="eastAsia"/>
          <w:lang w:val="en-US" w:eastAsia="zh-CN"/>
        </w:rPr>
        <w:t>四</w:t>
      </w:r>
      <w:r>
        <w:rPr>
          <w:rFonts w:hint="eastAsia"/>
        </w:rPr>
        <w:t>章  工程量清单</w:t>
      </w:r>
      <w:bookmarkEnd w:id="16"/>
      <w:r>
        <w:rPr>
          <w:rFonts w:hint="eastAsia"/>
        </w:rPr>
        <w:t>（详见附件）</w:t>
      </w:r>
      <w:bookmarkEnd w:id="18"/>
    </w:p>
    <w:p>
      <w:pPr>
        <w:widowControl/>
        <w:jc w:val="left"/>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Cambria" w:hAnsi="Cambria" w:eastAsia="黑体" w:cs="Times New Roman"/>
          <w:b/>
          <w:bCs/>
          <w:kern w:val="0"/>
          <w:sz w:val="32"/>
          <w:szCs w:val="32"/>
          <w:lang w:val="en-US" w:eastAsia="zh-CN"/>
        </w:rPr>
      </w:pPr>
      <w:r>
        <w:rPr>
          <w:rFonts w:hint="eastAsia" w:ascii="Cambria" w:hAnsi="Cambria" w:eastAsia="黑体" w:cs="Times New Roman"/>
          <w:b/>
          <w:bCs/>
          <w:kern w:val="0"/>
          <w:sz w:val="32"/>
          <w:szCs w:val="32"/>
          <w:lang w:val="en-US" w:eastAsia="zh-CN"/>
        </w:rPr>
        <w:t>附件一：新建T4航站楼涉疫垃圾回收点项目工程量清单</w:t>
      </w: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center"/>
      </w:pPr>
      <w:bookmarkStart w:id="19" w:name="_Toc9507"/>
      <w:r>
        <w:rPr>
          <w:rFonts w:hint="eastAsia"/>
        </w:rPr>
        <w:t>第</w:t>
      </w:r>
      <w:r>
        <w:rPr>
          <w:rFonts w:hint="eastAsia"/>
          <w:lang w:val="en-US" w:eastAsia="zh-CN"/>
        </w:rPr>
        <w:t>五</w:t>
      </w:r>
      <w:r>
        <w:rPr>
          <w:rFonts w:hint="eastAsia"/>
        </w:rPr>
        <w:t xml:space="preserve">章  </w:t>
      </w:r>
      <w:r>
        <w:rPr>
          <w:rFonts w:hint="eastAsia"/>
          <w:lang w:val="en-US" w:eastAsia="zh-CN"/>
        </w:rPr>
        <w:t>图纸</w:t>
      </w:r>
      <w:r>
        <w:rPr>
          <w:rFonts w:hint="eastAsia"/>
        </w:rPr>
        <w:t>（详见附件）</w:t>
      </w:r>
      <w:bookmarkEnd w:id="19"/>
    </w:p>
    <w:p>
      <w:pPr>
        <w:widowControl/>
        <w:jc w:val="left"/>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Cambria" w:hAnsi="Cambria" w:eastAsia="黑体" w:cs="Times New Roman"/>
          <w:b/>
          <w:bCs/>
          <w:kern w:val="0"/>
          <w:sz w:val="32"/>
          <w:szCs w:val="32"/>
          <w:lang w:val="en-US" w:eastAsia="zh-CN"/>
        </w:rPr>
      </w:pPr>
      <w:r>
        <w:rPr>
          <w:rFonts w:hint="eastAsia" w:ascii="Cambria" w:hAnsi="Cambria" w:eastAsia="黑体" w:cs="Times New Roman"/>
          <w:b/>
          <w:bCs/>
          <w:kern w:val="0"/>
          <w:sz w:val="32"/>
          <w:szCs w:val="32"/>
          <w:lang w:val="en-US" w:eastAsia="zh-CN"/>
        </w:rPr>
        <w:t>附件二：防疫垃圾房示意图</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ascii="Cambria" w:hAnsi="Cambria" w:eastAsia="黑体" w:cs="Times New Roman"/>
          <w:b/>
          <w:bCs/>
          <w:kern w:val="0"/>
          <w:sz w:val="32"/>
          <w:szCs w:val="32"/>
        </w:rPr>
      </w:pPr>
      <w:r>
        <w:rPr>
          <w:rFonts w:hint="eastAsia" w:ascii="Cambria" w:hAnsi="Cambria" w:eastAsia="黑体" w:cs="Times New Roman"/>
          <w:b/>
          <w:bCs/>
          <w:kern w:val="0"/>
          <w:sz w:val="32"/>
          <w:szCs w:val="32"/>
          <w:lang w:val="en-US" w:eastAsia="zh-CN"/>
        </w:rPr>
        <w:t>附件三：</w:t>
      </w:r>
      <w:r>
        <w:rPr>
          <w:rFonts w:hint="eastAsia" w:ascii="Cambria" w:hAnsi="Cambria" w:eastAsia="黑体" w:cs="Times New Roman"/>
          <w:b/>
          <w:bCs/>
          <w:kern w:val="0"/>
          <w:sz w:val="32"/>
          <w:szCs w:val="32"/>
        </w:rPr>
        <w:t>防疫用房外标示牌</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both"/>
      </w:pPr>
      <w:bookmarkStart w:id="20" w:name="_Toc275274581"/>
      <w:bookmarkStart w:id="21" w:name="_Toc448097409"/>
      <w:r>
        <w:rPr>
          <w:rFonts w:hint="eastAsia"/>
        </w:rPr>
        <w:t xml:space="preserve"> </w:t>
      </w:r>
      <w:r>
        <w:t xml:space="preserve">                </w:t>
      </w:r>
    </w:p>
    <w:p>
      <w:pPr>
        <w:pStyle w:val="9"/>
        <w:jc w:val="both"/>
      </w:pPr>
    </w:p>
    <w:p>
      <w:pPr>
        <w:pStyle w:val="9"/>
        <w:jc w:val="both"/>
      </w:pPr>
    </w:p>
    <w:p>
      <w:pPr>
        <w:pStyle w:val="9"/>
        <w:jc w:val="both"/>
      </w:pPr>
    </w:p>
    <w:p/>
    <w:p/>
    <w:p/>
    <w:p/>
    <w:p/>
    <w:p/>
    <w:p/>
    <w:p/>
    <w:p/>
    <w:p/>
    <w:p/>
    <w:p/>
    <w:p/>
    <w:p/>
    <w:p/>
    <w:p/>
    <w:p/>
    <w:p/>
    <w:p/>
    <w:p/>
    <w:p/>
    <w:p/>
    <w:p/>
    <w:p/>
    <w:p/>
    <w:p/>
    <w:p/>
    <w:p/>
    <w:p/>
    <w:p/>
    <w:p/>
    <w:p>
      <w:pPr>
        <w:pStyle w:val="9"/>
        <w:jc w:val="both"/>
      </w:pPr>
    </w:p>
    <w:p>
      <w:pPr>
        <w:pStyle w:val="9"/>
        <w:numPr>
          <w:ilvl w:val="0"/>
          <w:numId w:val="0"/>
        </w:numPr>
        <w:jc w:val="center"/>
        <w:rPr>
          <w:rFonts w:hint="eastAsia"/>
          <w:lang w:val="en-US" w:eastAsia="zh-CN"/>
        </w:rPr>
      </w:pPr>
      <w:bookmarkStart w:id="22" w:name="_Toc17683"/>
      <w:r>
        <w:rPr>
          <w:rFonts w:hint="eastAsia"/>
          <w:lang w:val="en-US" w:eastAsia="zh-CN"/>
        </w:rPr>
        <w:t>第六章</w:t>
      </w:r>
      <w:r>
        <w:t xml:space="preserve"> </w:t>
      </w:r>
      <w:r>
        <w:rPr>
          <w:rFonts w:hint="eastAsia"/>
          <w:lang w:val="en-US" w:eastAsia="zh-CN"/>
        </w:rPr>
        <w:t>技术标准及要求</w:t>
      </w:r>
      <w:bookmarkEnd w:id="22"/>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：主要工作内容具体详见图纸及工程量清单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依据设计施工图纸和技术文件要求，本工程项目的施工必须达到以下现行中华人民共和国及省、市、行业的一切有关法规、规范的要求，如下述标准及规范要求有出入则以较严格者为准。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3"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vAlign w:val="center"/>
          </w:tcPr>
          <w:p>
            <w:pPr>
              <w:snapToGrid w:val="0"/>
              <w:jc w:val="center"/>
              <w:rPr>
                <w:rFonts w:ascii="宋体" w:hAnsi="宋体" w:cs="宋体"/>
                <w:sz w:val="22"/>
              </w:rPr>
            </w:pPr>
            <w:r>
              <w:rPr>
                <w:rFonts w:hint="eastAsia" w:ascii="宋体" w:hAnsi="宋体" w:cs="宋体"/>
                <w:sz w:val="22"/>
              </w:rPr>
              <w:t>材料</w:t>
            </w:r>
          </w:p>
        </w:tc>
        <w:tc>
          <w:tcPr>
            <w:tcW w:w="4714" w:type="dxa"/>
            <w:vAlign w:val="center"/>
          </w:tcPr>
          <w:p>
            <w:pPr>
              <w:snapToGrid w:val="0"/>
              <w:jc w:val="center"/>
              <w:rPr>
                <w:rFonts w:ascii="宋体" w:hAnsi="宋体" w:cs="宋体"/>
                <w:sz w:val="22"/>
              </w:rPr>
            </w:pPr>
            <w:r>
              <w:rPr>
                <w:rFonts w:hint="eastAsia" w:ascii="宋体" w:hAnsi="宋体" w:cs="宋体"/>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rPr>
              <w:t>1</w:t>
            </w:r>
          </w:p>
        </w:tc>
        <w:tc>
          <w:tcPr>
            <w:tcW w:w="2783" w:type="dxa"/>
            <w:vAlign w:val="center"/>
          </w:tcPr>
          <w:p>
            <w:pPr>
              <w:snapToGrid w:val="0"/>
              <w:rPr>
                <w:rFonts w:ascii="宋体" w:hAnsi="宋体" w:cs="宋体"/>
                <w:bCs/>
                <w:sz w:val="22"/>
              </w:rPr>
            </w:pPr>
            <w:r>
              <w:rPr>
                <w:rFonts w:hint="eastAsia" w:ascii="宋体" w:hAnsi="宋体" w:cs="宋体"/>
                <w:bCs/>
                <w:sz w:val="22"/>
              </w:rPr>
              <w:t>电力电缆</w:t>
            </w:r>
          </w:p>
        </w:tc>
        <w:tc>
          <w:tcPr>
            <w:tcW w:w="4714" w:type="dxa"/>
            <w:vAlign w:val="center"/>
          </w:tcPr>
          <w:p>
            <w:pPr>
              <w:snapToGrid w:val="0"/>
              <w:rPr>
                <w:rFonts w:ascii="宋体" w:hAnsi="宋体" w:cs="宋体"/>
                <w:bCs/>
                <w:sz w:val="22"/>
              </w:rPr>
            </w:pPr>
            <w:r>
              <w:rPr>
                <w:rFonts w:hint="eastAsia" w:ascii="宋体" w:hAnsi="宋体" w:cs="宋体"/>
                <w:bCs/>
                <w:sz w:val="22"/>
              </w:rPr>
              <w:t>远东</w:t>
            </w:r>
            <w:r>
              <w:rPr>
                <w:rFonts w:hint="eastAsia" w:ascii="宋体" w:hAnsi="宋体" w:cs="宋体"/>
                <w:bCs/>
                <w:sz w:val="22"/>
                <w:lang w:val="en-US" w:eastAsia="zh-CN"/>
              </w:rPr>
              <w:t>电缆</w:t>
            </w:r>
            <w:r>
              <w:rPr>
                <w:rFonts w:hint="eastAsia" w:ascii="宋体" w:hAnsi="宋体" w:cs="宋体"/>
                <w:bCs/>
                <w:sz w:val="22"/>
              </w:rPr>
              <w:t>、</w:t>
            </w:r>
            <w:r>
              <w:rPr>
                <w:rFonts w:hint="eastAsia" w:ascii="宋体" w:hAnsi="宋体" w:cs="宋体"/>
                <w:bCs/>
                <w:sz w:val="22"/>
                <w:lang w:val="en-US" w:eastAsia="zh-CN"/>
              </w:rPr>
              <w:t>熊猫</w:t>
            </w:r>
            <w:r>
              <w:rPr>
                <w:rFonts w:hint="eastAsia" w:ascii="宋体" w:hAnsi="宋体" w:cs="宋体"/>
                <w:bCs/>
                <w:sz w:val="22"/>
              </w:rPr>
              <w:t>、</w:t>
            </w:r>
            <w:r>
              <w:rPr>
                <w:rFonts w:hint="eastAsia" w:ascii="宋体" w:hAnsi="宋体" w:cs="宋体"/>
                <w:bCs/>
                <w:sz w:val="22"/>
                <w:lang w:val="en-US" w:eastAsia="zh-CN"/>
              </w:rPr>
              <w:t>上上</w:t>
            </w:r>
            <w:r>
              <w:rPr>
                <w:rFonts w:hint="eastAsia" w:ascii="宋体" w:hAnsi="宋体" w:cs="宋体"/>
                <w:bCs/>
                <w:sz w:val="22"/>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ascii="宋体" w:hAnsi="宋体" w:cs="宋体"/>
                <w:sz w:val="22"/>
              </w:rPr>
            </w:pPr>
            <w:r>
              <w:rPr>
                <w:rFonts w:hint="eastAsia" w:ascii="宋体" w:hAnsi="宋体" w:cs="宋体"/>
                <w:sz w:val="22"/>
              </w:rPr>
              <w:t>2</w:t>
            </w:r>
          </w:p>
        </w:tc>
        <w:tc>
          <w:tcPr>
            <w:tcW w:w="2783" w:type="dxa"/>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PVC线管</w:t>
            </w:r>
          </w:p>
        </w:tc>
        <w:tc>
          <w:tcPr>
            <w:tcW w:w="4714" w:type="dxa"/>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中材、伟星、公元</w:t>
            </w:r>
            <w:r>
              <w:rPr>
                <w:rFonts w:hint="eastAsia" w:ascii="宋体" w:hAnsi="宋体" w:cs="宋体"/>
                <w:bCs/>
                <w:sz w:val="22"/>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rPr>
              <w:t>3</w:t>
            </w:r>
          </w:p>
        </w:tc>
        <w:tc>
          <w:tcPr>
            <w:tcW w:w="2783" w:type="dxa"/>
            <w:vAlign w:val="center"/>
          </w:tcPr>
          <w:p>
            <w:pPr>
              <w:snapToGrid w:val="0"/>
              <w:rPr>
                <w:rFonts w:hint="eastAsia" w:ascii="宋体" w:hAnsi="宋体" w:cs="宋体"/>
                <w:bCs/>
                <w:sz w:val="22"/>
                <w:lang w:val="en-US" w:eastAsia="zh-CN"/>
              </w:rPr>
            </w:pPr>
            <w:r>
              <w:rPr>
                <w:rFonts w:hint="eastAsia" w:ascii="宋体" w:hAnsi="宋体" w:cs="宋体"/>
                <w:bCs/>
                <w:sz w:val="22"/>
                <w:lang w:val="en-US" w:eastAsia="zh-CN"/>
              </w:rPr>
              <w:t>LED平板灯</w:t>
            </w:r>
          </w:p>
        </w:tc>
        <w:tc>
          <w:tcPr>
            <w:tcW w:w="4714" w:type="dxa"/>
            <w:vAlign w:val="center"/>
          </w:tcPr>
          <w:p>
            <w:pPr>
              <w:snapToGrid w:val="0"/>
              <w:rPr>
                <w:rFonts w:hint="eastAsia" w:ascii="宋体" w:hAnsi="宋体" w:cs="宋体"/>
                <w:bCs/>
                <w:sz w:val="22"/>
                <w:lang w:val="en-US" w:eastAsia="zh-CN"/>
              </w:rPr>
            </w:pPr>
            <w:r>
              <w:rPr>
                <w:rFonts w:hint="eastAsia" w:ascii="宋体" w:hAnsi="宋体" w:cs="宋体"/>
                <w:bCs/>
                <w:sz w:val="22"/>
                <w:lang w:val="en-US" w:eastAsia="zh-CN"/>
              </w:rPr>
              <w:t>雷士、欧普、三雄极光</w:t>
            </w:r>
            <w:r>
              <w:rPr>
                <w:rFonts w:hint="eastAsia" w:ascii="宋体" w:hAnsi="宋体" w:cs="宋体"/>
                <w:bCs/>
                <w:sz w:val="22"/>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rPr>
              <w:t>4</w:t>
            </w:r>
          </w:p>
        </w:tc>
        <w:tc>
          <w:tcPr>
            <w:tcW w:w="2783" w:type="dxa"/>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开关</w:t>
            </w:r>
          </w:p>
        </w:tc>
        <w:tc>
          <w:tcPr>
            <w:tcW w:w="4714" w:type="dxa"/>
            <w:vAlign w:val="center"/>
          </w:tcPr>
          <w:p>
            <w:pPr>
              <w:snapToGrid w:val="0"/>
              <w:rPr>
                <w:rFonts w:ascii="宋体" w:hAnsi="宋体" w:cs="宋体"/>
                <w:b/>
                <w:bCs w:val="0"/>
                <w:sz w:val="22"/>
              </w:rPr>
            </w:pPr>
            <w:r>
              <w:rPr>
                <w:rFonts w:hint="eastAsia" w:ascii="宋体" w:hAnsi="宋体" w:cs="宋体"/>
                <w:sz w:val="22"/>
              </w:rPr>
              <w:t>鸿雁、正泰、</w:t>
            </w:r>
            <w:r>
              <w:rPr>
                <w:rFonts w:hint="eastAsia" w:ascii="宋体" w:hAnsi="宋体" w:cs="宋体"/>
                <w:sz w:val="22"/>
                <w:lang w:val="en-US" w:eastAsia="zh-CN"/>
              </w:rPr>
              <w:t>公牛</w:t>
            </w:r>
            <w:r>
              <w:rPr>
                <w:rFonts w:hint="eastAsia" w:ascii="宋体" w:hAnsi="宋体" w:cs="宋体"/>
                <w:bCs/>
                <w:sz w:val="22"/>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ascii="宋体" w:hAnsi="宋体" w:cs="宋体"/>
                <w:sz w:val="22"/>
              </w:rPr>
            </w:pPr>
            <w:r>
              <w:rPr>
                <w:rFonts w:hint="eastAsia" w:ascii="宋体" w:hAnsi="宋体" w:cs="宋体"/>
                <w:sz w:val="22"/>
                <w:lang w:val="en-US" w:eastAsia="zh-CN"/>
              </w:rPr>
              <w:t>5</w:t>
            </w:r>
          </w:p>
        </w:tc>
        <w:tc>
          <w:tcPr>
            <w:tcW w:w="2783" w:type="dxa"/>
            <w:vAlign w:val="center"/>
          </w:tcPr>
          <w:p>
            <w:pPr>
              <w:snapToGrid w:val="0"/>
              <w:rPr>
                <w:rFonts w:hint="default" w:ascii="宋体" w:hAnsi="宋体" w:cs="宋体" w:eastAsiaTheme="minorEastAsia"/>
                <w:bCs/>
                <w:sz w:val="22"/>
                <w:lang w:val="en-US" w:eastAsia="zh-CN"/>
              </w:rPr>
            </w:pPr>
            <w:r>
              <w:rPr>
                <w:rFonts w:hint="eastAsia" w:ascii="宋体" w:hAnsi="宋体" w:cs="宋体"/>
                <w:bCs/>
                <w:sz w:val="22"/>
                <w:lang w:val="en-US" w:eastAsia="zh-CN"/>
              </w:rPr>
              <w:t>插座</w:t>
            </w:r>
          </w:p>
        </w:tc>
        <w:tc>
          <w:tcPr>
            <w:tcW w:w="4714" w:type="dxa"/>
            <w:vAlign w:val="center"/>
          </w:tcPr>
          <w:p>
            <w:pPr>
              <w:snapToGrid w:val="0"/>
              <w:rPr>
                <w:rFonts w:ascii="宋体" w:hAnsi="宋体" w:cs="宋体"/>
                <w:bCs/>
                <w:sz w:val="22"/>
              </w:rPr>
            </w:pPr>
            <w:r>
              <w:rPr>
                <w:rFonts w:hint="eastAsia" w:ascii="宋体" w:hAnsi="宋体" w:cs="宋体"/>
                <w:sz w:val="22"/>
              </w:rPr>
              <w:t>鸿雁、正泰、</w:t>
            </w:r>
            <w:r>
              <w:rPr>
                <w:rFonts w:hint="eastAsia" w:ascii="宋体" w:hAnsi="宋体" w:cs="宋体"/>
                <w:sz w:val="22"/>
                <w:lang w:val="en-US" w:eastAsia="zh-CN"/>
              </w:rPr>
              <w:t>公牛</w:t>
            </w:r>
            <w:r>
              <w:rPr>
                <w:rFonts w:hint="eastAsia" w:ascii="宋体" w:hAnsi="宋体" w:cs="宋体"/>
                <w:bCs/>
                <w:sz w:val="22"/>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ascii="宋体" w:hAnsi="宋体" w:cs="宋体" w:eastAsiaTheme="minorEastAsia"/>
                <w:sz w:val="22"/>
                <w:lang w:val="en-US" w:eastAsia="zh-CN"/>
              </w:rPr>
            </w:pPr>
            <w:r>
              <w:rPr>
                <w:rFonts w:hint="eastAsia" w:ascii="宋体" w:hAnsi="宋体" w:cs="宋体"/>
                <w:sz w:val="22"/>
                <w:lang w:val="en-US" w:eastAsia="zh-CN"/>
              </w:rPr>
              <w:t>6</w:t>
            </w:r>
          </w:p>
        </w:tc>
        <w:tc>
          <w:tcPr>
            <w:tcW w:w="2783" w:type="dxa"/>
            <w:vAlign w:val="center"/>
          </w:tcPr>
          <w:p>
            <w:pPr>
              <w:snapToGrid w:val="0"/>
              <w:rPr>
                <w:rFonts w:hint="eastAsia" w:ascii="宋体" w:hAnsi="宋体" w:cs="宋体" w:eastAsiaTheme="minorEastAsia"/>
                <w:bCs/>
                <w:sz w:val="22"/>
                <w:lang w:val="en-US" w:eastAsia="zh-CN"/>
              </w:rPr>
            </w:pPr>
            <w:r>
              <w:rPr>
                <w:rFonts w:hint="eastAsia" w:ascii="宋体" w:hAnsi="宋体" w:cs="宋体"/>
                <w:bCs/>
                <w:sz w:val="22"/>
                <w:lang w:val="en-US" w:eastAsia="zh-CN"/>
              </w:rPr>
              <w:t>空开</w:t>
            </w:r>
          </w:p>
        </w:tc>
        <w:tc>
          <w:tcPr>
            <w:tcW w:w="4714" w:type="dxa"/>
            <w:vAlign w:val="center"/>
          </w:tcPr>
          <w:p>
            <w:pPr>
              <w:snapToGrid w:val="0"/>
              <w:rPr>
                <w:rFonts w:hint="default" w:ascii="宋体" w:hAnsi="宋体" w:cs="宋体" w:eastAsiaTheme="minorEastAsia"/>
                <w:bCs/>
                <w:sz w:val="22"/>
                <w:lang w:val="en-US" w:eastAsia="zh-CN"/>
              </w:rPr>
            </w:pPr>
            <w:r>
              <w:rPr>
                <w:rFonts w:hint="eastAsia" w:ascii="宋体" w:hAnsi="宋体" w:cs="宋体"/>
                <w:bCs/>
                <w:sz w:val="22"/>
              </w:rPr>
              <w:t>施耐德、ABB、西门子或“相当于”品牌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keepNext w:val="0"/>
        <w:keepLines w:val="0"/>
        <w:pageBreakBefore w:val="0"/>
        <w:widowControl w:val="0"/>
        <w:kinsoku/>
        <w:wordWrap/>
        <w:overflowPunct/>
        <w:topLinePunct w:val="0"/>
        <w:autoSpaceDE/>
        <w:autoSpaceDN/>
        <w:bidi w:val="0"/>
        <w:adjustRightInd w:val="0"/>
        <w:snapToGrid w:val="0"/>
        <w:spacing w:line="360" w:lineRule="exact"/>
        <w:ind w:left="0" w:leftChars="0" w:right="0" w:rightChars="0" w:firstLine="440" w:firstLineChars="200"/>
        <w:jc w:val="both"/>
        <w:textAlignment w:val="auto"/>
        <w:outlineLvl w:val="9"/>
        <w:rPr>
          <w:rFonts w:ascii="宋体" w:hAnsi="宋体" w:cs="宋体"/>
          <w:sz w:val="22"/>
        </w:rPr>
      </w:pPr>
      <w:r>
        <w:rPr>
          <w:rFonts w:hint="eastAsia" w:ascii="宋体" w:hAnsi="宋体" w:cs="宋体"/>
          <w:sz w:val="22"/>
        </w:rPr>
        <w:t>1）在指示规定的时间内，将发包人确认不合格的任何材料从现场运走。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w:t>
      </w:r>
      <w:r>
        <w:rPr>
          <w:rFonts w:hint="eastAsia" w:ascii="宋体" w:hAnsi="宋体" w:cs="宋体"/>
          <w:sz w:val="22"/>
          <w:lang w:val="en-US" w:eastAsia="zh-CN"/>
        </w:rPr>
        <w:t>和</w:t>
      </w:r>
      <w:r>
        <w:rPr>
          <w:rFonts w:hint="eastAsia" w:ascii="宋体" w:hAnsi="宋体" w:cs="宋体"/>
          <w:sz w:val="22"/>
        </w:rPr>
        <w:t>相应的技术标准及规范的规定。若产生施工偏差，承包人必须无条件返工，直至达到施工图纸</w:t>
      </w:r>
      <w:r>
        <w:rPr>
          <w:rFonts w:hint="eastAsia" w:ascii="宋体" w:hAnsi="宋体" w:cs="宋体"/>
          <w:sz w:val="22"/>
          <w:lang w:val="en-US" w:eastAsia="zh-CN"/>
        </w:rPr>
        <w:t>和</w:t>
      </w:r>
      <w:r>
        <w:rPr>
          <w:rFonts w:hint="eastAsia" w:ascii="宋体" w:hAnsi="宋体" w:cs="宋体"/>
          <w:sz w:val="22"/>
        </w:rPr>
        <w:t>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cs="宋体"/>
          <w:b/>
          <w:bCs/>
          <w:sz w:val="22"/>
        </w:rPr>
        <w:t>承包人应替发包人办理进入现场的手续和亲自陪同。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3.5.3承包人应严格按已确认设计图纸和施工技术方案组织施工，并无条件地接受发包人对施工质量的监督和管理。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3"/>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5.1施工临设在建设单位指定区域自行搭设，采用立式框架式临时围界（详见第</w:t>
      </w:r>
      <w:r>
        <w:rPr>
          <w:rFonts w:hint="eastAsia" w:ascii="宋体" w:hAnsi="宋体" w:cs="宋体"/>
          <w:b/>
          <w:sz w:val="22"/>
          <w:lang w:val="en-US" w:eastAsia="zh-CN"/>
        </w:rPr>
        <w:t>八</w:t>
      </w:r>
      <w:r>
        <w:rPr>
          <w:rFonts w:hint="eastAsia" w:ascii="宋体" w:hAnsi="宋体" w:cs="宋体"/>
          <w:b/>
          <w:sz w:val="22"/>
        </w:rPr>
        <w:t>章）</w:t>
      </w:r>
      <w:r>
        <w:rPr>
          <w:rFonts w:hint="eastAsia" w:ascii="宋体" w:hAnsi="宋体" w:cs="宋体"/>
          <w:b/>
          <w:sz w:val="22"/>
          <w:lang w:eastAsia="zh-CN"/>
        </w:rPr>
        <w:t>，</w:t>
      </w:r>
      <w:r>
        <w:rPr>
          <w:rFonts w:hint="eastAsia" w:ascii="宋体" w:hAnsi="宋体" w:cs="宋体"/>
          <w:b/>
          <w:sz w:val="22"/>
          <w:lang w:val="en-US" w:eastAsia="zh-CN"/>
        </w:rPr>
        <w:t>施工进场前方案</w:t>
      </w:r>
      <w:r>
        <w:rPr>
          <w:rFonts w:hint="eastAsia" w:ascii="宋体" w:hAnsi="宋体" w:cs="宋体"/>
          <w:b/>
          <w:sz w:val="22"/>
        </w:rPr>
        <w:t>报招标人同意后方可搭建</w:t>
      </w:r>
      <w:r>
        <w:rPr>
          <w:rFonts w:hint="eastAsia" w:ascii="宋体" w:hAnsi="宋体" w:cs="宋体"/>
          <w:b/>
          <w:sz w:val="22"/>
          <w:lang w:eastAsia="zh-CN"/>
        </w:rPr>
        <w:t>。</w:t>
      </w:r>
      <w:r>
        <w:rPr>
          <w:rFonts w:hint="eastAsia" w:ascii="宋体" w:hAnsi="宋体" w:cs="宋体"/>
          <w:b/>
          <w:sz w:val="22"/>
        </w:rPr>
        <w:t>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2</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本工程为固定单价合同。请投标人依据本项目招标内容、技术标准及要求、工程量清单及图纸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5.5</w:t>
      </w:r>
      <w:r>
        <w:rPr>
          <w:rFonts w:hint="eastAsia" w:ascii="宋体" w:hAnsi="宋体" w:cs="宋体"/>
          <w:b/>
          <w:bCs w:val="0"/>
          <w:sz w:val="22"/>
        </w:rPr>
        <w:t>计日工单价最高限价</w:t>
      </w:r>
      <w:r>
        <w:rPr>
          <w:rFonts w:hint="eastAsia" w:ascii="宋体" w:hAnsi="宋体" w:cs="宋体"/>
          <w:b/>
          <w:bCs w:val="0"/>
          <w:sz w:val="22"/>
          <w:lang w:val="en-US" w:eastAsia="zh-CN"/>
        </w:rPr>
        <w:t>260</w:t>
      </w:r>
      <w:r>
        <w:rPr>
          <w:rFonts w:hint="eastAsia" w:ascii="宋体" w:hAnsi="宋体" w:cs="宋体"/>
          <w:b/>
          <w:bCs w:val="0"/>
          <w:sz w:val="22"/>
        </w:rPr>
        <w:t>元/工日。</w:t>
      </w:r>
    </w:p>
    <w:p>
      <w:pPr>
        <w:snapToGrid w:val="0"/>
        <w:spacing w:line="360" w:lineRule="exact"/>
        <w:ind w:firstLine="442" w:firstLineChars="200"/>
        <w:rPr>
          <w:rFonts w:hint="eastAsia" w:ascii="宋体" w:hAnsi="宋体" w:cs="宋体"/>
          <w:b/>
          <w:bCs w:val="0"/>
          <w:sz w:val="22"/>
        </w:rPr>
      </w:pPr>
      <w:r>
        <w:rPr>
          <w:rFonts w:hint="eastAsia" w:ascii="宋体" w:hAnsi="宋体" w:cs="宋体"/>
          <w:b/>
          <w:bCs w:val="0"/>
          <w:sz w:val="22"/>
          <w:lang w:val="en-US" w:eastAsia="zh-CN"/>
        </w:rPr>
        <w:t>5.6</w:t>
      </w:r>
      <w:r>
        <w:rPr>
          <w:rFonts w:hint="eastAsia" w:ascii="宋体" w:hAnsi="宋体" w:cs="宋体"/>
          <w:b/>
          <w:bCs w:val="0"/>
          <w:sz w:val="22"/>
        </w:rPr>
        <w:t>工程施工期间，承包人须无条件服从机场公司关于工期进度的统一安排。投标人需充分考虑隔离区内施工时间及工期的不确定性，如由于机场运行要求某些时间不得施工等或如遇长时间停工等任何突发情况，请投标人在投标时充分考虑相关费用，中标后不予增加费用。</w:t>
      </w:r>
    </w:p>
    <w:p>
      <w:pPr>
        <w:pStyle w:val="2"/>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eastAsia" w:ascii="宋体" w:hAnsi="宋体" w:cs="宋体"/>
          <w:b/>
          <w:bCs w:val="0"/>
          <w:sz w:val="22"/>
          <w:lang w:val="en-US" w:eastAsia="zh-CN"/>
        </w:rPr>
      </w:pPr>
      <w:r>
        <w:rPr>
          <w:rFonts w:hint="eastAsia" w:ascii="宋体" w:hAnsi="宋体" w:cs="宋体"/>
          <w:b/>
          <w:bCs w:val="0"/>
          <w:sz w:val="22"/>
          <w:lang w:val="en-US" w:eastAsia="zh-CN"/>
        </w:rPr>
        <w:t>5.7本项目部分工程位于机场隔离区内，承包人必须确保在施工阶段不影响机场正常运行，遵守机场不停航施工管理规定、施工安全条例。</w:t>
      </w:r>
    </w:p>
    <w:p>
      <w:pPr>
        <w:pStyle w:val="2"/>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eastAsia" w:ascii="宋体" w:hAnsi="宋体" w:cs="宋体"/>
          <w:b/>
          <w:bCs w:val="0"/>
          <w:sz w:val="22"/>
          <w:lang w:val="en-US" w:eastAsia="zh-CN"/>
        </w:rPr>
      </w:pPr>
      <w:r>
        <w:rPr>
          <w:rFonts w:hint="eastAsia" w:ascii="宋体" w:hAnsi="宋体" w:cs="宋体"/>
          <w:b/>
          <w:bCs w:val="0"/>
          <w:sz w:val="22"/>
          <w:lang w:val="en-US" w:eastAsia="zh-CN"/>
        </w:rPr>
        <w:t>5.8承包人施工人员在进出机场隔离区时必须办理相关证件（有效期一个月）。费用由投标人综合考虑，包含在投标报价中。</w:t>
      </w:r>
    </w:p>
    <w:p>
      <w:pPr>
        <w:pStyle w:val="2"/>
        <w:keepNext w:val="0"/>
        <w:keepLines w:val="0"/>
        <w:pageBreakBefore w:val="0"/>
        <w:widowControl w:val="0"/>
        <w:kinsoku/>
        <w:wordWrap/>
        <w:overflowPunct/>
        <w:topLinePunct w:val="0"/>
        <w:autoSpaceDE/>
        <w:autoSpaceDN/>
        <w:bidi w:val="0"/>
        <w:adjustRightInd/>
        <w:snapToGrid/>
        <w:ind w:left="0" w:leftChars="0" w:firstLine="442" w:firstLineChars="200"/>
        <w:textAlignment w:val="auto"/>
        <w:rPr>
          <w:rFonts w:hint="eastAsia" w:ascii="宋体" w:hAnsi="宋体" w:cs="宋体"/>
          <w:b/>
          <w:bCs w:val="0"/>
          <w:color w:val="auto"/>
          <w:sz w:val="22"/>
          <w:lang w:val="en-US" w:eastAsia="zh-CN"/>
        </w:rPr>
      </w:pPr>
      <w:r>
        <w:rPr>
          <w:rFonts w:hint="eastAsia" w:ascii="宋体" w:hAnsi="宋体" w:cs="宋体"/>
          <w:b/>
          <w:bCs w:val="0"/>
          <w:sz w:val="22"/>
          <w:lang w:val="en-US" w:eastAsia="zh-CN"/>
        </w:rPr>
        <w:t>5.9因本项目部分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w:t>
      </w:r>
      <w:r>
        <w:rPr>
          <w:rFonts w:hint="eastAsia" w:ascii="宋体" w:hAnsi="宋体" w:cs="宋体"/>
          <w:b/>
          <w:bCs w:val="0"/>
          <w:color w:val="auto"/>
          <w:sz w:val="22"/>
          <w:lang w:val="en-US" w:eastAsia="zh-CN"/>
        </w:rPr>
        <w:t>★投标报价中施工安全监管费按2000元暂列金额计入，不得优惠。</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442" w:firstLineChars="200"/>
        <w:jc w:val="left"/>
        <w:textAlignment w:val="auto"/>
        <w:outlineLvl w:val="9"/>
        <w:rPr>
          <w:rFonts w:hint="eastAsia" w:ascii="宋体" w:hAnsi="宋体" w:cs="宋体"/>
          <w:b/>
          <w:bCs w:val="0"/>
          <w:sz w:val="22"/>
          <w:lang w:val="en-US" w:eastAsia="zh-CN"/>
        </w:rPr>
      </w:pPr>
      <w:r>
        <w:rPr>
          <w:rFonts w:hint="eastAsia" w:ascii="宋体" w:hAnsi="宋体" w:cs="宋体"/>
          <w:b/>
          <w:bCs w:val="0"/>
          <w:sz w:val="22"/>
          <w:lang w:val="en-US" w:eastAsia="zh-CN"/>
        </w:rPr>
        <w:t>5.10承包人须无条件配合发包人要求</w:t>
      </w:r>
      <w:r>
        <w:rPr>
          <w:rFonts w:hint="eastAsia" w:ascii="宋体" w:hAnsi="宋体" w:cs="宋体"/>
          <w:b/>
          <w:color w:val="auto"/>
          <w:sz w:val="22"/>
          <w:lang w:val="en-US" w:eastAsia="zh-CN"/>
        </w:rPr>
        <w:t>，施工前应征得发包人同意，不得擅自施工，如擅自施工导致的一切后果由承包人承担</w:t>
      </w:r>
      <w:r>
        <w:rPr>
          <w:rFonts w:hint="eastAsia" w:ascii="宋体" w:hAnsi="宋体" w:cs="宋体"/>
          <w:b/>
          <w:bCs w:val="0"/>
          <w:sz w:val="22"/>
          <w:lang w:val="en-US" w:eastAsia="zh-CN"/>
        </w:rPr>
        <w:t>。</w:t>
      </w:r>
    </w:p>
    <w:p>
      <w:pPr>
        <w:pStyle w:val="2"/>
        <w:rPr>
          <w:rFonts w:hint="eastAsia"/>
          <w:lang w:val="en-US" w:eastAsia="zh-CN"/>
        </w:rPr>
      </w:pPr>
      <w:r>
        <w:rPr>
          <w:rFonts w:hint="eastAsia" w:ascii="宋体" w:hAnsi="宋体" w:cs="宋体"/>
          <w:b/>
          <w:bCs w:val="0"/>
          <w:sz w:val="22"/>
          <w:lang w:val="en-US" w:eastAsia="zh-CN"/>
        </w:rPr>
        <w:t>5.11涉疫垃圾回收点外需按防疫办要求安装相应标识标牌。</w:t>
      </w:r>
    </w:p>
    <w:p>
      <w:pPr>
        <w:pStyle w:val="2"/>
        <w:keepNext w:val="0"/>
        <w:keepLines w:val="0"/>
        <w:pageBreakBefore w:val="0"/>
        <w:widowControl w:val="0"/>
        <w:kinsoku/>
        <w:wordWrap/>
        <w:overflowPunct/>
        <w:topLinePunct w:val="0"/>
        <w:autoSpaceDE/>
        <w:autoSpaceDN/>
        <w:bidi w:val="0"/>
        <w:adjustRightInd/>
        <w:snapToGrid/>
        <w:textAlignment w:val="auto"/>
        <w:rPr>
          <w:rFonts w:hint="default" w:ascii="宋体" w:hAnsi="宋体" w:cs="宋体"/>
          <w:b/>
          <w:bCs w:val="0"/>
          <w:sz w:val="22"/>
          <w:lang w:val="en-US" w:eastAsia="zh-CN"/>
        </w:rPr>
      </w:pPr>
      <w:r>
        <w:rPr>
          <w:rFonts w:hint="eastAsia" w:ascii="宋体" w:hAnsi="宋体" w:cs="宋体"/>
          <w:b/>
          <w:bCs w:val="0"/>
          <w:sz w:val="22"/>
          <w:lang w:val="en-US" w:eastAsia="zh-CN"/>
        </w:rPr>
        <w:t>5.12项目开工前承包人需提供施工进度计划表、施工材料及明细表，待材料、人员、证件全部准备完善并经发包人同意方可进行施工。</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5.13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rPr>
          <w:rFonts w:hint="default" w:eastAsia="黑体"/>
          <w:lang w:val="en-US" w:eastAsia="zh-CN"/>
        </w:rPr>
      </w:pPr>
    </w:p>
    <w:p>
      <w:pPr>
        <w:pStyle w:val="9"/>
        <w:jc w:val="center"/>
      </w:pPr>
    </w:p>
    <w:p>
      <w:pPr>
        <w:pStyle w:val="9"/>
        <w:jc w:val="center"/>
      </w:pPr>
    </w:p>
    <w:p>
      <w:pPr>
        <w:pStyle w:val="9"/>
        <w:jc w:val="center"/>
      </w:pPr>
    </w:p>
    <w:p>
      <w:pPr>
        <w:pStyle w:val="9"/>
        <w:jc w:val="center"/>
      </w:pPr>
    </w:p>
    <w:p/>
    <w:bookmarkEnd w:id="8"/>
    <w:bookmarkEnd w:id="20"/>
    <w:bookmarkEnd w:id="21"/>
    <w:p>
      <w:pPr>
        <w:pStyle w:val="3"/>
        <w:spacing w:before="0" w:after="0" w:line="564" w:lineRule="exact"/>
        <w:ind w:right="57"/>
        <w:jc w:val="center"/>
        <w:rPr>
          <w:sz w:val="32"/>
          <w:szCs w:val="32"/>
        </w:rPr>
      </w:pPr>
      <w:bookmarkStart w:id="24" w:name="_Toc52907682"/>
      <w:bookmarkStart w:id="25" w:name="_Toc10055"/>
      <w:r>
        <w:rPr>
          <w:sz w:val="32"/>
          <w:szCs w:val="32"/>
        </w:rPr>
        <w:t>第</w:t>
      </w:r>
      <w:r>
        <w:rPr>
          <w:rFonts w:hint="eastAsia"/>
          <w:sz w:val="32"/>
          <w:szCs w:val="32"/>
          <w:lang w:eastAsia="zh-CN"/>
        </w:rPr>
        <w:t>七</w:t>
      </w:r>
      <w:r>
        <w:rPr>
          <w:sz w:val="32"/>
          <w:szCs w:val="32"/>
        </w:rPr>
        <w:t>章</w:t>
      </w:r>
      <w:r>
        <w:rPr>
          <w:rFonts w:hint="eastAsia"/>
          <w:sz w:val="32"/>
          <w:szCs w:val="32"/>
        </w:rPr>
        <w:t xml:space="preserve">    </w:t>
      </w:r>
      <w:r>
        <w:rPr>
          <w:sz w:val="32"/>
          <w:szCs w:val="32"/>
        </w:rPr>
        <w:t>投标文件格式</w:t>
      </w:r>
      <w:bookmarkEnd w:id="24"/>
      <w:bookmarkEnd w:id="25"/>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p>
    <w:p>
      <w:pPr>
        <w:pStyle w:val="14"/>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336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336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both"/>
        <w:rPr>
          <w:rFonts w:cs="微软雅黑"/>
          <w:b/>
          <w:kern w:val="0"/>
          <w:sz w:val="36"/>
          <w:szCs w:val="36"/>
        </w:rPr>
      </w:pPr>
      <w:r>
        <w:rPr>
          <w:rFonts w:hint="eastAsia" w:cs="微软雅黑"/>
          <w:b/>
          <w:kern w:val="0"/>
          <w:sz w:val="36"/>
          <w:szCs w:val="36"/>
          <w:lang w:val="en-US" w:eastAsia="zh-CN"/>
        </w:rPr>
        <w:t xml:space="preserve">                三</w:t>
      </w:r>
      <w:r>
        <w:rPr>
          <w:rFonts w:hint="eastAsia" w:cs="微软雅黑"/>
          <w:b/>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(18)主要材料选用品牌一览表</w:t>
      </w:r>
    </w:p>
    <w:p>
      <w:pPr>
        <w:pStyle w:val="2"/>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主要材料选用品牌一览表</w:t>
      </w:r>
    </w:p>
    <w:tbl>
      <w:tblPr>
        <w:tblStyle w:val="12"/>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宋体" w:eastAsiaTheme="minorEastAsia"/>
                <w:bCs/>
                <w:kern w:val="0"/>
                <w:sz w:val="22"/>
                <w:lang w:val="en-US" w:eastAsia="zh-CN"/>
              </w:rPr>
            </w:pPr>
            <w:r>
              <w:rPr>
                <w:rFonts w:hint="eastAsia" w:ascii="宋体" w:hAnsi="宋体" w:cs="宋体"/>
                <w:bCs/>
                <w:kern w:val="0"/>
                <w:sz w:val="22"/>
                <w:lang w:val="en-US" w:eastAsia="zh-CN"/>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hint="eastAsia" w:ascii="宋体" w:hAnsi="宋体" w:cs="Courier New" w:eastAsiaTheme="minorEastAsia"/>
                <w:bCs/>
                <w:sz w:val="22"/>
                <w:lang w:val="en-US" w:eastAsia="zh-CN"/>
              </w:rPr>
            </w:pPr>
            <w:r>
              <w:rPr>
                <w:rFonts w:hint="eastAsia" w:ascii="宋体" w:hAnsi="宋体" w:cs="Courier New"/>
                <w:bCs/>
                <w:sz w:val="22"/>
                <w:lang w:val="en-US" w:eastAsia="zh-CN"/>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hint="eastAsia"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六</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autoSpaceDE w:val="0"/>
        <w:autoSpaceDN w:val="0"/>
        <w:adjustRightInd w:val="0"/>
        <w:spacing w:line="360" w:lineRule="auto"/>
        <w:jc w:val="center"/>
        <w:rPr>
          <w:rFonts w:cs="宋体"/>
          <w:sz w:val="22"/>
        </w:rPr>
      </w:pPr>
    </w:p>
    <w:p>
      <w:pPr>
        <w:widowControl/>
        <w:jc w:val="left"/>
        <w:rPr>
          <w:rFonts w:cs="宋体"/>
          <w:sz w:val="22"/>
        </w:rPr>
      </w:pPr>
      <w:r>
        <w:rPr>
          <w:rFonts w:cs="宋体"/>
          <w:sz w:val="22"/>
        </w:rPr>
        <w:br w:type="page"/>
      </w:r>
    </w:p>
    <w:p>
      <w:pPr>
        <w:widowControl/>
        <w:jc w:val="center"/>
        <w:rPr>
          <w:rFonts w:hint="eastAsia" w:cs="微软雅黑"/>
          <w:b/>
          <w:kern w:val="0"/>
          <w:sz w:val="36"/>
          <w:szCs w:val="36"/>
          <w:lang w:val="en-US" w:eastAsia="zh-CN"/>
        </w:rPr>
      </w:pPr>
      <w:bookmarkStart w:id="26" w:name="_Hlk54024727"/>
    </w:p>
    <w:p>
      <w:pPr>
        <w:widowControl/>
        <w:jc w:val="center"/>
        <w:rPr>
          <w:rFonts w:hint="eastAsia" w:cs="微软雅黑"/>
          <w:b/>
          <w:kern w:val="0"/>
          <w:sz w:val="36"/>
          <w:szCs w:val="36"/>
          <w:lang w:val="en-US" w:eastAsia="zh-CN"/>
        </w:rPr>
      </w:pPr>
    </w:p>
    <w:p>
      <w:pPr>
        <w:widowControl/>
        <w:jc w:val="center"/>
        <w:rPr>
          <w:rFonts w:hint="eastAsia" w:cs="微软雅黑"/>
          <w:b/>
          <w:kern w:val="0"/>
          <w:sz w:val="36"/>
          <w:szCs w:val="36"/>
        </w:rPr>
      </w:pPr>
      <w:r>
        <w:rPr>
          <w:rFonts w:hint="eastAsia" w:cs="微软雅黑"/>
          <w:b/>
          <w:kern w:val="0"/>
          <w:sz w:val="36"/>
          <w:szCs w:val="36"/>
          <w:lang w:val="en-US" w:eastAsia="zh-CN"/>
        </w:rPr>
        <w:t>四</w:t>
      </w:r>
      <w:r>
        <w:rPr>
          <w:rFonts w:hint="eastAsia" w:cs="微软雅黑"/>
          <w:b/>
          <w:kern w:val="0"/>
          <w:sz w:val="36"/>
          <w:szCs w:val="36"/>
        </w:rPr>
        <w:t>、投标人认为需要提供的其他材料</w:t>
      </w:r>
    </w:p>
    <w:p>
      <w:pPr>
        <w:autoSpaceDE w:val="0"/>
        <w:autoSpaceDN w:val="0"/>
        <w:adjustRightInd w:val="0"/>
        <w:spacing w:line="360" w:lineRule="auto"/>
        <w:jc w:val="center"/>
        <w:rPr>
          <w:b/>
          <w:sz w:val="24"/>
        </w:rPr>
      </w:pPr>
    </w:p>
    <w:bookmarkEnd w:id="26"/>
    <w:p>
      <w:pPr>
        <w:pStyle w:val="3"/>
        <w:keepNext w:val="0"/>
        <w:keepLines w:val="0"/>
        <w:pageBreakBefore/>
        <w:widowControl w:val="0"/>
        <w:kinsoku/>
        <w:wordWrap/>
        <w:overflowPunct/>
        <w:topLinePunct w:val="0"/>
        <w:autoSpaceDE/>
        <w:autoSpaceDN/>
        <w:bidi w:val="0"/>
        <w:adjustRightInd/>
        <w:snapToGrid/>
        <w:spacing w:before="0" w:after="0" w:line="564" w:lineRule="exact"/>
        <w:ind w:right="57"/>
        <w:jc w:val="center"/>
        <w:textAlignment w:val="auto"/>
        <w:rPr>
          <w:rFonts w:hint="eastAsia" w:ascii="黑体" w:hAnsi="黑体" w:eastAsia="黑体" w:cs="黑体"/>
          <w:sz w:val="32"/>
          <w:szCs w:val="32"/>
          <w:lang w:val="en-US" w:eastAsia="zh-CN"/>
        </w:rPr>
      </w:pPr>
      <w:bookmarkStart w:id="27" w:name="_Toc4370"/>
      <w:r>
        <w:rPr>
          <w:rFonts w:hint="eastAsia" w:ascii="黑体" w:hAnsi="黑体" w:eastAsia="黑体" w:cs="黑体"/>
          <w:sz w:val="32"/>
          <w:szCs w:val="32"/>
          <w:lang w:val="en-US" w:eastAsia="zh-CN"/>
        </w:rPr>
        <w:t>第八章</w:t>
      </w:r>
      <w:r>
        <w:rPr>
          <w:rFonts w:hint="eastAsia" w:ascii="黑体" w:hAnsi="黑体" w:eastAsia="黑体" w:cs="黑体"/>
          <w:sz w:val="32"/>
          <w:szCs w:val="32"/>
        </w:rPr>
        <w:t xml:space="preserve"> 航站楼施工围挡管理标准</w:t>
      </w:r>
      <w:bookmarkEnd w:id="27"/>
    </w:p>
    <w:p>
      <w:pPr>
        <w:spacing w:line="560" w:lineRule="exact"/>
        <w:ind w:firstLine="800" w:firstLineChars="250"/>
        <w:rPr>
          <w:rFonts w:ascii="仿宋_GB2312" w:eastAsia="仿宋_GB2312"/>
          <w:sz w:val="32"/>
          <w:szCs w:val="32"/>
        </w:rPr>
      </w:pPr>
      <w:r>
        <w:rPr>
          <w:rFonts w:hint="eastAsia" w:ascii="仿宋_GB2312" w:eastAsia="仿宋_GB2312"/>
          <w:sz w:val="32"/>
          <w:szCs w:val="32"/>
        </w:rPr>
        <w:t>1、目的</w:t>
      </w:r>
    </w:p>
    <w:p>
      <w:pPr>
        <w:pStyle w:val="15"/>
        <w:spacing w:line="560" w:lineRule="exact"/>
        <w:ind w:firstLine="640"/>
        <w:rPr>
          <w:rFonts w:ascii="仿宋_GB2312" w:eastAsia="仿宋_GB2312"/>
          <w:sz w:val="32"/>
          <w:szCs w:val="32"/>
        </w:rPr>
      </w:pPr>
      <w:r>
        <w:rPr>
          <w:rFonts w:hint="eastAsia" w:ascii="仿宋_GB2312" w:eastAsia="仿宋_GB2312"/>
          <w:sz w:val="32"/>
          <w:szCs w:val="32"/>
        </w:rPr>
        <w:t>为了维护航站楼正常的运营秩序，规范楼内在施工改造、设施维护、环境保洁等状态下的围界设置行为，确保航站楼内施工的有序进行、候机环境的舒适美观以及旅客的人身安全，特制定本标准。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2、适用范围</w:t>
      </w:r>
    </w:p>
    <w:p>
      <w:pPr>
        <w:pStyle w:val="15"/>
        <w:spacing w:line="560" w:lineRule="exact"/>
        <w:ind w:firstLine="640"/>
        <w:rPr>
          <w:rFonts w:ascii="仿宋_GB2312" w:eastAsia="仿宋_GB2312"/>
          <w:sz w:val="32"/>
          <w:szCs w:val="32"/>
        </w:rPr>
      </w:pPr>
      <w:r>
        <w:rPr>
          <w:rFonts w:hint="eastAsia" w:ascii="仿宋_GB2312" w:eastAsia="仿宋_GB2312"/>
          <w:sz w:val="32"/>
          <w:szCs w:val="32"/>
        </w:rPr>
        <w:t>本标准适用于航站楼</w:t>
      </w:r>
      <w:r>
        <w:rPr>
          <w:rFonts w:hint="eastAsia" w:ascii="仿宋_GB2312" w:eastAsia="仿宋_GB2312"/>
          <w:sz w:val="32"/>
          <w:szCs w:val="32"/>
          <w:lang w:val="en-US" w:eastAsia="zh-CN"/>
        </w:rPr>
        <w:t>内</w:t>
      </w:r>
      <w:r>
        <w:rPr>
          <w:rFonts w:hint="eastAsia" w:ascii="仿宋_GB2312" w:eastAsia="仿宋_GB2312"/>
          <w:sz w:val="32"/>
          <w:szCs w:val="32"/>
        </w:rPr>
        <w:t>（不含地下车库）在施工改造、设施维护、环境保洁等状态下的各类围界设置，具体包括：航站楼功能布局改造；商业装修；新增设施设备安装；设施设备维修、维护；区域保洁；主题活动、庆典等。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3、职责</w:t>
      </w:r>
    </w:p>
    <w:p>
      <w:pPr>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航站区管理中心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3.1.1负责制定和完善航站楼围界管理标准。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3.1.2负责航站楼围界设置的受理、审批。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3.1.3负责航站楼围界设置现场的监管。</w:t>
      </w:r>
    </w:p>
    <w:p>
      <w:pPr>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各施工、活动组织单位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3.2.1根据施工、活动实际情况，按照《航站楼围界管理标准》要求，向航站区管理中心提出围界设置申请。</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3.2.2审批通过后，按标准制作并设置围界。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3.2.3负责围界设置现场的实时监管。</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3.2.4及时纠正围界设置、使用过程中的违规行为，在施工、活动结束后，及时拆除围界，还原现场。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4、管理标准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4.1围界的分类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4.1.1航站楼内的围界是指为实现楼内施工有序进行及确保旅客人身安全而设置的用于隔离旅客与施工改造区域、维保区块、维护设施设备或临时活动场地之间的介质。按照使用对象的不同，分为大型板材围界、立式框架式临时围界、链式临时围界和隔离护栏式围界。</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4.1.2大型板材围界主要用于施工期（停工期）较长、工程量较大的航站楼功能布局改造和商业装修。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4.1.3立式框架式临时围界主要用于短时、小区域的设施设备维修和维护。</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4.1.4链式临时围界主要用于短时、相对大区域的新增设施设备安装和区域保洁。</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4.1.5隔离护栏式围界主要用于航站楼内旅客流程引导及临时主题活动、庆典的区域隔离。</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4.2围界的申请</w:t>
      </w:r>
    </w:p>
    <w:p>
      <w:pPr>
        <w:spacing w:line="560" w:lineRule="exact"/>
        <w:ind w:firstLine="640" w:firstLineChars="200"/>
        <w:rPr>
          <w:rFonts w:ascii="仿宋_GB2312" w:eastAsia="仿宋_GB2312"/>
          <w:sz w:val="32"/>
          <w:szCs w:val="32"/>
        </w:rPr>
      </w:pPr>
      <w:r>
        <w:rPr>
          <w:rFonts w:ascii="仿宋_GB2312" w:eastAsia="仿宋_GB2312"/>
          <w:sz w:val="32"/>
          <w:szCs w:val="32"/>
        </w:rPr>
        <w:t>4.2.1</w:t>
      </w:r>
      <w:r>
        <w:rPr>
          <w:rFonts w:hint="eastAsia" w:ascii="仿宋_GB2312" w:eastAsia="仿宋_GB2312"/>
          <w:sz w:val="32"/>
          <w:szCs w:val="32"/>
        </w:rPr>
        <w:t>各施工、活动组织单位在航站楼内组织各项施工改造、商业装修、新增设施设备安装、设施设备维护、区域保洁、主题活动、庆典前，向航站区管理中心申请或报备以上活动时，应同时提出相关围界设置申请，填写《航站楼围界使用申请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4.2.2对于周期性的短时维修、维护及区域保洁项目，由申请单位向航站区管理中心监管室报备后，经施工管理员现场确认无误后即可实施。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4.3围界的样式</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4.3.1围界的样式由航站区管理中心统一确定发布。施工、活动组织单位在航站楼内的施工、活动申请批复后可向航</w:t>
      </w:r>
      <w:r>
        <w:rPr>
          <w:rFonts w:hint="eastAsia" w:ascii="仿宋_GB2312" w:eastAsia="仿宋_GB2312"/>
          <w:spacing w:val="-8"/>
          <w:sz w:val="32"/>
          <w:szCs w:val="32"/>
        </w:rPr>
        <w:t>站区管理中心领取相关围界样式版本自行制作或申请借用。</w:t>
      </w:r>
    </w:p>
    <w:p>
      <w:pPr>
        <w:spacing w:line="560" w:lineRule="exact"/>
        <w:ind w:firstLine="640" w:firstLineChars="200"/>
        <w:rPr>
          <w:rFonts w:ascii="仿宋_GB2312" w:eastAsia="仿宋_GB2312"/>
          <w:sz w:val="32"/>
          <w:szCs w:val="32"/>
        </w:rPr>
      </w:pPr>
      <w:r>
        <w:rPr>
          <w:rFonts w:ascii="仿宋_GB2312" w:eastAsia="仿宋_GB2312"/>
          <w:sz w:val="32"/>
          <w:szCs w:val="32"/>
        </w:rPr>
        <w:t>4.3.</w:t>
      </w:r>
      <w:r>
        <w:rPr>
          <w:rFonts w:hint="eastAsia" w:ascii="仿宋_GB2312" w:eastAsia="仿宋_GB2312"/>
          <w:sz w:val="32"/>
          <w:szCs w:val="32"/>
        </w:rPr>
        <w:t>2隔离护栏式围界由航站区管理中心统一采购、制作、提供。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4.4.1围界的制作材料需符合消防环保标准，不得使用可燃、易燃、有异味、易断裂的材质。</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4.4.2围界的设置不得遮挡标示标牌，不得妨碍旅客流程，如无法避免的，应做好解决替代预案。</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4.4.3围界的设置应牢固且不易倒伏，横平竖直。围界应连续设置，确保区域隔离的有效性。</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4.4.4围界应保持整洁，围界附近不得堆放物品。围界使用单位或部门应随时查看围界使用情况，发现破损的，应立即维修或更换。围界内相关物品须摆放整齐，井然有序。申请单位应自觉做好施工物品监管工作。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4.4.5大型板材围界的设置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4.4.5.1组织单位应严格按照批准的地点、时间、范围设置围界，不得擅自变动。大型板材围界应符合航站区管理中心提供的样式标准、围布内容须按照航站区管理中心要求进行喷绘，不得擅自增加内容。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4.4.5.2围界应紧紧围绕改造或装修区域，原则上应不得超过建筑红线区域外沿</w:t>
      </w:r>
      <w:r>
        <w:rPr>
          <w:rFonts w:ascii="仿宋_GB2312" w:eastAsia="仿宋_GB2312"/>
          <w:sz w:val="32"/>
          <w:szCs w:val="32"/>
        </w:rPr>
        <w:t>1</w:t>
      </w:r>
      <w:r>
        <w:rPr>
          <w:rFonts w:hint="eastAsia" w:ascii="仿宋_GB2312" w:eastAsia="仿宋_GB2312"/>
          <w:sz w:val="32"/>
          <w:szCs w:val="32"/>
        </w:rPr>
        <w:t>50厘米设置。</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4.4.5.3</w:t>
      </w:r>
      <w:r>
        <w:rPr>
          <w:rFonts w:hint="eastAsia" w:ascii="仿宋_GB2312" w:eastAsia="仿宋_GB2312"/>
          <w:spacing w:val="-10"/>
          <w:sz w:val="32"/>
          <w:szCs w:val="32"/>
        </w:rPr>
        <w:t>围界设置的高度为</w:t>
      </w:r>
      <w:r>
        <w:rPr>
          <w:rFonts w:ascii="仿宋_GB2312" w:eastAsia="仿宋_GB2312"/>
          <w:spacing w:val="-10"/>
          <w:sz w:val="32"/>
          <w:szCs w:val="32"/>
        </w:rPr>
        <w:t>3</w:t>
      </w:r>
      <w:r>
        <w:rPr>
          <w:rFonts w:hint="eastAsia" w:ascii="仿宋_GB2312" w:eastAsia="仿宋_GB2312"/>
          <w:spacing w:val="-10"/>
          <w:sz w:val="32"/>
          <w:szCs w:val="32"/>
        </w:rPr>
        <w:t>.5米，必要时应作顶部封闭。</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4.4.5.4</w:t>
      </w:r>
      <w:r>
        <w:rPr>
          <w:rFonts w:hint="eastAsia" w:ascii="仿宋_GB2312" w:eastAsia="仿宋_GB2312"/>
          <w:spacing w:val="-10"/>
          <w:sz w:val="32"/>
          <w:szCs w:val="32"/>
        </w:rPr>
        <w:t xml:space="preserve">围界内物品的堆放高度不得超过围界顶部水平线。 </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4.4.5.5围界封闭（顶部除外）管理，围界进出口须装配门锁（门锁建议选用铜制4联密码锁，至少每周更换一次密码）。在施工期间由专人负责锁闭。在围界醒目位置应悬挂</w:t>
      </w:r>
      <w:r>
        <w:rPr>
          <w:rFonts w:hint="eastAsia" w:ascii="仿宋_GB2312" w:eastAsia="仿宋_GB2312"/>
          <w:spacing w:val="-10"/>
          <w:sz w:val="32"/>
          <w:szCs w:val="32"/>
        </w:rPr>
        <w:t>宣传告示栏，注明项目名称、工期、责任人联系方式等内容。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4.4.6立式框架式临时围界的设置</w:t>
      </w:r>
    </w:p>
    <w:p>
      <w:pPr>
        <w:spacing w:line="560" w:lineRule="exact"/>
        <w:ind w:firstLine="640" w:firstLineChars="200"/>
        <w:rPr>
          <w:rFonts w:ascii="仿宋_GB2312" w:eastAsia="仿宋_GB2312"/>
          <w:spacing w:val="-10"/>
          <w:sz w:val="32"/>
          <w:szCs w:val="32"/>
        </w:rPr>
      </w:pPr>
      <w:r>
        <w:rPr>
          <w:rFonts w:hint="eastAsia" w:ascii="仿宋_GB2312" w:eastAsia="仿宋_GB2312"/>
          <w:sz w:val="32"/>
          <w:szCs w:val="32"/>
        </w:rPr>
        <w:t>4.4.6.1</w:t>
      </w:r>
      <w:r>
        <w:rPr>
          <w:rFonts w:hint="eastAsia" w:ascii="仿宋_GB2312" w:eastAsia="仿宋_GB2312"/>
          <w:spacing w:val="-10"/>
          <w:sz w:val="32"/>
          <w:szCs w:val="32"/>
        </w:rPr>
        <w:t>围界应紧紧围绕维修区域或维护的设施设备放置。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4.4.6.2围界放置不得遮挡标示标牌、功能性设施，不得阻碍旅客流程，如无法避免应设置醒目标识或派遣专人进行引导。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4.4.7链式临时围界的设置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4.4.7.1围界应根据施工、活动实际需求进行设置，不得阻碍旅客流程，施工、活动结束后，应立即撤除。</w:t>
      </w:r>
    </w:p>
    <w:p>
      <w:pPr>
        <w:spacing w:line="560" w:lineRule="exact"/>
        <w:ind w:firstLine="640" w:firstLineChars="200"/>
        <w:rPr>
          <w:rFonts w:ascii="仿宋_GB2312" w:eastAsia="仿宋_GB2312"/>
          <w:sz w:val="32"/>
          <w:szCs w:val="32"/>
        </w:rPr>
      </w:pPr>
      <w:r>
        <w:rPr>
          <w:rFonts w:ascii="仿宋_GB2312" w:eastAsia="仿宋_GB2312"/>
          <w:sz w:val="32"/>
          <w:szCs w:val="32"/>
        </w:rPr>
        <w:t>4.4.7.2</w:t>
      </w:r>
      <w:r>
        <w:rPr>
          <w:rFonts w:hint="eastAsia" w:ascii="仿宋_GB2312" w:eastAsia="仿宋_GB2312"/>
          <w:sz w:val="32"/>
          <w:szCs w:val="32"/>
        </w:rPr>
        <w:t>链式临时围界设置时，应将固定方锥摆放整齐，四边通过链条连接封闭，链条应保持悬空，多余部分需塞入方锥内侧，同时应在醒目位置放置施工、活动提示标识。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4.4.8隔离护栏式围界的设置</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4.4.8.1参照《航站楼隔离护栏管理标准》执行。</w:t>
      </w:r>
    </w:p>
    <w:p>
      <w:pPr>
        <w:spacing w:line="560" w:lineRule="exact"/>
        <w:ind w:firstLine="640" w:firstLineChars="200"/>
        <w:rPr>
          <w:rFonts w:ascii="仿宋_GB2312" w:eastAsia="仿宋_GB2312"/>
          <w:sz w:val="32"/>
          <w:szCs w:val="32"/>
        </w:rPr>
      </w:pPr>
      <w:r>
        <w:rPr>
          <w:rFonts w:ascii="仿宋_GB2312" w:eastAsia="仿宋_GB2312"/>
          <w:sz w:val="32"/>
          <w:szCs w:val="32"/>
        </w:rPr>
        <w:t>4.5</w:t>
      </w:r>
      <w:r>
        <w:rPr>
          <w:rFonts w:hint="eastAsia" w:ascii="仿宋_GB2312" w:eastAsia="仿宋_GB2312"/>
          <w:sz w:val="32"/>
          <w:szCs w:val="32"/>
        </w:rPr>
        <w:t>围界的撤除</w:t>
      </w:r>
    </w:p>
    <w:p>
      <w:pPr>
        <w:spacing w:line="560" w:lineRule="exact"/>
        <w:ind w:firstLine="640" w:firstLineChars="200"/>
        <w:rPr>
          <w:rFonts w:ascii="仿宋_GB2312" w:eastAsia="仿宋_GB2312"/>
          <w:sz w:val="32"/>
          <w:szCs w:val="32"/>
        </w:rPr>
      </w:pPr>
      <w:r>
        <w:rPr>
          <w:rFonts w:ascii="仿宋_GB2312" w:eastAsia="仿宋_GB2312"/>
          <w:sz w:val="32"/>
          <w:szCs w:val="32"/>
        </w:rPr>
        <w:t>4.5.1</w:t>
      </w:r>
      <w:r>
        <w:rPr>
          <w:rFonts w:hint="eastAsia" w:ascii="仿宋_GB2312" w:eastAsia="仿宋_GB2312"/>
          <w:sz w:val="32"/>
          <w:szCs w:val="32"/>
        </w:rPr>
        <w:t>施工、活动组织单位在区域使用结束后，应在施工工具、物料、活动设施全部撤离，清理施工垃圾，恢复区域原状后，撤除围界。</w:t>
      </w:r>
    </w:p>
    <w:p>
      <w:pPr>
        <w:spacing w:line="560" w:lineRule="exact"/>
        <w:ind w:firstLine="640" w:firstLineChars="200"/>
        <w:rPr>
          <w:rFonts w:ascii="仿宋_GB2312" w:eastAsia="仿宋_GB2312"/>
          <w:sz w:val="32"/>
          <w:szCs w:val="32"/>
        </w:rPr>
      </w:pPr>
      <w:r>
        <w:rPr>
          <w:rFonts w:ascii="仿宋_GB2312" w:eastAsia="仿宋_GB2312"/>
          <w:sz w:val="32"/>
          <w:szCs w:val="32"/>
        </w:rPr>
        <w:t>4.5.2</w:t>
      </w:r>
      <w:r>
        <w:rPr>
          <w:rFonts w:hint="eastAsia" w:ascii="仿宋_GB2312" w:eastAsia="仿宋_GB2312"/>
          <w:sz w:val="32"/>
          <w:szCs w:val="32"/>
        </w:rPr>
        <w:t>大型板材围界使用结束后，由建设单位负责拆除，不准随意丢弃在航站楼内。</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4.5.3立式框架式临时围界和链式临时围界使用结束后，由施工、活动组织单位带离，自行保存。</w:t>
      </w:r>
    </w:p>
    <w:p>
      <w:pPr>
        <w:spacing w:line="560" w:lineRule="exact"/>
        <w:ind w:firstLine="640" w:firstLineChars="200"/>
        <w:rPr>
          <w:rFonts w:ascii="仿宋_GB2312" w:eastAsia="仿宋_GB2312"/>
          <w:sz w:val="32"/>
          <w:szCs w:val="32"/>
        </w:rPr>
      </w:pPr>
      <w:r>
        <w:rPr>
          <w:rFonts w:ascii="仿宋_GB2312" w:eastAsia="仿宋_GB2312"/>
          <w:sz w:val="32"/>
          <w:szCs w:val="32"/>
        </w:rPr>
        <w:t>4.5.4</w:t>
      </w:r>
      <w:r>
        <w:rPr>
          <w:rFonts w:hint="eastAsia" w:ascii="仿宋_GB2312" w:eastAsia="仿宋_GB2312"/>
          <w:sz w:val="32"/>
          <w:szCs w:val="32"/>
        </w:rPr>
        <w:t>隔离护栏式围界使用结束后，由施工、活动组织单位向航站区管理中心清点交接，确定围界完好状况及数量后，存放至规定场所并做好记录。</w:t>
      </w:r>
    </w:p>
    <w:p>
      <w:pPr>
        <w:spacing w:line="560" w:lineRule="exact"/>
        <w:ind w:firstLine="600" w:firstLineChars="200"/>
        <w:rPr>
          <w:rFonts w:ascii="仿宋_GB2312" w:eastAsia="仿宋_GB2312"/>
          <w:sz w:val="30"/>
          <w:szCs w:val="30"/>
        </w:rPr>
      </w:pPr>
      <w:r>
        <w:rPr>
          <w:rFonts w:ascii="仿宋_GB2312" w:eastAsia="仿宋_GB2312"/>
          <w:sz w:val="30"/>
          <w:szCs w:val="30"/>
        </w:rPr>
        <w:t>5</w:t>
      </w:r>
      <w:r>
        <w:rPr>
          <w:rFonts w:hint="eastAsia" w:ascii="仿宋_GB2312" w:eastAsia="仿宋_GB2312"/>
          <w:sz w:val="30"/>
          <w:szCs w:val="30"/>
        </w:rPr>
        <w:t>、</w:t>
      </w:r>
      <w:r>
        <w:rPr>
          <w:rFonts w:hint="eastAsia" w:ascii="仿宋_GB2312" w:eastAsia="仿宋_GB2312"/>
          <w:sz w:val="32"/>
          <w:szCs w:val="32"/>
        </w:rPr>
        <w:t>如违反本制度之规定的，按照《杭州萧山国际机场航站楼施工管理规定》有关规定执行。</w:t>
      </w:r>
    </w:p>
    <w:p>
      <w:pPr>
        <w:spacing w:line="560" w:lineRule="exact"/>
        <w:ind w:firstLine="640" w:firstLineChars="200"/>
        <w:rPr>
          <w:rFonts w:ascii="仿宋_GB2312" w:eastAsia="仿宋_GB2312"/>
          <w:sz w:val="30"/>
          <w:szCs w:val="30"/>
        </w:rPr>
      </w:pPr>
      <w:r>
        <w:rPr>
          <w:rFonts w:hint="eastAsia" w:ascii="仿宋_GB2312" w:eastAsia="仿宋_GB2312"/>
          <w:sz w:val="32"/>
          <w:szCs w:val="32"/>
        </w:rPr>
        <w:t>6、围界一般类型样图</w:t>
      </w:r>
    </w:p>
    <w:p>
      <w:pPr>
        <w:spacing w:line="560" w:lineRule="exact"/>
        <w:rPr>
          <w:rFonts w:ascii="仿宋_GB2312" w:eastAsia="仿宋_GB2312"/>
          <w:sz w:val="30"/>
          <w:szCs w:val="30"/>
        </w:rPr>
      </w:pPr>
      <w:r>
        <w:drawing>
          <wp:anchor distT="0" distB="0" distL="114300" distR="114300" simplePos="0" relativeHeight="251664384" behindDoc="0" locked="0" layoutInCell="1" allowOverlap="0">
            <wp:simplePos x="0" y="0"/>
            <wp:positionH relativeFrom="column">
              <wp:posOffset>67310</wp:posOffset>
            </wp:positionH>
            <wp:positionV relativeFrom="paragraph">
              <wp:posOffset>195580</wp:posOffset>
            </wp:positionV>
            <wp:extent cx="5286375" cy="1781810"/>
            <wp:effectExtent l="0" t="0" r="9525" b="8890"/>
            <wp:wrapTopAndBottom/>
            <wp:docPr id="1" name="图片 10" descr="说明: 微信图片_20180730135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说明: 微信图片_20180730135152.jpg"/>
                    <pic:cNvPicPr>
                      <a:picLocks noChangeAspect="1"/>
                    </pic:cNvPicPr>
                  </pic:nvPicPr>
                  <pic:blipFill>
                    <a:blip r:embed="rId11"/>
                    <a:stretch>
                      <a:fillRect/>
                    </a:stretch>
                  </pic:blipFill>
                  <pic:spPr>
                    <a:xfrm>
                      <a:off x="0" y="0"/>
                      <a:ext cx="5286375" cy="1781810"/>
                    </a:xfrm>
                    <a:prstGeom prst="rect">
                      <a:avLst/>
                    </a:prstGeom>
                    <a:noFill/>
                    <a:ln w="9525">
                      <a:noFill/>
                    </a:ln>
                  </pic:spPr>
                </pic:pic>
              </a:graphicData>
            </a:graphic>
          </wp:anchor>
        </w:drawing>
      </w:r>
    </w:p>
    <w:p>
      <w:pPr>
        <w:spacing w:line="560" w:lineRule="exact"/>
        <w:rPr>
          <w:rFonts w:ascii="仿宋_GB2312" w:eastAsia="仿宋_GB2312"/>
          <w:sz w:val="30"/>
          <w:szCs w:val="30"/>
        </w:rPr>
      </w:pPr>
    </w:p>
    <w:p>
      <w:pPr>
        <w:spacing w:line="560" w:lineRule="exact"/>
        <w:rPr>
          <w:rFonts w:ascii="仿宋_GB2312" w:eastAsia="仿宋_GB2312"/>
          <w:sz w:val="30"/>
          <w:szCs w:val="30"/>
        </w:rPr>
      </w:pPr>
    </w:p>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306DE00"/>
    <w:multiLevelType w:val="singleLevel"/>
    <w:tmpl w:val="6306DE00"/>
    <w:lvl w:ilvl="0" w:tentative="0">
      <w:start w:val="4"/>
      <w:numFmt w:val="decimal"/>
      <w:suff w:val="nothing"/>
      <w:lvlText w:val="(%1)"/>
      <w:lvlJc w:val="left"/>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000000"/>
    <w:rsid w:val="001372A2"/>
    <w:rsid w:val="02B95F5F"/>
    <w:rsid w:val="03F739A7"/>
    <w:rsid w:val="050869C0"/>
    <w:rsid w:val="05BE6E6F"/>
    <w:rsid w:val="073D70B6"/>
    <w:rsid w:val="077E75BF"/>
    <w:rsid w:val="08A037D7"/>
    <w:rsid w:val="09411BF2"/>
    <w:rsid w:val="09E25A5D"/>
    <w:rsid w:val="09E436C7"/>
    <w:rsid w:val="0C2258A4"/>
    <w:rsid w:val="0E836117"/>
    <w:rsid w:val="0EE1797F"/>
    <w:rsid w:val="0F3A6E72"/>
    <w:rsid w:val="10926C44"/>
    <w:rsid w:val="10D201D0"/>
    <w:rsid w:val="13506F32"/>
    <w:rsid w:val="13D363C5"/>
    <w:rsid w:val="15C55E70"/>
    <w:rsid w:val="17A3369A"/>
    <w:rsid w:val="18381158"/>
    <w:rsid w:val="1A5510AA"/>
    <w:rsid w:val="1ACC2D1E"/>
    <w:rsid w:val="1AE634A1"/>
    <w:rsid w:val="1B494BCE"/>
    <w:rsid w:val="1B9E32AC"/>
    <w:rsid w:val="1C23428D"/>
    <w:rsid w:val="1C67300B"/>
    <w:rsid w:val="1C722ABB"/>
    <w:rsid w:val="1DD42994"/>
    <w:rsid w:val="1E017959"/>
    <w:rsid w:val="1ED229A2"/>
    <w:rsid w:val="1FC32413"/>
    <w:rsid w:val="200A02E6"/>
    <w:rsid w:val="21EC1694"/>
    <w:rsid w:val="238E4739"/>
    <w:rsid w:val="265818D7"/>
    <w:rsid w:val="27B369DB"/>
    <w:rsid w:val="28BD1AD1"/>
    <w:rsid w:val="2B400820"/>
    <w:rsid w:val="2CF25F54"/>
    <w:rsid w:val="2DBD794B"/>
    <w:rsid w:val="2E6A0DCD"/>
    <w:rsid w:val="2EA80B40"/>
    <w:rsid w:val="2FE921F7"/>
    <w:rsid w:val="3308314E"/>
    <w:rsid w:val="33496CB7"/>
    <w:rsid w:val="33BA6ECE"/>
    <w:rsid w:val="34547575"/>
    <w:rsid w:val="350663DF"/>
    <w:rsid w:val="3510022D"/>
    <w:rsid w:val="360327D0"/>
    <w:rsid w:val="382607A7"/>
    <w:rsid w:val="3862043E"/>
    <w:rsid w:val="389C7905"/>
    <w:rsid w:val="38B029D5"/>
    <w:rsid w:val="393E67AA"/>
    <w:rsid w:val="39EB6FB8"/>
    <w:rsid w:val="3A1B2A12"/>
    <w:rsid w:val="3A9011B9"/>
    <w:rsid w:val="3A980D91"/>
    <w:rsid w:val="3C4D7A69"/>
    <w:rsid w:val="3EC1656B"/>
    <w:rsid w:val="41443C8D"/>
    <w:rsid w:val="41D14192"/>
    <w:rsid w:val="43FE6D40"/>
    <w:rsid w:val="445A5AE3"/>
    <w:rsid w:val="44B107A9"/>
    <w:rsid w:val="45C34E0C"/>
    <w:rsid w:val="465945C7"/>
    <w:rsid w:val="46F71F0E"/>
    <w:rsid w:val="48FA1F37"/>
    <w:rsid w:val="49133ED6"/>
    <w:rsid w:val="4BB817A8"/>
    <w:rsid w:val="4C301F11"/>
    <w:rsid w:val="4C7E3EFD"/>
    <w:rsid w:val="4D2E1D74"/>
    <w:rsid w:val="4DAA1422"/>
    <w:rsid w:val="4DE82905"/>
    <w:rsid w:val="4E694A6E"/>
    <w:rsid w:val="4F932486"/>
    <w:rsid w:val="4F9B5BD7"/>
    <w:rsid w:val="51E6424E"/>
    <w:rsid w:val="52F62453"/>
    <w:rsid w:val="539C3C14"/>
    <w:rsid w:val="55327461"/>
    <w:rsid w:val="566D702A"/>
    <w:rsid w:val="568E6452"/>
    <w:rsid w:val="579A74BA"/>
    <w:rsid w:val="58144BF6"/>
    <w:rsid w:val="589623CE"/>
    <w:rsid w:val="58D57FA2"/>
    <w:rsid w:val="59825D4A"/>
    <w:rsid w:val="59A95BAF"/>
    <w:rsid w:val="5A652A1E"/>
    <w:rsid w:val="5AC266C0"/>
    <w:rsid w:val="5B2D7584"/>
    <w:rsid w:val="5BD80E88"/>
    <w:rsid w:val="5BF24678"/>
    <w:rsid w:val="5D231F56"/>
    <w:rsid w:val="5DDF6FE6"/>
    <w:rsid w:val="5E09512E"/>
    <w:rsid w:val="5ED63FC2"/>
    <w:rsid w:val="5EE45516"/>
    <w:rsid w:val="60460965"/>
    <w:rsid w:val="617F742F"/>
    <w:rsid w:val="63124DBD"/>
    <w:rsid w:val="635903D4"/>
    <w:rsid w:val="646B5557"/>
    <w:rsid w:val="65B36EF1"/>
    <w:rsid w:val="6604027D"/>
    <w:rsid w:val="66946F47"/>
    <w:rsid w:val="677036EC"/>
    <w:rsid w:val="684510B6"/>
    <w:rsid w:val="6A970962"/>
    <w:rsid w:val="6A9E47C4"/>
    <w:rsid w:val="6ABD6C3B"/>
    <w:rsid w:val="6B5D6B38"/>
    <w:rsid w:val="6BE373CC"/>
    <w:rsid w:val="6C5E5250"/>
    <w:rsid w:val="6CCA0C5F"/>
    <w:rsid w:val="6EA35A1F"/>
    <w:rsid w:val="6EAA3D3E"/>
    <w:rsid w:val="6F74423D"/>
    <w:rsid w:val="72C316BB"/>
    <w:rsid w:val="72F06AFF"/>
    <w:rsid w:val="73D87888"/>
    <w:rsid w:val="741E53F6"/>
    <w:rsid w:val="754B5B39"/>
    <w:rsid w:val="761B655E"/>
    <w:rsid w:val="7CCD2795"/>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20639</Words>
  <Characters>21314</Characters>
  <Lines>0</Lines>
  <Paragraphs>0</Paragraphs>
  <ScaleCrop>false</ScaleCrop>
  <LinksUpToDate>false</LinksUpToDate>
  <CharactersWithSpaces>22831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2022-08-26T04:24:40Z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