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sz w:val="52"/>
          <w:szCs w:val="52"/>
        </w:rPr>
      </w:pPr>
      <w:r>
        <w:rPr>
          <w:rFonts w:hint="eastAsia" w:ascii="黑体" w:hAnsi="黑体" w:eastAsia="黑体"/>
          <w:b/>
          <w:sz w:val="52"/>
          <w:szCs w:val="52"/>
        </w:rPr>
        <w:t>杭州萧山国际机场T1高架桥纵向伸缩缝钢板覆盖项目招标文件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5"/>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val="en-US" w:eastAsia="zh-CN"/>
        </w:rPr>
        <w:t>三</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二</w:t>
      </w:r>
      <w:r>
        <w:rPr>
          <w:rFonts w:hint="eastAsia" w:ascii="Calibri" w:hAnsi="Calibri" w:eastAsia="黑体" w:cs="Calibri"/>
          <w:sz w:val="32"/>
          <w:szCs w:val="32"/>
          <w:u w:val="single"/>
        </w:rPr>
        <w:t xml:space="preserve">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pgNumType w:fmt="decimal" w:start="1"/>
          <w:cols w:space="720" w:num="1"/>
        </w:sectPr>
      </w:pPr>
    </w:p>
    <w:sdt>
      <w:sdtPr>
        <w:rPr>
          <w:rFonts w:ascii="宋体" w:hAnsi="宋体" w:eastAsia="宋体"/>
        </w:rPr>
        <w:id w:val="147480402"/>
        <w15:color w:val="DBDBDB"/>
      </w:sdtPr>
      <w:sdtEndPr>
        <w:rPr>
          <w:rFonts w:asciiTheme="minorHAnsi" w:hAnsiTheme="minorHAnsi" w:eastAsiaTheme="minorEastAsia"/>
          <w:bCs/>
          <w:szCs w:val="44"/>
        </w:rPr>
      </w:sdtEndPr>
      <w:sdtContent>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sz w:val="36"/>
              <w:szCs w:val="40"/>
            </w:rPr>
          </w:pPr>
          <w:r>
            <w:rPr>
              <w:rFonts w:ascii="宋体" w:hAnsi="宋体" w:eastAsia="宋体"/>
              <w:sz w:val="36"/>
              <w:szCs w:val="40"/>
            </w:rPr>
            <w:t>目录</w:t>
          </w:r>
        </w:p>
        <w:p>
          <w:pPr>
            <w:pStyle w:val="8"/>
            <w:keepNext w:val="0"/>
            <w:keepLines w:val="0"/>
            <w:pageBreakBefore w:val="0"/>
            <w:widowControl w:val="0"/>
            <w:tabs>
              <w:tab w:val="right" w:leader="dot" w:pos="8306"/>
            </w:tabs>
            <w:kinsoku/>
            <w:wordWrap/>
            <w:overflowPunct/>
            <w:topLinePunct w:val="0"/>
            <w:autoSpaceDE/>
            <w:autoSpaceDN/>
            <w:bidi w:val="0"/>
            <w:spacing w:line="560" w:lineRule="exact"/>
            <w:ind w:left="0" w:leftChars="0" w:right="0" w:rightChars="0" w:firstLine="0" w:firstLineChars="0"/>
            <w:textAlignment w:val="auto"/>
            <w:outlineLvl w:val="9"/>
            <w:rPr>
              <w:rFonts w:hint="eastAsia" w:ascii="仿宋_GB2312" w:hAnsi="仿宋_GB2312" w:eastAsia="仿宋_GB2312" w:cs="仿宋_GB2312"/>
              <w:kern w:val="2"/>
              <w:sz w:val="36"/>
              <w:szCs w:val="36"/>
              <w:lang w:val="en-US" w:eastAsia="zh-CN" w:bidi="ar-SA"/>
            </w:rPr>
          </w:pPr>
          <w:r>
            <w:rPr>
              <w:rFonts w:hint="eastAsia" w:ascii="仿宋_GB2312" w:hAnsi="仿宋_GB2312" w:eastAsia="仿宋_GB2312" w:cs="仿宋_GB2312"/>
              <w:b/>
              <w:bCs/>
              <w:sz w:val="36"/>
              <w:szCs w:val="36"/>
            </w:rPr>
            <w:fldChar w:fldCharType="begin"/>
          </w:r>
          <w:r>
            <w:rPr>
              <w:rFonts w:hint="eastAsia" w:ascii="仿宋_GB2312" w:hAnsi="仿宋_GB2312" w:eastAsia="仿宋_GB2312" w:cs="仿宋_GB2312"/>
              <w:b/>
              <w:bCs/>
              <w:sz w:val="36"/>
              <w:szCs w:val="36"/>
            </w:rPr>
            <w:instrText xml:space="preserve">TOC \o "1-3" \h \u </w:instrText>
          </w:r>
          <w:r>
            <w:rPr>
              <w:rFonts w:hint="eastAsia" w:ascii="仿宋_GB2312" w:hAnsi="仿宋_GB2312" w:eastAsia="仿宋_GB2312" w:cs="仿宋_GB2312"/>
              <w:b/>
              <w:bCs/>
              <w:sz w:val="36"/>
              <w:szCs w:val="36"/>
            </w:rPr>
            <w:fldChar w:fldCharType="separate"/>
          </w:r>
          <w:r>
            <w:rPr>
              <w:rFonts w:hint="eastAsia" w:ascii="仿宋_GB2312" w:hAnsi="仿宋_GB2312" w:eastAsia="仿宋_GB2312" w:cs="仿宋_GB2312"/>
              <w:bCs/>
              <w:kern w:val="2"/>
              <w:sz w:val="36"/>
              <w:szCs w:val="36"/>
              <w:lang w:val="en-US" w:eastAsia="zh-CN" w:bidi="ar-SA"/>
            </w:rPr>
            <w:fldChar w:fldCharType="begin"/>
          </w:r>
          <w:r>
            <w:rPr>
              <w:rFonts w:hint="eastAsia" w:ascii="仿宋_GB2312" w:hAnsi="仿宋_GB2312" w:eastAsia="仿宋_GB2312" w:cs="仿宋_GB2312"/>
              <w:bCs/>
              <w:kern w:val="2"/>
              <w:sz w:val="36"/>
              <w:szCs w:val="36"/>
              <w:lang w:val="en-US" w:eastAsia="zh-CN" w:bidi="ar-SA"/>
            </w:rPr>
            <w:instrText xml:space="preserve"> HYPERLINK \l _Toc24760 </w:instrText>
          </w:r>
          <w:r>
            <w:rPr>
              <w:rFonts w:hint="eastAsia" w:ascii="仿宋_GB2312" w:hAnsi="仿宋_GB2312" w:eastAsia="仿宋_GB2312" w:cs="仿宋_GB2312"/>
              <w:bCs/>
              <w:kern w:val="2"/>
              <w:sz w:val="36"/>
              <w:szCs w:val="36"/>
              <w:lang w:val="en-US" w:eastAsia="zh-CN" w:bidi="ar-SA"/>
            </w:rPr>
            <w:fldChar w:fldCharType="separate"/>
          </w:r>
          <w:r>
            <w:rPr>
              <w:rFonts w:hint="eastAsia" w:ascii="仿宋_GB2312" w:hAnsi="仿宋_GB2312" w:eastAsia="仿宋_GB2312" w:cs="仿宋_GB2312"/>
              <w:kern w:val="2"/>
              <w:sz w:val="36"/>
              <w:szCs w:val="36"/>
              <w:lang w:val="en-US" w:eastAsia="zh-CN" w:bidi="ar-SA"/>
            </w:rPr>
            <w:t>第一章 招标公告</w:t>
          </w:r>
          <w:r>
            <w:rPr>
              <w:rFonts w:hint="eastAsia" w:ascii="仿宋_GB2312" w:hAnsi="仿宋_GB2312" w:eastAsia="仿宋_GB2312" w:cs="仿宋_GB2312"/>
              <w:kern w:val="2"/>
              <w:sz w:val="36"/>
              <w:szCs w:val="36"/>
              <w:lang w:val="en-US" w:eastAsia="zh-CN" w:bidi="ar-SA"/>
            </w:rPr>
            <w:tab/>
          </w:r>
          <w:r>
            <w:rPr>
              <w:rFonts w:hint="eastAsia" w:ascii="仿宋_GB2312" w:hAnsi="仿宋_GB2312" w:eastAsia="仿宋_GB2312" w:cs="仿宋_GB2312"/>
              <w:kern w:val="2"/>
              <w:sz w:val="36"/>
              <w:szCs w:val="36"/>
              <w:lang w:val="en-US" w:eastAsia="zh-CN" w:bidi="ar-SA"/>
            </w:rPr>
            <w:fldChar w:fldCharType="begin"/>
          </w:r>
          <w:r>
            <w:rPr>
              <w:rFonts w:hint="eastAsia" w:ascii="仿宋_GB2312" w:hAnsi="仿宋_GB2312" w:eastAsia="仿宋_GB2312" w:cs="仿宋_GB2312"/>
              <w:kern w:val="2"/>
              <w:sz w:val="36"/>
              <w:szCs w:val="36"/>
              <w:lang w:val="en-US" w:eastAsia="zh-CN" w:bidi="ar-SA"/>
            </w:rPr>
            <w:instrText xml:space="preserve"> PAGEREF _Toc24760 </w:instrText>
          </w:r>
          <w:r>
            <w:rPr>
              <w:rFonts w:hint="eastAsia" w:ascii="仿宋_GB2312" w:hAnsi="仿宋_GB2312" w:eastAsia="仿宋_GB2312" w:cs="仿宋_GB2312"/>
              <w:kern w:val="2"/>
              <w:sz w:val="36"/>
              <w:szCs w:val="36"/>
              <w:lang w:val="en-US" w:eastAsia="zh-CN" w:bidi="ar-SA"/>
            </w:rPr>
            <w:fldChar w:fldCharType="separate"/>
          </w:r>
          <w:r>
            <w:rPr>
              <w:rFonts w:hint="eastAsia" w:ascii="仿宋_GB2312" w:hAnsi="仿宋_GB2312" w:eastAsia="仿宋_GB2312" w:cs="仿宋_GB2312"/>
              <w:kern w:val="2"/>
              <w:sz w:val="36"/>
              <w:szCs w:val="36"/>
              <w:lang w:val="en-US" w:eastAsia="zh-CN" w:bidi="ar-SA"/>
            </w:rPr>
            <w:t>1</w:t>
          </w:r>
          <w:r>
            <w:rPr>
              <w:rFonts w:hint="eastAsia" w:ascii="仿宋_GB2312" w:hAnsi="仿宋_GB2312" w:eastAsia="仿宋_GB2312" w:cs="仿宋_GB2312"/>
              <w:kern w:val="2"/>
              <w:sz w:val="36"/>
              <w:szCs w:val="36"/>
              <w:lang w:val="en-US" w:eastAsia="zh-CN" w:bidi="ar-SA"/>
            </w:rPr>
            <w:fldChar w:fldCharType="end"/>
          </w:r>
          <w:r>
            <w:rPr>
              <w:rFonts w:hint="eastAsia" w:ascii="仿宋_GB2312" w:hAnsi="仿宋_GB2312" w:eastAsia="仿宋_GB2312" w:cs="仿宋_GB2312"/>
              <w:bCs/>
              <w:kern w:val="2"/>
              <w:sz w:val="36"/>
              <w:szCs w:val="36"/>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spacing w:line="560" w:lineRule="exact"/>
            <w:ind w:left="0" w:leftChars="0" w:right="0" w:rightChars="0" w:firstLine="0" w:firstLineChars="0"/>
            <w:textAlignment w:val="auto"/>
            <w:outlineLvl w:val="9"/>
            <w:rPr>
              <w:rFonts w:hint="eastAsia" w:ascii="仿宋_GB2312" w:hAnsi="仿宋_GB2312" w:eastAsia="仿宋_GB2312" w:cs="仿宋_GB2312"/>
              <w:kern w:val="2"/>
              <w:sz w:val="36"/>
              <w:szCs w:val="36"/>
              <w:lang w:val="en-US" w:eastAsia="zh-CN" w:bidi="ar-SA"/>
            </w:rPr>
          </w:pPr>
          <w:r>
            <w:rPr>
              <w:rFonts w:hint="eastAsia" w:ascii="仿宋_GB2312" w:hAnsi="仿宋_GB2312" w:eastAsia="仿宋_GB2312" w:cs="仿宋_GB2312"/>
              <w:bCs/>
              <w:kern w:val="2"/>
              <w:sz w:val="36"/>
              <w:szCs w:val="36"/>
              <w:lang w:val="en-US" w:eastAsia="zh-CN" w:bidi="ar-SA"/>
            </w:rPr>
            <w:fldChar w:fldCharType="begin"/>
          </w:r>
          <w:r>
            <w:rPr>
              <w:rFonts w:hint="eastAsia" w:ascii="仿宋_GB2312" w:hAnsi="仿宋_GB2312" w:eastAsia="仿宋_GB2312" w:cs="仿宋_GB2312"/>
              <w:bCs/>
              <w:kern w:val="2"/>
              <w:sz w:val="36"/>
              <w:szCs w:val="36"/>
              <w:lang w:val="en-US" w:eastAsia="zh-CN" w:bidi="ar-SA"/>
            </w:rPr>
            <w:instrText xml:space="preserve"> HYPERLINK \l _Toc568 </w:instrText>
          </w:r>
          <w:r>
            <w:rPr>
              <w:rFonts w:hint="eastAsia" w:ascii="仿宋_GB2312" w:hAnsi="仿宋_GB2312" w:eastAsia="仿宋_GB2312" w:cs="仿宋_GB2312"/>
              <w:bCs/>
              <w:kern w:val="2"/>
              <w:sz w:val="36"/>
              <w:szCs w:val="36"/>
              <w:lang w:val="en-US" w:eastAsia="zh-CN" w:bidi="ar-SA"/>
            </w:rPr>
            <w:fldChar w:fldCharType="separate"/>
          </w:r>
          <w:r>
            <w:rPr>
              <w:rFonts w:hint="eastAsia" w:ascii="仿宋_GB2312" w:hAnsi="仿宋_GB2312" w:eastAsia="仿宋_GB2312" w:cs="仿宋_GB2312"/>
              <w:kern w:val="2"/>
              <w:sz w:val="36"/>
              <w:szCs w:val="36"/>
              <w:lang w:val="en-US" w:eastAsia="zh-CN" w:bidi="ar-SA"/>
            </w:rPr>
            <w:t>第二章 评标办法</w:t>
          </w:r>
          <w:r>
            <w:rPr>
              <w:rFonts w:hint="eastAsia" w:ascii="仿宋_GB2312" w:hAnsi="仿宋_GB2312" w:eastAsia="仿宋_GB2312" w:cs="仿宋_GB2312"/>
              <w:kern w:val="2"/>
              <w:sz w:val="36"/>
              <w:szCs w:val="36"/>
              <w:lang w:val="en-US" w:eastAsia="zh-CN" w:bidi="ar-SA"/>
            </w:rPr>
            <w:tab/>
          </w:r>
          <w:r>
            <w:rPr>
              <w:rFonts w:hint="eastAsia" w:ascii="仿宋_GB2312" w:hAnsi="仿宋_GB2312" w:eastAsia="仿宋_GB2312" w:cs="仿宋_GB2312"/>
              <w:kern w:val="2"/>
              <w:sz w:val="36"/>
              <w:szCs w:val="36"/>
              <w:lang w:val="en-US" w:eastAsia="zh-CN" w:bidi="ar-SA"/>
            </w:rPr>
            <w:t>3</w:t>
          </w:r>
          <w:r>
            <w:rPr>
              <w:rFonts w:hint="eastAsia" w:ascii="仿宋_GB2312" w:hAnsi="仿宋_GB2312" w:eastAsia="仿宋_GB2312" w:cs="仿宋_GB2312"/>
              <w:bCs/>
              <w:kern w:val="2"/>
              <w:sz w:val="36"/>
              <w:szCs w:val="36"/>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spacing w:line="560" w:lineRule="exact"/>
            <w:ind w:left="0" w:leftChars="0" w:right="0" w:rightChars="0" w:firstLine="0" w:firstLineChars="0"/>
            <w:textAlignment w:val="auto"/>
            <w:outlineLvl w:val="9"/>
            <w:rPr>
              <w:rFonts w:hint="eastAsia" w:ascii="仿宋_GB2312" w:hAnsi="仿宋_GB2312" w:eastAsia="仿宋_GB2312" w:cs="仿宋_GB2312"/>
              <w:kern w:val="2"/>
              <w:sz w:val="36"/>
              <w:szCs w:val="36"/>
              <w:lang w:val="en-US" w:eastAsia="zh-CN" w:bidi="ar-SA"/>
            </w:rPr>
          </w:pPr>
          <w:r>
            <w:rPr>
              <w:rFonts w:hint="eastAsia" w:ascii="仿宋_GB2312" w:hAnsi="仿宋_GB2312" w:eastAsia="仿宋_GB2312" w:cs="仿宋_GB2312"/>
              <w:bCs/>
              <w:kern w:val="2"/>
              <w:sz w:val="36"/>
              <w:szCs w:val="36"/>
              <w:lang w:val="en-US" w:eastAsia="zh-CN" w:bidi="ar-SA"/>
            </w:rPr>
            <w:fldChar w:fldCharType="begin"/>
          </w:r>
          <w:r>
            <w:rPr>
              <w:rFonts w:hint="eastAsia" w:ascii="仿宋_GB2312" w:hAnsi="仿宋_GB2312" w:eastAsia="仿宋_GB2312" w:cs="仿宋_GB2312"/>
              <w:bCs/>
              <w:kern w:val="2"/>
              <w:sz w:val="36"/>
              <w:szCs w:val="36"/>
              <w:lang w:val="en-US" w:eastAsia="zh-CN" w:bidi="ar-SA"/>
            </w:rPr>
            <w:instrText xml:space="preserve"> HYPERLINK \l _Toc20342 </w:instrText>
          </w:r>
          <w:r>
            <w:rPr>
              <w:rFonts w:hint="eastAsia" w:ascii="仿宋_GB2312" w:hAnsi="仿宋_GB2312" w:eastAsia="仿宋_GB2312" w:cs="仿宋_GB2312"/>
              <w:bCs/>
              <w:kern w:val="2"/>
              <w:sz w:val="36"/>
              <w:szCs w:val="36"/>
              <w:lang w:val="en-US" w:eastAsia="zh-CN" w:bidi="ar-SA"/>
            </w:rPr>
            <w:fldChar w:fldCharType="separate"/>
          </w:r>
          <w:r>
            <w:rPr>
              <w:rFonts w:hint="eastAsia" w:ascii="仿宋_GB2312" w:hAnsi="仿宋_GB2312" w:eastAsia="仿宋_GB2312" w:cs="仿宋_GB2312"/>
              <w:kern w:val="2"/>
              <w:sz w:val="36"/>
              <w:szCs w:val="36"/>
              <w:lang w:val="en-US" w:eastAsia="zh-CN" w:bidi="ar-SA"/>
            </w:rPr>
            <w:t>第三章 合同条款及格式</w:t>
          </w:r>
          <w:r>
            <w:rPr>
              <w:rFonts w:hint="eastAsia" w:ascii="仿宋_GB2312" w:hAnsi="仿宋_GB2312" w:eastAsia="仿宋_GB2312" w:cs="仿宋_GB2312"/>
              <w:kern w:val="2"/>
              <w:sz w:val="36"/>
              <w:szCs w:val="36"/>
              <w:lang w:val="en-US" w:eastAsia="zh-CN" w:bidi="ar-SA"/>
            </w:rPr>
            <w:tab/>
          </w:r>
          <w:r>
            <w:rPr>
              <w:rFonts w:hint="eastAsia" w:ascii="仿宋_GB2312" w:hAnsi="仿宋_GB2312" w:eastAsia="仿宋_GB2312" w:cs="仿宋_GB2312"/>
              <w:kern w:val="2"/>
              <w:sz w:val="36"/>
              <w:szCs w:val="36"/>
              <w:lang w:val="en-US" w:eastAsia="zh-CN" w:bidi="ar-SA"/>
            </w:rPr>
            <w:t>7</w:t>
          </w:r>
          <w:r>
            <w:rPr>
              <w:rFonts w:hint="eastAsia" w:ascii="仿宋_GB2312" w:hAnsi="仿宋_GB2312" w:eastAsia="仿宋_GB2312" w:cs="仿宋_GB2312"/>
              <w:bCs/>
              <w:kern w:val="2"/>
              <w:sz w:val="36"/>
              <w:szCs w:val="36"/>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spacing w:line="560" w:lineRule="exact"/>
            <w:ind w:left="0" w:leftChars="0" w:right="0" w:rightChars="0" w:firstLine="0" w:firstLineChars="0"/>
            <w:textAlignment w:val="auto"/>
            <w:outlineLvl w:val="9"/>
            <w:rPr>
              <w:rFonts w:hint="eastAsia" w:ascii="仿宋_GB2312" w:hAnsi="仿宋_GB2312" w:eastAsia="仿宋_GB2312" w:cs="仿宋_GB2312"/>
              <w:kern w:val="2"/>
              <w:sz w:val="36"/>
              <w:szCs w:val="36"/>
              <w:lang w:val="en-US" w:eastAsia="zh-CN" w:bidi="ar-SA"/>
            </w:rPr>
          </w:pPr>
          <w:r>
            <w:rPr>
              <w:rFonts w:hint="eastAsia" w:ascii="仿宋_GB2312" w:hAnsi="仿宋_GB2312" w:eastAsia="仿宋_GB2312" w:cs="仿宋_GB2312"/>
              <w:bCs/>
              <w:kern w:val="2"/>
              <w:sz w:val="36"/>
              <w:szCs w:val="36"/>
              <w:lang w:val="en-US" w:eastAsia="zh-CN" w:bidi="ar-SA"/>
            </w:rPr>
            <w:fldChar w:fldCharType="begin"/>
          </w:r>
          <w:r>
            <w:rPr>
              <w:rFonts w:hint="eastAsia" w:ascii="仿宋_GB2312" w:hAnsi="仿宋_GB2312" w:eastAsia="仿宋_GB2312" w:cs="仿宋_GB2312"/>
              <w:bCs/>
              <w:kern w:val="2"/>
              <w:sz w:val="36"/>
              <w:szCs w:val="36"/>
              <w:lang w:val="en-US" w:eastAsia="zh-CN" w:bidi="ar-SA"/>
            </w:rPr>
            <w:instrText xml:space="preserve"> HYPERLINK \l _Toc20411 </w:instrText>
          </w:r>
          <w:r>
            <w:rPr>
              <w:rFonts w:hint="eastAsia" w:ascii="仿宋_GB2312" w:hAnsi="仿宋_GB2312" w:eastAsia="仿宋_GB2312" w:cs="仿宋_GB2312"/>
              <w:bCs/>
              <w:kern w:val="2"/>
              <w:sz w:val="36"/>
              <w:szCs w:val="36"/>
              <w:lang w:val="en-US" w:eastAsia="zh-CN" w:bidi="ar-SA"/>
            </w:rPr>
            <w:fldChar w:fldCharType="separate"/>
          </w:r>
          <w:r>
            <w:rPr>
              <w:rFonts w:hint="eastAsia" w:ascii="仿宋_GB2312" w:hAnsi="仿宋_GB2312" w:eastAsia="仿宋_GB2312" w:cs="仿宋_GB2312"/>
              <w:kern w:val="2"/>
              <w:sz w:val="36"/>
              <w:szCs w:val="36"/>
              <w:lang w:val="en-US" w:eastAsia="zh-CN" w:bidi="ar-SA"/>
            </w:rPr>
            <w:t>第四章 工程量清单</w:t>
          </w:r>
          <w:r>
            <w:rPr>
              <w:rFonts w:hint="eastAsia" w:ascii="仿宋_GB2312" w:hAnsi="仿宋_GB2312" w:eastAsia="仿宋_GB2312" w:cs="仿宋_GB2312"/>
              <w:kern w:val="2"/>
              <w:sz w:val="36"/>
              <w:szCs w:val="36"/>
              <w:lang w:val="en-US" w:eastAsia="zh-CN" w:bidi="ar-SA"/>
            </w:rPr>
            <w:tab/>
          </w:r>
          <w:r>
            <w:rPr>
              <w:rFonts w:hint="eastAsia" w:ascii="仿宋_GB2312" w:hAnsi="仿宋_GB2312" w:eastAsia="仿宋_GB2312" w:cs="仿宋_GB2312"/>
              <w:kern w:val="2"/>
              <w:sz w:val="36"/>
              <w:szCs w:val="36"/>
              <w:lang w:val="en-US" w:eastAsia="zh-CN" w:bidi="ar-SA"/>
            </w:rPr>
            <w:fldChar w:fldCharType="begin"/>
          </w:r>
          <w:r>
            <w:rPr>
              <w:rFonts w:hint="eastAsia" w:ascii="仿宋_GB2312" w:hAnsi="仿宋_GB2312" w:eastAsia="仿宋_GB2312" w:cs="仿宋_GB2312"/>
              <w:kern w:val="2"/>
              <w:sz w:val="36"/>
              <w:szCs w:val="36"/>
              <w:lang w:val="en-US" w:eastAsia="zh-CN" w:bidi="ar-SA"/>
            </w:rPr>
            <w:instrText xml:space="preserve"> PAGEREF _Toc20411 </w:instrText>
          </w:r>
          <w:r>
            <w:rPr>
              <w:rFonts w:hint="eastAsia" w:ascii="仿宋_GB2312" w:hAnsi="仿宋_GB2312" w:eastAsia="仿宋_GB2312" w:cs="仿宋_GB2312"/>
              <w:kern w:val="2"/>
              <w:sz w:val="36"/>
              <w:szCs w:val="36"/>
              <w:lang w:val="en-US" w:eastAsia="zh-CN" w:bidi="ar-SA"/>
            </w:rPr>
            <w:fldChar w:fldCharType="separate"/>
          </w:r>
          <w:r>
            <w:rPr>
              <w:rFonts w:hint="eastAsia" w:ascii="仿宋_GB2312" w:hAnsi="仿宋_GB2312" w:eastAsia="仿宋_GB2312" w:cs="仿宋_GB2312"/>
              <w:kern w:val="2"/>
              <w:sz w:val="36"/>
              <w:szCs w:val="36"/>
              <w:lang w:val="en-US" w:eastAsia="zh-CN" w:bidi="ar-SA"/>
            </w:rPr>
            <w:t>26</w:t>
          </w:r>
          <w:r>
            <w:rPr>
              <w:rFonts w:hint="eastAsia" w:ascii="仿宋_GB2312" w:hAnsi="仿宋_GB2312" w:eastAsia="仿宋_GB2312" w:cs="仿宋_GB2312"/>
              <w:kern w:val="2"/>
              <w:sz w:val="36"/>
              <w:szCs w:val="36"/>
              <w:lang w:val="en-US" w:eastAsia="zh-CN" w:bidi="ar-SA"/>
            </w:rPr>
            <w:fldChar w:fldCharType="end"/>
          </w:r>
          <w:r>
            <w:rPr>
              <w:rFonts w:hint="eastAsia" w:ascii="仿宋_GB2312" w:hAnsi="仿宋_GB2312" w:eastAsia="仿宋_GB2312" w:cs="仿宋_GB2312"/>
              <w:bCs/>
              <w:kern w:val="2"/>
              <w:sz w:val="36"/>
              <w:szCs w:val="36"/>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spacing w:line="560" w:lineRule="exact"/>
            <w:ind w:left="0" w:leftChars="0" w:right="0" w:rightChars="0" w:firstLine="0" w:firstLineChars="0"/>
            <w:textAlignment w:val="auto"/>
            <w:outlineLvl w:val="9"/>
            <w:rPr>
              <w:rFonts w:hint="eastAsia" w:ascii="仿宋_GB2312" w:hAnsi="仿宋_GB2312" w:eastAsia="仿宋_GB2312" w:cs="仿宋_GB2312"/>
              <w:kern w:val="2"/>
              <w:sz w:val="36"/>
              <w:szCs w:val="36"/>
              <w:lang w:val="en-US" w:eastAsia="zh-CN" w:bidi="ar-SA"/>
            </w:rPr>
          </w:pPr>
          <w:r>
            <w:rPr>
              <w:rFonts w:hint="eastAsia" w:ascii="仿宋_GB2312" w:hAnsi="仿宋_GB2312" w:eastAsia="仿宋_GB2312" w:cs="仿宋_GB2312"/>
              <w:bCs/>
              <w:kern w:val="2"/>
              <w:sz w:val="36"/>
              <w:szCs w:val="36"/>
              <w:lang w:val="en-US" w:eastAsia="zh-CN" w:bidi="ar-SA"/>
            </w:rPr>
            <w:fldChar w:fldCharType="begin"/>
          </w:r>
          <w:r>
            <w:rPr>
              <w:rFonts w:hint="eastAsia" w:ascii="仿宋_GB2312" w:hAnsi="仿宋_GB2312" w:eastAsia="仿宋_GB2312" w:cs="仿宋_GB2312"/>
              <w:bCs/>
              <w:kern w:val="2"/>
              <w:sz w:val="36"/>
              <w:szCs w:val="36"/>
              <w:lang w:val="en-US" w:eastAsia="zh-CN" w:bidi="ar-SA"/>
            </w:rPr>
            <w:instrText xml:space="preserve"> HYPERLINK \l _Toc15201 </w:instrText>
          </w:r>
          <w:r>
            <w:rPr>
              <w:rFonts w:hint="eastAsia" w:ascii="仿宋_GB2312" w:hAnsi="仿宋_GB2312" w:eastAsia="仿宋_GB2312" w:cs="仿宋_GB2312"/>
              <w:bCs/>
              <w:kern w:val="2"/>
              <w:sz w:val="36"/>
              <w:szCs w:val="36"/>
              <w:lang w:val="en-US" w:eastAsia="zh-CN" w:bidi="ar-SA"/>
            </w:rPr>
            <w:fldChar w:fldCharType="separate"/>
          </w:r>
          <w:r>
            <w:rPr>
              <w:rFonts w:hint="eastAsia" w:ascii="仿宋_GB2312" w:hAnsi="仿宋_GB2312" w:eastAsia="仿宋_GB2312" w:cs="仿宋_GB2312"/>
              <w:kern w:val="2"/>
              <w:sz w:val="36"/>
              <w:szCs w:val="36"/>
              <w:lang w:val="en-US" w:eastAsia="zh-CN" w:bidi="ar-SA"/>
            </w:rPr>
            <w:t>第五章 技术标准及要求</w:t>
          </w:r>
          <w:r>
            <w:rPr>
              <w:rFonts w:hint="eastAsia" w:ascii="仿宋_GB2312" w:hAnsi="仿宋_GB2312" w:eastAsia="仿宋_GB2312" w:cs="仿宋_GB2312"/>
              <w:kern w:val="2"/>
              <w:sz w:val="36"/>
              <w:szCs w:val="36"/>
              <w:lang w:val="en-US" w:eastAsia="zh-CN" w:bidi="ar-SA"/>
            </w:rPr>
            <w:tab/>
          </w:r>
          <w:r>
            <w:rPr>
              <w:rFonts w:hint="eastAsia" w:ascii="仿宋_GB2312" w:hAnsi="仿宋_GB2312" w:eastAsia="仿宋_GB2312" w:cs="仿宋_GB2312"/>
              <w:kern w:val="2"/>
              <w:sz w:val="36"/>
              <w:szCs w:val="36"/>
              <w:lang w:val="en-US" w:eastAsia="zh-CN" w:bidi="ar-SA"/>
            </w:rPr>
            <w:fldChar w:fldCharType="begin"/>
          </w:r>
          <w:r>
            <w:rPr>
              <w:rFonts w:hint="eastAsia" w:ascii="仿宋_GB2312" w:hAnsi="仿宋_GB2312" w:eastAsia="仿宋_GB2312" w:cs="仿宋_GB2312"/>
              <w:kern w:val="2"/>
              <w:sz w:val="36"/>
              <w:szCs w:val="36"/>
              <w:lang w:val="en-US" w:eastAsia="zh-CN" w:bidi="ar-SA"/>
            </w:rPr>
            <w:instrText xml:space="preserve"> PAGEREF _Toc15201 </w:instrText>
          </w:r>
          <w:r>
            <w:rPr>
              <w:rFonts w:hint="eastAsia" w:ascii="仿宋_GB2312" w:hAnsi="仿宋_GB2312" w:eastAsia="仿宋_GB2312" w:cs="仿宋_GB2312"/>
              <w:kern w:val="2"/>
              <w:sz w:val="36"/>
              <w:szCs w:val="36"/>
              <w:lang w:val="en-US" w:eastAsia="zh-CN" w:bidi="ar-SA"/>
            </w:rPr>
            <w:fldChar w:fldCharType="separate"/>
          </w:r>
          <w:r>
            <w:rPr>
              <w:rFonts w:hint="eastAsia" w:ascii="仿宋_GB2312" w:hAnsi="仿宋_GB2312" w:eastAsia="仿宋_GB2312" w:cs="仿宋_GB2312"/>
              <w:kern w:val="2"/>
              <w:sz w:val="36"/>
              <w:szCs w:val="36"/>
              <w:lang w:val="en-US" w:eastAsia="zh-CN" w:bidi="ar-SA"/>
            </w:rPr>
            <w:t>27</w:t>
          </w:r>
          <w:r>
            <w:rPr>
              <w:rFonts w:hint="eastAsia" w:ascii="仿宋_GB2312" w:hAnsi="仿宋_GB2312" w:eastAsia="仿宋_GB2312" w:cs="仿宋_GB2312"/>
              <w:kern w:val="2"/>
              <w:sz w:val="36"/>
              <w:szCs w:val="36"/>
              <w:lang w:val="en-US" w:eastAsia="zh-CN" w:bidi="ar-SA"/>
            </w:rPr>
            <w:fldChar w:fldCharType="end"/>
          </w:r>
          <w:r>
            <w:rPr>
              <w:rFonts w:hint="eastAsia" w:ascii="仿宋_GB2312" w:hAnsi="仿宋_GB2312" w:eastAsia="仿宋_GB2312" w:cs="仿宋_GB2312"/>
              <w:bCs/>
              <w:kern w:val="2"/>
              <w:sz w:val="36"/>
              <w:szCs w:val="36"/>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spacing w:line="560" w:lineRule="exact"/>
            <w:ind w:left="0" w:leftChars="0" w:right="0" w:rightChars="0" w:firstLine="0" w:firstLineChars="0"/>
            <w:textAlignment w:val="auto"/>
            <w:outlineLvl w:val="9"/>
            <w:rPr>
              <w:rFonts w:hint="eastAsia" w:ascii="仿宋_GB2312" w:hAnsi="仿宋_GB2312" w:eastAsia="仿宋_GB2312" w:cs="仿宋_GB2312"/>
              <w:kern w:val="2"/>
              <w:sz w:val="36"/>
              <w:szCs w:val="36"/>
              <w:lang w:val="en-US" w:eastAsia="zh-CN" w:bidi="ar-SA"/>
            </w:rPr>
          </w:pPr>
          <w:r>
            <w:rPr>
              <w:rFonts w:hint="eastAsia" w:ascii="仿宋_GB2312" w:hAnsi="仿宋_GB2312" w:eastAsia="仿宋_GB2312" w:cs="仿宋_GB2312"/>
              <w:bCs/>
              <w:kern w:val="2"/>
              <w:sz w:val="36"/>
              <w:szCs w:val="36"/>
              <w:lang w:val="en-US" w:eastAsia="zh-CN" w:bidi="ar-SA"/>
            </w:rPr>
            <w:fldChar w:fldCharType="begin"/>
          </w:r>
          <w:r>
            <w:rPr>
              <w:rFonts w:hint="eastAsia" w:ascii="仿宋_GB2312" w:hAnsi="仿宋_GB2312" w:eastAsia="仿宋_GB2312" w:cs="仿宋_GB2312"/>
              <w:bCs/>
              <w:kern w:val="2"/>
              <w:sz w:val="36"/>
              <w:szCs w:val="36"/>
              <w:lang w:val="en-US" w:eastAsia="zh-CN" w:bidi="ar-SA"/>
            </w:rPr>
            <w:instrText xml:space="preserve"> HYPERLINK \l _Toc1471 </w:instrText>
          </w:r>
          <w:r>
            <w:rPr>
              <w:rFonts w:hint="eastAsia" w:ascii="仿宋_GB2312" w:hAnsi="仿宋_GB2312" w:eastAsia="仿宋_GB2312" w:cs="仿宋_GB2312"/>
              <w:bCs/>
              <w:kern w:val="2"/>
              <w:sz w:val="36"/>
              <w:szCs w:val="36"/>
              <w:lang w:val="en-US" w:eastAsia="zh-CN" w:bidi="ar-SA"/>
            </w:rPr>
            <w:fldChar w:fldCharType="separate"/>
          </w:r>
          <w:r>
            <w:rPr>
              <w:rFonts w:hint="eastAsia" w:ascii="仿宋_GB2312" w:hAnsi="仿宋_GB2312" w:eastAsia="仿宋_GB2312" w:cs="仿宋_GB2312"/>
              <w:kern w:val="2"/>
              <w:sz w:val="36"/>
              <w:szCs w:val="36"/>
              <w:lang w:val="en-US" w:eastAsia="zh-CN" w:bidi="ar-SA"/>
            </w:rPr>
            <w:t>第六章 投标文件格式</w:t>
          </w:r>
          <w:r>
            <w:rPr>
              <w:rFonts w:hint="eastAsia" w:ascii="仿宋_GB2312" w:hAnsi="仿宋_GB2312" w:eastAsia="仿宋_GB2312" w:cs="仿宋_GB2312"/>
              <w:kern w:val="2"/>
              <w:sz w:val="36"/>
              <w:szCs w:val="36"/>
              <w:lang w:val="en-US" w:eastAsia="zh-CN" w:bidi="ar-SA"/>
            </w:rPr>
            <w:tab/>
          </w:r>
          <w:r>
            <w:rPr>
              <w:rFonts w:hint="eastAsia" w:ascii="仿宋_GB2312" w:hAnsi="仿宋_GB2312" w:eastAsia="仿宋_GB2312" w:cs="仿宋_GB2312"/>
              <w:kern w:val="2"/>
              <w:sz w:val="36"/>
              <w:szCs w:val="36"/>
              <w:lang w:val="en-US" w:eastAsia="zh-CN" w:bidi="ar-SA"/>
            </w:rPr>
            <w:t>3</w:t>
          </w:r>
          <w:r>
            <w:rPr>
              <w:rFonts w:hint="eastAsia" w:ascii="仿宋_GB2312" w:hAnsi="仿宋_GB2312" w:eastAsia="仿宋_GB2312" w:cs="仿宋_GB2312"/>
              <w:bCs/>
              <w:kern w:val="2"/>
              <w:sz w:val="36"/>
              <w:szCs w:val="36"/>
              <w:lang w:val="en-US" w:eastAsia="zh-CN" w:bidi="ar-SA"/>
            </w:rPr>
            <w:fldChar w:fldCharType="end"/>
          </w:r>
          <w:r>
            <w:rPr>
              <w:rFonts w:hint="eastAsia" w:ascii="仿宋_GB2312" w:hAnsi="仿宋_GB2312" w:eastAsia="仿宋_GB2312" w:cs="仿宋_GB2312"/>
              <w:bCs/>
              <w:kern w:val="2"/>
              <w:sz w:val="36"/>
              <w:szCs w:val="36"/>
              <w:lang w:val="en-US" w:eastAsia="zh-CN" w:bidi="ar-SA"/>
            </w:rPr>
            <w:t>1</w:t>
          </w:r>
        </w:p>
        <w:p>
          <w:pPr>
            <w:keepNext w:val="0"/>
            <w:keepLines w:val="0"/>
            <w:pageBreakBefore w:val="0"/>
            <w:widowControl w:val="0"/>
            <w:kinsoku/>
            <w:wordWrap/>
            <w:overflowPunct/>
            <w:topLinePunct w:val="0"/>
            <w:autoSpaceDE/>
            <w:autoSpaceDN/>
            <w:bidi w:val="0"/>
            <w:spacing w:line="560" w:lineRule="exact"/>
            <w:ind w:left="0" w:leftChars="0" w:right="0" w:rightChars="0" w:firstLine="0" w:firstLineChars="0"/>
            <w:jc w:val="both"/>
            <w:textAlignment w:val="auto"/>
            <w:outlineLvl w:val="9"/>
            <w:rPr>
              <w:b/>
              <w:bCs/>
              <w:sz w:val="44"/>
              <w:szCs w:val="44"/>
            </w:rPr>
          </w:pPr>
          <w:r>
            <w:rPr>
              <w:rFonts w:hint="eastAsia" w:ascii="仿宋_GB2312" w:hAnsi="仿宋_GB2312" w:eastAsia="仿宋_GB2312" w:cs="仿宋_GB2312"/>
              <w:bCs/>
              <w:kern w:val="2"/>
              <w:sz w:val="36"/>
              <w:szCs w:val="36"/>
              <w:lang w:val="en-US" w:eastAsia="zh-CN" w:bidi="ar-SA"/>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rPr>
          <w:b/>
          <w:bCs/>
          <w:sz w:val="44"/>
          <w:szCs w:val="44"/>
        </w:rPr>
      </w:pPr>
    </w:p>
    <w:p>
      <w:pPr>
        <w:pStyle w:val="9"/>
        <w:pageBreakBefore/>
        <w:rPr>
          <w:rFonts w:hint="eastAsia"/>
        </w:rPr>
        <w:sectPr>
          <w:headerReference r:id="rId6" w:type="default"/>
          <w:footerReference r:id="rId7" w:type="default"/>
          <w:pgSz w:w="11906" w:h="16838"/>
          <w:pgMar w:top="1440" w:right="1800" w:bottom="1440" w:left="1800" w:header="851" w:footer="992" w:gutter="0"/>
          <w:pgNumType w:fmt="decimal"/>
          <w:cols w:space="425" w:num="1"/>
          <w:docGrid w:type="lines" w:linePitch="312" w:charSpace="0"/>
        </w:sectPr>
      </w:pPr>
      <w:bookmarkStart w:id="0" w:name="_Toc24760"/>
      <w:bookmarkStart w:id="1" w:name="_Toc448097401"/>
    </w:p>
    <w:p>
      <w:pPr>
        <w:pStyle w:val="9"/>
        <w:pageBreakBefore/>
      </w:pPr>
      <w:r>
        <w:rPr>
          <w:rFonts w:hint="eastAsia"/>
        </w:rPr>
        <w:t>第一章 招标公告</w:t>
      </w:r>
      <w:bookmarkEnd w:id="0"/>
      <w:bookmarkEnd w:id="1"/>
    </w:p>
    <w:p>
      <w:pPr>
        <w:widowControl/>
        <w:numPr>
          <w:ilvl w:val="0"/>
          <w:numId w:val="1"/>
        </w:numPr>
        <w:adjustRightInd w:val="0"/>
        <w:snapToGrid w:val="0"/>
        <w:spacing w:line="320" w:lineRule="exact"/>
        <w:ind w:left="0" w:leftChars="0" w:firstLine="420" w:firstLineChars="0"/>
        <w:rPr>
          <w:rFonts w:hint="eastAsia"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招标内容</w:t>
      </w:r>
    </w:p>
    <w:p>
      <w:pPr>
        <w:widowControl/>
        <w:numPr>
          <w:ilvl w:val="0"/>
          <w:numId w:val="2"/>
        </w:numPr>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kern w:val="0"/>
          <w:sz w:val="24"/>
          <w:szCs w:val="24"/>
        </w:rPr>
        <w:t>项目概况：用钢板单侧焊接的方式</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对整段</w:t>
      </w:r>
      <w:r>
        <w:rPr>
          <w:rFonts w:hint="eastAsia" w:ascii="宋体" w:hAnsi="宋体" w:eastAsia="宋体" w:cs="宋体"/>
          <w:b/>
          <w:bCs/>
          <w:kern w:val="0"/>
          <w:sz w:val="24"/>
          <w:szCs w:val="24"/>
        </w:rPr>
        <w:t>T1航站楼高架桥外车道纵向伸缩缝进行覆盖。</w:t>
      </w:r>
    </w:p>
    <w:p>
      <w:pPr>
        <w:widowControl/>
        <w:numPr>
          <w:ilvl w:val="0"/>
          <w:numId w:val="2"/>
        </w:numPr>
        <w:adjustRightInd w:val="0"/>
        <w:snapToGrid w:val="0"/>
        <w:spacing w:line="360" w:lineRule="exact"/>
        <w:ind w:firstLine="482"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实施内容：详见工程量清单和技术标准及要求。</w:t>
      </w:r>
    </w:p>
    <w:p>
      <w:pPr>
        <w:widowControl/>
        <w:numPr>
          <w:ilvl w:val="0"/>
          <w:numId w:val="2"/>
        </w:numPr>
        <w:adjustRightInd w:val="0"/>
        <w:snapToGrid w:val="0"/>
        <w:spacing w:line="360" w:lineRule="exact"/>
        <w:ind w:firstLine="482"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本项目设一个标段，要求甲方通知进场后</w:t>
      </w:r>
      <w:r>
        <w:rPr>
          <w:rFonts w:hint="eastAsia" w:ascii="宋体" w:hAnsi="宋体" w:eastAsia="宋体" w:cs="宋体"/>
          <w:b w:val="0"/>
          <w:bCs w:val="0"/>
          <w:kern w:val="0"/>
          <w:sz w:val="24"/>
          <w:szCs w:val="24"/>
          <w:u w:val="single"/>
          <w:lang w:val="en-US" w:eastAsia="zh-CN"/>
        </w:rPr>
        <w:t>7</w:t>
      </w:r>
      <w:r>
        <w:rPr>
          <w:rFonts w:hint="eastAsia" w:ascii="宋体" w:hAnsi="宋体" w:eastAsia="宋体" w:cs="宋体"/>
          <w:b w:val="0"/>
          <w:bCs w:val="0"/>
          <w:kern w:val="0"/>
          <w:sz w:val="24"/>
          <w:szCs w:val="24"/>
        </w:rPr>
        <w:t>日历天内完工。</w:t>
      </w:r>
    </w:p>
    <w:p>
      <w:pPr>
        <w:widowControl/>
        <w:numPr>
          <w:ilvl w:val="0"/>
          <w:numId w:val="1"/>
        </w:numPr>
        <w:adjustRightInd w:val="0"/>
        <w:snapToGrid w:val="0"/>
        <w:spacing w:line="320" w:lineRule="exact"/>
        <w:ind w:left="0" w:leftChars="0" w:firstLine="420" w:firstLineChars="0"/>
        <w:rPr>
          <w:rFonts w:hint="eastAsia"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资格要求 </w:t>
      </w:r>
    </w:p>
    <w:p>
      <w:pPr>
        <w:widowControl/>
        <w:adjustRightInd w:val="0"/>
        <w:snapToGrid w:val="0"/>
        <w:spacing w:line="360" w:lineRule="exact"/>
        <w:ind w:firstLine="482" w:firstLineChars="200"/>
        <w:rPr>
          <w:rFonts w:ascii="宋体" w:hAnsi="宋体" w:eastAsia="宋体" w:cs="宋体"/>
          <w:b/>
          <w:bCs/>
          <w:sz w:val="24"/>
          <w:szCs w:val="24"/>
        </w:rPr>
      </w:pPr>
      <w:r>
        <w:rPr>
          <w:rFonts w:hint="eastAsia" w:ascii="宋体" w:hAnsi="宋体" w:eastAsia="宋体" w:cs="宋体"/>
          <w:b/>
          <w:bCs/>
          <w:kern w:val="0"/>
          <w:sz w:val="24"/>
          <w:szCs w:val="24"/>
        </w:rPr>
        <w:t>（1）投标人具备</w:t>
      </w:r>
      <w:r>
        <w:rPr>
          <w:rFonts w:hint="eastAsia" w:ascii="宋体" w:hAnsi="宋体" w:eastAsia="宋体" w:cs="宋体"/>
          <w:b/>
          <w:bCs/>
          <w:kern w:val="0"/>
          <w:sz w:val="24"/>
          <w:szCs w:val="24"/>
          <w:u w:val="single"/>
        </w:rPr>
        <w:t>建筑工程施工总承包三级</w:t>
      </w:r>
      <w:r>
        <w:rPr>
          <w:rFonts w:hint="eastAsia" w:ascii="宋体" w:hAnsi="宋体" w:eastAsia="宋体" w:cs="宋体"/>
          <w:b/>
          <w:bCs/>
          <w:kern w:val="0"/>
          <w:sz w:val="24"/>
          <w:szCs w:val="24"/>
        </w:rPr>
        <w:t>或</w:t>
      </w:r>
      <w:r>
        <w:rPr>
          <w:rFonts w:hint="eastAsia" w:ascii="宋体" w:hAnsi="宋体" w:eastAsia="宋体" w:cs="宋体"/>
          <w:b/>
          <w:bCs/>
          <w:kern w:val="0"/>
          <w:sz w:val="24"/>
          <w:szCs w:val="24"/>
          <w:u w:val="single"/>
        </w:rPr>
        <w:t>建筑装修装饰工程专业承包二级</w:t>
      </w:r>
      <w:r>
        <w:rPr>
          <w:rFonts w:hint="eastAsia" w:ascii="宋体" w:hAnsi="宋体" w:eastAsia="宋体" w:cs="宋体"/>
          <w:b/>
          <w:bCs/>
          <w:kern w:val="0"/>
          <w:sz w:val="24"/>
          <w:szCs w:val="24"/>
        </w:rPr>
        <w:t>及以上资质。</w:t>
      </w:r>
    </w:p>
    <w:p>
      <w:pPr>
        <w:widowControl/>
        <w:adjustRightInd w:val="0"/>
        <w:snapToGrid w:val="0"/>
        <w:spacing w:line="360" w:lineRule="exact"/>
        <w:ind w:firstLine="482" w:firstLineChars="200"/>
        <w:rPr>
          <w:rFonts w:ascii="宋体" w:hAnsi="宋体" w:eastAsia="宋体" w:cs="宋体"/>
          <w:b/>
          <w:bCs/>
          <w:sz w:val="24"/>
          <w:szCs w:val="24"/>
        </w:rPr>
      </w:pPr>
      <w:r>
        <w:rPr>
          <w:rFonts w:hint="eastAsia" w:ascii="宋体" w:hAnsi="宋体" w:eastAsia="宋体" w:cs="宋体"/>
          <w:b/>
          <w:bCs/>
          <w:kern w:val="0"/>
          <w:sz w:val="24"/>
          <w:szCs w:val="24"/>
        </w:rPr>
        <w:t>（2）</w:t>
      </w:r>
      <w:r>
        <w:rPr>
          <w:rFonts w:hint="eastAsia" w:ascii="宋体" w:hAnsi="宋体" w:eastAsia="宋体" w:cs="宋体"/>
          <w:b/>
          <w:bCs/>
          <w:sz w:val="24"/>
          <w:szCs w:val="24"/>
        </w:rPr>
        <w:t>投标人应具有有效的《安全生产许可证》。</w:t>
      </w:r>
    </w:p>
    <w:p>
      <w:pPr>
        <w:widowControl/>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sz w:val="24"/>
          <w:szCs w:val="24"/>
        </w:rPr>
        <w:t>（3）项目经理资格要求：具有</w:t>
      </w:r>
      <w:r>
        <w:rPr>
          <w:rFonts w:hint="eastAsia" w:ascii="宋体" w:hAnsi="宋体" w:eastAsia="宋体" w:cs="宋体"/>
          <w:b/>
          <w:bCs/>
          <w:sz w:val="24"/>
          <w:szCs w:val="24"/>
          <w:u w:val="single"/>
        </w:rPr>
        <w:t xml:space="preserve"> 建筑 </w:t>
      </w:r>
      <w:r>
        <w:rPr>
          <w:rFonts w:hint="eastAsia" w:ascii="宋体" w:hAnsi="宋体" w:eastAsia="宋体" w:cs="宋体"/>
          <w:b/>
          <w:bCs/>
          <w:sz w:val="24"/>
          <w:szCs w:val="24"/>
        </w:rPr>
        <w:t>专业</w:t>
      </w:r>
      <w:r>
        <w:rPr>
          <w:rFonts w:hint="eastAsia" w:ascii="宋体" w:hAnsi="宋体" w:eastAsia="宋体" w:cs="宋体"/>
          <w:b/>
          <w:bCs/>
          <w:sz w:val="24"/>
          <w:szCs w:val="24"/>
          <w:u w:val="single"/>
        </w:rPr>
        <w:t xml:space="preserve"> 二 </w:t>
      </w:r>
      <w:r>
        <w:rPr>
          <w:rFonts w:hint="eastAsia" w:ascii="宋体" w:hAnsi="宋体" w:eastAsia="宋体" w:cs="宋体"/>
          <w:b/>
          <w:bCs/>
          <w:sz w:val="24"/>
          <w:szCs w:val="24"/>
        </w:rPr>
        <w:t>级及以上注册建造师执业证书。</w:t>
      </w:r>
    </w:p>
    <w:p>
      <w:pPr>
        <w:widowControl/>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kern w:val="0"/>
          <w:sz w:val="24"/>
          <w:szCs w:val="24"/>
        </w:rPr>
        <w:t>（4）本项目不接受联合体投标。</w:t>
      </w:r>
    </w:p>
    <w:p>
      <w:pPr>
        <w:widowControl/>
        <w:numPr>
          <w:ilvl w:val="0"/>
          <w:numId w:val="1"/>
        </w:numPr>
        <w:adjustRightInd w:val="0"/>
        <w:snapToGrid w:val="0"/>
        <w:spacing w:line="320" w:lineRule="exact"/>
        <w:ind w:left="0" w:leftChars="0" w:firstLine="420" w:firstLineChars="0"/>
        <w:rPr>
          <w:rFonts w:hint="eastAsia" w:asciiTheme="minorEastAsia" w:hAnsiTheme="minorEastAsia" w:cstheme="minorEastAsia"/>
          <w:b/>
          <w:bCs/>
          <w:kern w:val="0"/>
          <w:sz w:val="24"/>
          <w:szCs w:val="24"/>
        </w:rPr>
      </w:pPr>
      <w:bookmarkStart w:id="2" w:name="_Toc448097403"/>
      <w:bookmarkStart w:id="3" w:name="_Toc448097402"/>
      <w:r>
        <w:rPr>
          <w:rFonts w:hint="eastAsia" w:asciiTheme="minorEastAsia" w:hAnsiTheme="minorEastAsia" w:cstheme="minorEastAsia"/>
          <w:b/>
          <w:bCs/>
          <w:kern w:val="0"/>
          <w:sz w:val="24"/>
          <w:szCs w:val="24"/>
        </w:rPr>
        <w:t>招标文件获取</w:t>
      </w:r>
    </w:p>
    <w:p>
      <w:pPr>
        <w:snapToGrid w:val="0"/>
        <w:spacing w:line="320" w:lineRule="exact"/>
        <w:ind w:firstLine="480" w:firstLineChars="200"/>
        <w:rPr>
          <w:rFonts w:ascii="宋体" w:hAnsi="宋体" w:eastAsia="宋体" w:cs="宋体"/>
          <w:sz w:val="24"/>
          <w:szCs w:val="24"/>
        </w:rPr>
      </w:pPr>
      <w:r>
        <w:rPr>
          <w:rFonts w:hint="eastAsia" w:ascii="宋体" w:hAnsi="宋体" w:eastAsia="宋体" w:cs="宋体"/>
          <w:kern w:val="0"/>
          <w:sz w:val="24"/>
          <w:szCs w:val="24"/>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hint="eastAsia" w:ascii="宋体" w:hAnsi="宋体" w:eastAsia="宋体" w:cs="宋体"/>
          <w:kern w:val="0"/>
          <w:sz w:val="24"/>
          <w:szCs w:val="24"/>
        </w:rPr>
        <w:t>http://www.hzairport.com/zbxx.aspx</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自行下载招标文件</w:t>
      </w:r>
      <w:r>
        <w:rPr>
          <w:rFonts w:hint="eastAsia" w:ascii="宋体" w:hAnsi="宋体" w:eastAsia="宋体" w:cs="宋体"/>
          <w:sz w:val="24"/>
          <w:szCs w:val="24"/>
        </w:rPr>
        <w:t>。</w:t>
      </w:r>
    </w:p>
    <w:p>
      <w:pPr>
        <w:widowControl/>
        <w:numPr>
          <w:ilvl w:val="0"/>
          <w:numId w:val="1"/>
        </w:numPr>
        <w:adjustRightInd w:val="0"/>
        <w:snapToGrid w:val="0"/>
        <w:spacing w:line="320" w:lineRule="exact"/>
        <w:ind w:left="0" w:leftChars="0" w:firstLine="420" w:firstLineChars="0"/>
        <w:rPr>
          <w:rFonts w:hint="eastAsia"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踏勘现场</w:t>
      </w:r>
    </w:p>
    <w:p>
      <w:pPr>
        <w:snapToGrid w:val="0"/>
        <w:spacing w:line="360" w:lineRule="exact"/>
        <w:ind w:firstLine="480" w:firstLineChars="200"/>
        <w:rPr>
          <w:rFonts w:ascii="宋体" w:hAnsi="宋体" w:eastAsia="宋体" w:cs="宋体"/>
          <w:b/>
          <w:bCs/>
          <w:kern w:val="0"/>
          <w:sz w:val="24"/>
          <w:szCs w:val="24"/>
        </w:rPr>
      </w:pPr>
      <w:r>
        <w:rPr>
          <w:rFonts w:hint="eastAsia" w:ascii="宋体" w:hAnsi="宋体" w:eastAsia="宋体" w:cs="宋体"/>
          <w:sz w:val="24"/>
          <w:szCs w:val="24"/>
        </w:rPr>
        <w:t>招标人组织踏勘现场，集中踏勘时间为</w:t>
      </w:r>
      <w:r>
        <w:rPr>
          <w:rFonts w:hint="eastAsia" w:ascii="宋体" w:hAnsi="宋体" w:eastAsia="宋体" w:cs="宋体"/>
          <w:color w:val="FF0000"/>
          <w:kern w:val="0"/>
          <w:sz w:val="24"/>
          <w:szCs w:val="24"/>
          <w:lang w:val="en-US" w:eastAsia="zh-CN"/>
        </w:rPr>
        <w:t>2023</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20</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14</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00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（北京时间）。踏勘集中地点为</w:t>
      </w:r>
      <w:r>
        <w:rPr>
          <w:rFonts w:hint="eastAsia" w:ascii="宋体" w:hAnsi="宋体" w:eastAsia="宋体" w:cs="宋体"/>
          <w:b/>
          <w:bCs/>
          <w:color w:val="auto"/>
          <w:kern w:val="0"/>
          <w:sz w:val="24"/>
          <w:szCs w:val="24"/>
          <w:lang w:val="en-US" w:eastAsia="zh-CN"/>
        </w:rPr>
        <w:t>杭州萧山国际机场物业维修中心</w:t>
      </w:r>
      <w:r>
        <w:rPr>
          <w:rFonts w:hint="eastAsia" w:ascii="宋体" w:hAnsi="宋体" w:eastAsia="宋体" w:cs="宋体"/>
          <w:kern w:val="0"/>
          <w:sz w:val="24"/>
          <w:szCs w:val="24"/>
        </w:rPr>
        <w:t>，</w:t>
      </w:r>
      <w:r>
        <w:rPr>
          <w:rFonts w:hint="eastAsia" w:ascii="宋体" w:hAnsi="宋体" w:eastAsia="宋体" w:cs="宋体"/>
          <w:b/>
          <w:bCs/>
          <w:kern w:val="0"/>
          <w:sz w:val="24"/>
          <w:szCs w:val="24"/>
        </w:rPr>
        <w:t>由于未参加现场踏勘引起的报价失误等责任由投标人自负。</w:t>
      </w:r>
    </w:p>
    <w:p>
      <w:pPr>
        <w:widowControl/>
        <w:numPr>
          <w:ilvl w:val="0"/>
          <w:numId w:val="1"/>
        </w:numPr>
        <w:adjustRightInd w:val="0"/>
        <w:snapToGrid w:val="0"/>
        <w:spacing w:line="320" w:lineRule="exact"/>
        <w:ind w:left="0" w:leftChars="0" w:firstLine="420" w:firstLineChars="0"/>
        <w:rPr>
          <w:rFonts w:hint="eastAsia"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招标答疑</w:t>
      </w:r>
    </w:p>
    <w:p>
      <w:pPr>
        <w:snapToGrid w:val="0"/>
        <w:spacing w:line="320" w:lineRule="exact"/>
        <w:ind w:firstLine="480" w:firstLineChars="200"/>
        <w:rPr>
          <w:rFonts w:ascii="宋体" w:hAnsi="宋体" w:eastAsia="宋体" w:cs="宋体"/>
          <w:kern w:val="0"/>
          <w:sz w:val="24"/>
          <w:szCs w:val="24"/>
        </w:rPr>
      </w:pPr>
      <w:r>
        <w:rPr>
          <w:rFonts w:hint="eastAsia" w:ascii="宋体" w:hAnsi="宋体" w:eastAsia="宋体" w:cs="宋体"/>
          <w:color w:val="FF0000"/>
          <w:kern w:val="0"/>
          <w:sz w:val="24"/>
          <w:szCs w:val="24"/>
          <w:lang w:val="en-US" w:eastAsia="zh-CN"/>
        </w:rPr>
        <w:t>2023</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21</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14</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00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，以E-mail及书面形式提交给招标人（邮箱：</w:t>
      </w:r>
      <w:r>
        <w:rPr>
          <w:rFonts w:hint="eastAsia" w:ascii="宋体" w:hAnsi="宋体" w:eastAsia="宋体" w:cs="宋体"/>
          <w:kern w:val="0"/>
          <w:sz w:val="24"/>
          <w:szCs w:val="24"/>
          <w:lang w:val="en-US" w:eastAsia="zh-CN"/>
        </w:rPr>
        <w:t>373285581@qq.com</w:t>
      </w:r>
      <w:r>
        <w:rPr>
          <w:rFonts w:hint="eastAsia" w:ascii="宋体" w:hAnsi="宋体" w:eastAsia="宋体" w:cs="宋体"/>
          <w:kern w:val="0"/>
          <w:sz w:val="24"/>
          <w:szCs w:val="24"/>
        </w:rPr>
        <w:t>，联系人：</w:t>
      </w:r>
      <w:r>
        <w:rPr>
          <w:rFonts w:hint="eastAsia" w:ascii="宋体" w:hAnsi="宋体" w:eastAsia="宋体" w:cs="宋体"/>
          <w:kern w:val="0"/>
          <w:sz w:val="24"/>
          <w:szCs w:val="24"/>
          <w:lang w:val="en-US" w:eastAsia="zh-CN"/>
        </w:rPr>
        <w:t>吴淼清</w:t>
      </w:r>
      <w:r>
        <w:rPr>
          <w:rFonts w:hint="eastAsia" w:ascii="宋体" w:hAnsi="宋体" w:eastAsia="宋体" w:cs="宋体"/>
          <w:kern w:val="0"/>
          <w:sz w:val="24"/>
          <w:szCs w:val="24"/>
        </w:rPr>
        <w:t>）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widowControl/>
        <w:numPr>
          <w:ilvl w:val="0"/>
          <w:numId w:val="1"/>
        </w:numPr>
        <w:adjustRightInd w:val="0"/>
        <w:snapToGrid w:val="0"/>
        <w:spacing w:line="320" w:lineRule="exact"/>
        <w:ind w:left="0" w:leftChars="0" w:firstLine="420" w:firstLineChars="0"/>
        <w:rPr>
          <w:rFonts w:hint="eastAsia"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投标文件的递交</w:t>
      </w:r>
    </w:p>
    <w:p>
      <w:pPr>
        <w:widowControl/>
        <w:adjustRightInd w:val="0"/>
        <w:snapToGrid w:val="0"/>
        <w:spacing w:line="32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（1）投标文件递交截止时间：</w:t>
      </w:r>
      <w:r>
        <w:rPr>
          <w:rFonts w:hint="eastAsia" w:ascii="宋体" w:hAnsi="宋体" w:eastAsia="宋体" w:cs="宋体"/>
          <w:color w:val="FF0000"/>
          <w:kern w:val="0"/>
          <w:sz w:val="24"/>
          <w:szCs w:val="24"/>
          <w:lang w:val="en-US" w:eastAsia="zh-CN"/>
        </w:rPr>
        <w:t>2023</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24</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（北京时间）。投标文件在封口处加盖公章并注明是：</w:t>
      </w:r>
      <w:r>
        <w:rPr>
          <w:rFonts w:hint="eastAsia" w:ascii="宋体" w:hAnsi="宋体" w:eastAsia="宋体" w:cs="宋体"/>
          <w:b/>
          <w:bCs/>
          <w:color w:val="000000" w:themeColor="text1"/>
          <w:sz w:val="24"/>
          <w:szCs w:val="24"/>
          <w14:textFill>
            <w14:solidFill>
              <w14:schemeClr w14:val="tx1"/>
            </w14:solidFill>
          </w14:textFill>
        </w:rPr>
        <w:t>杭州萧山国际机场T1高架桥纵向伸缩缝钢板覆盖项目</w:t>
      </w:r>
      <w:r>
        <w:rPr>
          <w:rFonts w:hint="eastAsia" w:ascii="宋体" w:hAnsi="宋体" w:eastAsia="宋体" w:cs="宋体"/>
          <w:b/>
          <w:bCs/>
          <w:color w:val="000000" w:themeColor="text1"/>
          <w:sz w:val="24"/>
          <w:szCs w:val="24"/>
          <w:lang w:val="en-US" w:eastAsia="zh-CN"/>
          <w14:textFill>
            <w14:solidFill>
              <w14:schemeClr w14:val="tx1"/>
            </w14:solidFill>
          </w14:textFill>
        </w:rPr>
        <w:t>投</w:t>
      </w:r>
      <w:r>
        <w:rPr>
          <w:rFonts w:hint="eastAsia" w:ascii="宋体" w:hAnsi="宋体" w:eastAsia="宋体" w:cs="宋体"/>
          <w:b/>
          <w:bCs/>
          <w:color w:val="000000" w:themeColor="text1"/>
          <w:sz w:val="24"/>
          <w:szCs w:val="24"/>
          <w14:textFill>
            <w14:solidFill>
              <w14:schemeClr w14:val="tx1"/>
            </w14:solidFill>
          </w14:textFill>
        </w:rPr>
        <w:t>标文件</w:t>
      </w:r>
      <w:r>
        <w:rPr>
          <w:rFonts w:hint="eastAsia" w:ascii="宋体" w:hAnsi="宋体" w:eastAsia="宋体" w:cs="宋体"/>
          <w:kern w:val="0"/>
          <w:sz w:val="24"/>
          <w:szCs w:val="24"/>
        </w:rPr>
        <w:t>，并派专人于</w:t>
      </w:r>
      <w:r>
        <w:rPr>
          <w:rFonts w:hint="eastAsia" w:ascii="宋体" w:hAnsi="宋体" w:eastAsia="宋体" w:cs="宋体"/>
          <w:color w:val="FF0000"/>
          <w:kern w:val="0"/>
          <w:sz w:val="24"/>
          <w:szCs w:val="24"/>
          <w:lang w:val="en-US" w:eastAsia="zh-CN"/>
        </w:rPr>
        <w:t>2023</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24</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（北京时间）前送至</w:t>
      </w:r>
      <w:r>
        <w:rPr>
          <w:rFonts w:hint="eastAsia" w:ascii="宋体" w:hAnsi="宋体" w:eastAsia="宋体" w:cs="宋体"/>
          <w:b/>
          <w:bCs/>
          <w:color w:val="auto"/>
          <w:kern w:val="0"/>
          <w:sz w:val="24"/>
          <w:szCs w:val="24"/>
          <w:lang w:val="en-US" w:eastAsia="zh-CN"/>
        </w:rPr>
        <w:t>杭州萧山国际机场物业维修中心</w:t>
      </w:r>
      <w:r>
        <w:rPr>
          <w:rFonts w:hint="eastAsia" w:ascii="宋体" w:hAnsi="宋体" w:eastAsia="宋体" w:cs="宋体"/>
          <w:kern w:val="0"/>
          <w:sz w:val="24"/>
          <w:szCs w:val="24"/>
        </w:rPr>
        <w:t>，逾期无效；若采用投递方式的，请于</w:t>
      </w:r>
      <w:r>
        <w:rPr>
          <w:rFonts w:hint="eastAsia" w:ascii="宋体" w:hAnsi="宋体" w:eastAsia="宋体" w:cs="宋体"/>
          <w:color w:val="FF0000"/>
          <w:kern w:val="0"/>
          <w:sz w:val="24"/>
          <w:szCs w:val="24"/>
        </w:rPr>
        <w:t xml:space="preserve">    </w:t>
      </w:r>
      <w:r>
        <w:rPr>
          <w:rFonts w:hint="eastAsia" w:ascii="宋体" w:hAnsi="宋体" w:eastAsia="宋体" w:cs="宋体"/>
          <w:color w:val="FF0000"/>
          <w:kern w:val="0"/>
          <w:sz w:val="24"/>
          <w:szCs w:val="24"/>
          <w:lang w:val="en-US" w:eastAsia="zh-CN"/>
        </w:rPr>
        <w:t>2023</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24</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（北京时间）前投递至</w:t>
      </w:r>
      <w:r>
        <w:rPr>
          <w:rFonts w:hint="eastAsia" w:ascii="宋体" w:hAnsi="宋体" w:eastAsia="宋体" w:cs="宋体"/>
          <w:b/>
          <w:bCs/>
          <w:color w:val="auto"/>
          <w:kern w:val="0"/>
          <w:sz w:val="24"/>
          <w:szCs w:val="24"/>
          <w:lang w:val="en-US" w:eastAsia="zh-CN"/>
        </w:rPr>
        <w:t>杭州萧山国际机场物业维修中心</w:t>
      </w:r>
      <w:r>
        <w:rPr>
          <w:rFonts w:hint="eastAsia" w:ascii="宋体" w:hAnsi="宋体" w:eastAsia="宋体" w:cs="宋体"/>
          <w:kern w:val="0"/>
          <w:sz w:val="24"/>
          <w:szCs w:val="24"/>
        </w:rPr>
        <w:t>，快递面单上注明是：</w:t>
      </w:r>
      <w:r>
        <w:rPr>
          <w:rFonts w:hint="eastAsia" w:ascii="宋体" w:hAnsi="宋体" w:eastAsia="宋体" w:cs="宋体"/>
          <w:b/>
          <w:bCs/>
          <w:color w:val="000000" w:themeColor="text1"/>
          <w:sz w:val="24"/>
          <w:szCs w:val="24"/>
          <w14:textFill>
            <w14:solidFill>
              <w14:schemeClr w14:val="tx1"/>
            </w14:solidFill>
          </w14:textFill>
        </w:rPr>
        <w:t>杭州萧山国际机场T1高架桥纵向伸缩缝钢板覆盖项目</w:t>
      </w:r>
      <w:r>
        <w:rPr>
          <w:rFonts w:hint="eastAsia" w:ascii="宋体" w:hAnsi="宋体" w:eastAsia="宋体" w:cs="宋体"/>
          <w:b/>
          <w:bCs/>
          <w:color w:val="000000" w:themeColor="text1"/>
          <w:sz w:val="24"/>
          <w:szCs w:val="24"/>
          <w:lang w:val="en-US" w:eastAsia="zh-CN"/>
          <w14:textFill>
            <w14:solidFill>
              <w14:schemeClr w14:val="tx1"/>
            </w14:solidFill>
          </w14:textFill>
        </w:rPr>
        <w:t>投</w:t>
      </w:r>
      <w:r>
        <w:rPr>
          <w:rFonts w:hint="eastAsia" w:ascii="宋体" w:hAnsi="宋体" w:eastAsia="宋体" w:cs="宋体"/>
          <w:b/>
          <w:bCs/>
          <w:color w:val="000000" w:themeColor="text1"/>
          <w:sz w:val="24"/>
          <w:szCs w:val="24"/>
          <w14:textFill>
            <w14:solidFill>
              <w14:schemeClr w14:val="tx1"/>
            </w14:solidFill>
          </w14:textFill>
        </w:rPr>
        <w:t>标文件</w:t>
      </w:r>
      <w:r>
        <w:rPr>
          <w:rFonts w:hint="eastAsia" w:ascii="宋体" w:hAnsi="宋体" w:eastAsia="宋体" w:cs="宋体"/>
          <w:b w:val="0"/>
          <w:bCs w:val="0"/>
          <w:color w:val="000000" w:themeColor="text1"/>
          <w:kern w:val="0"/>
          <w:sz w:val="24"/>
          <w:szCs w:val="24"/>
          <w14:textFill>
            <w14:solidFill>
              <w14:schemeClr w14:val="tx1"/>
            </w14:solidFill>
          </w14:textFill>
        </w:rPr>
        <w:t>。</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逾期送达或者未送达指定地点的投标文件，招标人不予受理。</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（3）投标文件正本一份，副本二份。</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（4）投标文件封面（或扉页）、投标函以及各类报价表均须加盖投标人单位章，并经法定代表人（或其委托代理人）签字或盖章。</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（5）装订要求为不分册装订，每册采用胶装等方式装订，装订应牢固、不易拆散和换页，不得采用活页装订。</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（6）封套上写明：</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招标人的地址：</w:t>
      </w:r>
      <w:r>
        <w:rPr>
          <w:rFonts w:hint="eastAsia" w:asciiTheme="minorEastAsia" w:hAnsiTheme="minorEastAsia" w:cstheme="minorEastAsia"/>
          <w:sz w:val="24"/>
          <w:szCs w:val="24"/>
          <w:u w:val="single"/>
        </w:rPr>
        <w:t>杭州萧山国际机场内</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招标人名称：</w:t>
      </w:r>
      <w:r>
        <w:rPr>
          <w:rFonts w:hint="eastAsia" w:asciiTheme="minorEastAsia" w:hAnsiTheme="minorEastAsia" w:cstheme="minorEastAsia"/>
          <w:kern w:val="0"/>
          <w:sz w:val="24"/>
          <w:szCs w:val="24"/>
          <w:u w:val="single"/>
        </w:rPr>
        <w:t>杭州萧山国际机场有限公司</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sz w:val="24"/>
          <w:szCs w:val="24"/>
        </w:rPr>
        <w:t>项目名称：</w:t>
      </w:r>
      <w:r>
        <w:rPr>
          <w:rFonts w:hint="eastAsia" w:asciiTheme="minorEastAsia" w:hAnsiTheme="minorEastAsia" w:cstheme="minorEastAsia"/>
          <w:sz w:val="24"/>
          <w:szCs w:val="24"/>
          <w:u w:val="single"/>
        </w:rPr>
        <w:t>杭州萧山国际机场T1高架桥纵向伸缩缝钢板覆盖项目</w:t>
      </w:r>
      <w:r>
        <w:rPr>
          <w:rFonts w:hint="eastAsia" w:asciiTheme="minorEastAsia" w:hAnsiTheme="minorEastAsia" w:cstheme="minorEastAsia"/>
          <w:sz w:val="24"/>
          <w:szCs w:val="24"/>
        </w:rPr>
        <w:t>投标文件</w:t>
      </w:r>
    </w:p>
    <w:p>
      <w:pPr>
        <w:widowControl/>
        <w:adjustRightInd w:val="0"/>
        <w:snapToGrid w:val="0"/>
        <w:spacing w:line="320" w:lineRule="exact"/>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在</w:t>
      </w:r>
      <w:r>
        <w:rPr>
          <w:rFonts w:hint="eastAsia" w:asciiTheme="minorEastAsia" w:hAnsiTheme="minorEastAsia" w:cstheme="minorEastAsia"/>
          <w:color w:val="FF0000"/>
          <w:kern w:val="0"/>
          <w:sz w:val="24"/>
          <w:szCs w:val="24"/>
          <w:u w:val="single"/>
          <w:lang w:val="en-US" w:eastAsia="zh-CN"/>
        </w:rPr>
        <w:t>2023</w:t>
      </w:r>
      <w:r>
        <w:rPr>
          <w:rFonts w:hint="eastAsia" w:asciiTheme="minorEastAsia" w:hAnsiTheme="minorEastAsia" w:cstheme="minorEastAsia"/>
          <w:color w:val="FF0000"/>
          <w:kern w:val="0"/>
          <w:sz w:val="24"/>
          <w:szCs w:val="24"/>
        </w:rPr>
        <w:t>年</w:t>
      </w:r>
      <w:r>
        <w:rPr>
          <w:rFonts w:hint="eastAsia" w:asciiTheme="minorEastAsia" w:hAnsiTheme="minorEastAsia" w:cstheme="minorEastAsia"/>
          <w:color w:val="FF0000"/>
          <w:kern w:val="0"/>
          <w:sz w:val="24"/>
          <w:szCs w:val="24"/>
          <w:u w:val="single"/>
          <w:lang w:val="en-US" w:eastAsia="zh-CN"/>
        </w:rPr>
        <w:t>2</w:t>
      </w:r>
      <w:r>
        <w:rPr>
          <w:rFonts w:hint="eastAsia" w:asciiTheme="minorEastAsia" w:hAnsiTheme="minorEastAsia" w:cstheme="minorEastAsia"/>
          <w:color w:val="FF0000"/>
          <w:kern w:val="0"/>
          <w:sz w:val="24"/>
          <w:szCs w:val="24"/>
        </w:rPr>
        <w:t>月</w:t>
      </w:r>
      <w:r>
        <w:rPr>
          <w:rFonts w:hint="eastAsia" w:asciiTheme="minorEastAsia" w:hAnsiTheme="minorEastAsia" w:cstheme="minorEastAsia"/>
          <w:color w:val="FF0000"/>
          <w:kern w:val="0"/>
          <w:sz w:val="24"/>
          <w:szCs w:val="24"/>
          <w:u w:val="single"/>
          <w:lang w:val="en-US" w:eastAsia="zh-CN"/>
        </w:rPr>
        <w:t>24</w:t>
      </w:r>
      <w:r>
        <w:rPr>
          <w:rFonts w:hint="eastAsia" w:asciiTheme="minorEastAsia" w:hAnsiTheme="minorEastAsia" w:cstheme="minorEastAsia"/>
          <w:color w:val="FF0000"/>
          <w:kern w:val="0"/>
          <w:sz w:val="24"/>
          <w:szCs w:val="24"/>
        </w:rPr>
        <w:t>日</w:t>
      </w:r>
      <w:r>
        <w:rPr>
          <w:rFonts w:hint="eastAsia" w:asciiTheme="minorEastAsia" w:hAnsiTheme="minorEastAsia" w:cstheme="minorEastAsia"/>
          <w:color w:val="FF0000"/>
          <w:kern w:val="0"/>
          <w:sz w:val="24"/>
          <w:szCs w:val="24"/>
          <w:u w:val="single"/>
          <w:lang w:val="en-US" w:eastAsia="zh-CN"/>
        </w:rPr>
        <w:t>9</w:t>
      </w:r>
      <w:r>
        <w:rPr>
          <w:rFonts w:hint="eastAsia" w:asciiTheme="minorEastAsia" w:hAnsiTheme="minorEastAsia" w:cstheme="minorEastAsia"/>
          <w:color w:val="FF0000"/>
          <w:kern w:val="0"/>
          <w:sz w:val="24"/>
          <w:szCs w:val="24"/>
        </w:rPr>
        <w:t>时</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30</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分</w:t>
      </w:r>
      <w:r>
        <w:rPr>
          <w:rFonts w:hint="eastAsia" w:asciiTheme="minorEastAsia" w:hAnsiTheme="minorEastAsia" w:cstheme="minorEastAsia"/>
          <w:kern w:val="0"/>
          <w:sz w:val="24"/>
          <w:szCs w:val="24"/>
        </w:rPr>
        <w:t>（即开标时间）前不得开启</w:t>
      </w:r>
    </w:p>
    <w:p>
      <w:pPr>
        <w:widowControl/>
        <w:numPr>
          <w:ilvl w:val="0"/>
          <w:numId w:val="1"/>
        </w:numPr>
        <w:adjustRightInd w:val="0"/>
        <w:snapToGrid w:val="0"/>
        <w:spacing w:line="320" w:lineRule="exact"/>
        <w:ind w:left="0" w:leftChars="0" w:firstLine="420" w:firstLineChars="0"/>
        <w:rPr>
          <w:rFonts w:hint="eastAsia"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开标</w:t>
      </w:r>
    </w:p>
    <w:p>
      <w:pPr>
        <w:autoSpaceDE w:val="0"/>
        <w:autoSpaceDN w:val="0"/>
        <w:adjustRightInd w:val="0"/>
        <w:snapToGrid w:val="0"/>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（1）开标时间同投标截止时间，开标地点为</w:t>
      </w:r>
      <w:r>
        <w:rPr>
          <w:rFonts w:hint="eastAsia" w:asciiTheme="minorEastAsia" w:hAnsiTheme="minorEastAsia" w:cstheme="minorEastAsia"/>
          <w:b/>
          <w:sz w:val="24"/>
          <w:szCs w:val="24"/>
        </w:rPr>
        <w:t>杭州萧山国际机场翔越路综合服务楼园区招标中心</w:t>
      </w:r>
      <w:r>
        <w:rPr>
          <w:rFonts w:hint="eastAsia" w:asciiTheme="minorEastAsia" w:hAnsiTheme="minorEastAsia" w:cstheme="minorEastAsia"/>
          <w:b w:val="0"/>
          <w:bCs/>
          <w:sz w:val="24"/>
          <w:szCs w:val="24"/>
        </w:rPr>
        <w:t>。</w:t>
      </w:r>
    </w:p>
    <w:p>
      <w:pPr>
        <w:widowControl/>
        <w:adjustRightInd w:val="0"/>
        <w:snapToGrid w:val="0"/>
        <w:spacing w:line="320" w:lineRule="exac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（2）由投标人或者其集体推选的代表检查投标文件的密封情况，开标顺序按照后送达先开的顺序。</w:t>
      </w:r>
    </w:p>
    <w:p>
      <w:pPr>
        <w:widowControl/>
        <w:numPr>
          <w:ilvl w:val="0"/>
          <w:numId w:val="1"/>
        </w:numPr>
        <w:adjustRightInd w:val="0"/>
        <w:snapToGrid w:val="0"/>
        <w:spacing w:line="320" w:lineRule="exact"/>
        <w:ind w:left="0" w:leftChars="0" w:firstLine="420" w:firstLineChars="0"/>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其他说明</w:t>
      </w:r>
    </w:p>
    <w:p>
      <w:pPr>
        <w:widowControl/>
        <w:adjustRightInd w:val="0"/>
        <w:snapToGrid w:val="0"/>
        <w:spacing w:line="320" w:lineRule="exact"/>
        <w:ind w:firstLine="480" w:firstLineChars="200"/>
        <w:rPr>
          <w:rFonts w:hint="eastAsia" w:asciiTheme="minorEastAsia" w:hAnsiTheme="minorEastAsia" w:cstheme="minorEastAsia"/>
          <w:kern w:val="0"/>
          <w:sz w:val="24"/>
          <w:szCs w:val="24"/>
        </w:rPr>
      </w:pPr>
      <w:r>
        <w:rPr>
          <w:rFonts w:hint="eastAsia" w:asciiTheme="minorEastAsia" w:hAnsiTheme="minorEastAsia" w:cstheme="minorEastAsia"/>
          <w:kern w:val="0"/>
          <w:sz w:val="24"/>
          <w:szCs w:val="24"/>
        </w:rPr>
        <w:t>（1）采取公开招标和资格后审。</w:t>
      </w:r>
    </w:p>
    <w:p>
      <w:pPr>
        <w:widowControl/>
        <w:adjustRightInd w:val="0"/>
        <w:snapToGrid w:val="0"/>
        <w:spacing w:line="320" w:lineRule="exact"/>
        <w:ind w:firstLine="480" w:firstLineChars="200"/>
        <w:rPr>
          <w:rFonts w:hint="eastAsia" w:asciiTheme="minorEastAsia" w:hAnsiTheme="minorEastAsia" w:cstheme="minorEastAsia"/>
          <w:kern w:val="0"/>
          <w:sz w:val="24"/>
          <w:szCs w:val="24"/>
        </w:rPr>
      </w:pPr>
      <w:r>
        <w:rPr>
          <w:rFonts w:hint="eastAsia" w:asciiTheme="minorEastAsia" w:hAnsiTheme="minorEastAsia" w:cstheme="minorEastAsia"/>
          <w:kern w:val="0"/>
          <w:sz w:val="24"/>
          <w:szCs w:val="24"/>
        </w:rPr>
        <w:t>（1）评标委员会由3人及以上单数构成；</w:t>
      </w:r>
    </w:p>
    <w:p>
      <w:pPr>
        <w:widowControl/>
        <w:adjustRightInd w:val="0"/>
        <w:snapToGrid w:val="0"/>
        <w:spacing w:line="320" w:lineRule="exact"/>
        <w:ind w:firstLine="480" w:firstLineChars="200"/>
        <w:rPr>
          <w:rFonts w:hint="eastAsia" w:asciiTheme="minorEastAsia" w:hAnsiTheme="minorEastAsia" w:cstheme="minorEastAsia"/>
          <w:kern w:val="0"/>
          <w:sz w:val="24"/>
          <w:szCs w:val="24"/>
        </w:rPr>
      </w:pPr>
      <w:r>
        <w:rPr>
          <w:rFonts w:hint="eastAsia" w:asciiTheme="minorEastAsia" w:hAnsiTheme="minorEastAsia" w:cstheme="minorEastAsia"/>
          <w:kern w:val="0"/>
          <w:sz w:val="24"/>
          <w:szCs w:val="24"/>
        </w:rPr>
        <w:t>（2）评标委员会成员招标人自行组建。</w:t>
      </w:r>
    </w:p>
    <w:p>
      <w:pPr>
        <w:widowControl/>
        <w:adjustRightInd w:val="0"/>
        <w:snapToGrid w:val="0"/>
        <w:spacing w:line="320" w:lineRule="exact"/>
        <w:ind w:firstLine="480" w:firstLineChars="200"/>
      </w:pPr>
      <w:r>
        <w:rPr>
          <w:rFonts w:hint="eastAsia" w:asciiTheme="minorEastAsia" w:hAnsiTheme="minorEastAsia" w:cstheme="minorEastAsia"/>
          <w:kern w:val="0"/>
          <w:sz w:val="24"/>
          <w:szCs w:val="24"/>
        </w:rPr>
        <w:t>（3）评标委员会推荐的中标候选人数：1人。</w:t>
      </w:r>
    </w:p>
    <w:p>
      <w:pPr>
        <w:widowControl/>
        <w:adjustRightInd w:val="0"/>
        <w:snapToGrid w:val="0"/>
        <w:spacing w:line="320" w:lineRule="exact"/>
        <w:ind w:firstLine="480" w:firstLineChars="200"/>
        <w:rPr>
          <w:rFonts w:hint="eastAsia" w:asciiTheme="minorEastAsia" w:hAnsiTheme="minorEastAsia" w:cstheme="minorEastAsia"/>
          <w:kern w:val="0"/>
          <w:sz w:val="24"/>
          <w:szCs w:val="24"/>
        </w:rPr>
      </w:pPr>
      <w:bookmarkStart w:id="4" w:name="_Toc19218"/>
      <w:bookmarkStart w:id="5" w:name="_Toc3775"/>
      <w:bookmarkStart w:id="6" w:name="_Toc28061"/>
      <w:r>
        <w:rPr>
          <w:rFonts w:hint="eastAsia" w:asciiTheme="minorEastAsia" w:hAnsiTheme="minorEastAsia" w:cstheme="minorEastAsia"/>
          <w:kern w:val="0"/>
          <w:sz w:val="24"/>
          <w:szCs w:val="24"/>
        </w:rPr>
        <w:t>（4）</w:t>
      </w:r>
      <w:bookmarkEnd w:id="4"/>
      <w:bookmarkEnd w:id="5"/>
      <w:r>
        <w:rPr>
          <w:rFonts w:hint="eastAsia" w:asciiTheme="minorEastAsia" w:hAnsiTheme="minorEastAsia" w:cstheme="minorEastAsia"/>
          <w:kern w:val="0"/>
          <w:sz w:val="24"/>
          <w:szCs w:val="24"/>
        </w:rPr>
        <w:t>本次评标采用</w:t>
      </w:r>
      <w:r>
        <w:rPr>
          <w:rFonts w:hint="eastAsia" w:asciiTheme="minorEastAsia" w:hAnsiTheme="minorEastAsia" w:cstheme="minorEastAsia"/>
          <w:kern w:val="0"/>
          <w:sz w:val="24"/>
          <w:szCs w:val="24"/>
          <w:u w:val="single"/>
          <w:lang w:val="en-US" w:eastAsia="zh-CN"/>
        </w:rPr>
        <w:t>综合评估法</w:t>
      </w:r>
      <w:r>
        <w:rPr>
          <w:rFonts w:hint="eastAsia" w:asciiTheme="minorEastAsia" w:hAnsiTheme="minorEastAsia" w:cstheme="minorEastAsia"/>
          <w:kern w:val="0"/>
          <w:sz w:val="24"/>
          <w:szCs w:val="24"/>
        </w:rPr>
        <w:t>推荐中标候选人。</w:t>
      </w:r>
      <w:bookmarkEnd w:id="6"/>
    </w:p>
    <w:p>
      <w:pPr>
        <w:widowControl/>
        <w:numPr>
          <w:ilvl w:val="0"/>
          <w:numId w:val="1"/>
        </w:numPr>
        <w:adjustRightInd w:val="0"/>
        <w:snapToGrid w:val="0"/>
        <w:spacing w:line="320" w:lineRule="exact"/>
        <w:ind w:left="0" w:leftChars="0" w:firstLine="420" w:firstLineChars="0"/>
        <w:rPr>
          <w:rFonts w:hint="eastAsia"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发布公告的媒介</w:t>
      </w:r>
    </w:p>
    <w:p>
      <w:pPr>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本次招标公告在杭州萧山机场有限公司主页http://www.hzairport.com上进行发布。</w:t>
      </w:r>
    </w:p>
    <w:p>
      <w:pPr>
        <w:widowControl/>
        <w:numPr>
          <w:ilvl w:val="0"/>
          <w:numId w:val="1"/>
        </w:numPr>
        <w:adjustRightInd w:val="0"/>
        <w:snapToGrid w:val="0"/>
        <w:spacing w:line="320" w:lineRule="exact"/>
        <w:ind w:left="0" w:leftChars="0" w:firstLine="420" w:firstLineChars="0"/>
        <w:rPr>
          <w:rFonts w:hint="eastAsia"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联系方式</w:t>
      </w:r>
    </w:p>
    <w:p>
      <w:pPr>
        <w:widowControl/>
        <w:snapToGrid w:val="0"/>
        <w:spacing w:line="3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 xml:space="preserve">投标联系人：吴淼清        联系电话：0571-86662348 </w:t>
      </w:r>
    </w:p>
    <w:p>
      <w:pPr>
        <w:widowControl/>
        <w:snapToGrid w:val="0"/>
        <w:spacing w:line="360" w:lineRule="exact"/>
        <w:ind w:firstLine="480" w:firstLineChars="200"/>
        <w:jc w:val="lef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监督联系人：闻晓丽        联系电话：0571-86662361</w:t>
      </w:r>
    </w:p>
    <w:p>
      <w:pPr>
        <w:widowControl/>
        <w:snapToGrid w:val="0"/>
        <w:spacing w:line="320" w:lineRule="exact"/>
        <w:ind w:firstLine="480" w:firstLineChars="200"/>
        <w:jc w:val="left"/>
        <w:rPr>
          <w:rFonts w:ascii="宋体" w:hAnsi="宋体" w:eastAsia="宋体" w:cs="宋体"/>
          <w:color w:val="000000" w:themeColor="text1"/>
          <w:sz w:val="24"/>
          <w:szCs w:val="24"/>
          <w14:textFill>
            <w14:solidFill>
              <w14:schemeClr w14:val="tx1"/>
            </w14:solidFill>
          </w14:textFill>
        </w:rPr>
      </w:pPr>
    </w:p>
    <w:p>
      <w:pPr>
        <w:pStyle w:val="9"/>
      </w:pPr>
    </w:p>
    <w:p>
      <w:pPr>
        <w:pStyle w:val="9"/>
      </w:pPr>
    </w:p>
    <w:p/>
    <w:p>
      <w:pPr>
        <w:pStyle w:val="9"/>
      </w:pPr>
    </w:p>
    <w:p>
      <w:pPr>
        <w:pStyle w:val="9"/>
      </w:pPr>
    </w:p>
    <w:p>
      <w:pPr>
        <w:pStyle w:val="9"/>
      </w:pPr>
    </w:p>
    <w:p>
      <w:pPr>
        <w:pStyle w:val="9"/>
      </w:pPr>
    </w:p>
    <w:bookmarkEnd w:id="2"/>
    <w:bookmarkEnd w:id="3"/>
    <w:p>
      <w:pPr>
        <w:pStyle w:val="9"/>
        <w:keepNext w:val="0"/>
        <w:keepLines w:val="0"/>
        <w:pageBreakBefore/>
        <w:widowControl w:val="0"/>
        <w:kinsoku/>
        <w:wordWrap/>
        <w:overflowPunct/>
        <w:topLinePunct w:val="0"/>
        <w:autoSpaceDE/>
        <w:autoSpaceDN/>
        <w:bidi w:val="0"/>
        <w:adjustRightInd/>
        <w:snapToGrid/>
        <w:spacing w:before="60" w:after="60" w:line="240" w:lineRule="auto"/>
        <w:ind w:left="0" w:leftChars="0" w:right="0" w:rightChars="0" w:firstLine="0" w:firstLineChars="0"/>
        <w:jc w:val="center"/>
        <w:textAlignment w:val="auto"/>
        <w:outlineLvl w:val="0"/>
      </w:pPr>
      <w:bookmarkStart w:id="7" w:name="_Toc27752"/>
      <w:bookmarkStart w:id="8" w:name="_Toc448097404"/>
      <w:bookmarkStart w:id="9" w:name="_Toc24237"/>
      <w:r>
        <w:t>第</w:t>
      </w:r>
      <w:r>
        <w:rPr>
          <w:rFonts w:hint="eastAsia"/>
        </w:rPr>
        <w:t>二</w:t>
      </w:r>
      <w:r>
        <w:t xml:space="preserve">章  </w:t>
      </w:r>
      <w:r>
        <w:rPr>
          <w:rFonts w:hint="eastAsia"/>
        </w:rPr>
        <w:t>评标办法</w:t>
      </w:r>
      <w:bookmarkEnd w:id="7"/>
    </w:p>
    <w:p>
      <w:pPr>
        <w:autoSpaceDE w:val="0"/>
        <w:autoSpaceDN w:val="0"/>
        <w:adjustRightInd w:val="0"/>
        <w:spacing w:before="3" w:line="100" w:lineRule="exact"/>
        <w:jc w:val="left"/>
        <w:rPr>
          <w:rFonts w:ascii="微软雅黑" w:hAnsi="Times New Roman" w:cs="微软雅黑"/>
          <w:kern w:val="0"/>
          <w:sz w:val="10"/>
          <w:szCs w:val="10"/>
        </w:rPr>
      </w:pPr>
      <w:bookmarkStart w:id="10" w:name="_Toc31578"/>
    </w:p>
    <w:bookmarkEnd w:id="10"/>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11"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11"/>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(三)投标文件的技术评审；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审查过程中评标委员会可以要求投标人提交有关证明和证件的原件，以便核验。</w:t>
      </w:r>
      <w:bookmarkStart w:id="12" w:name="_Hlk47377053"/>
      <w:r>
        <w:rPr>
          <w:rFonts w:hint="eastAsia" w:ascii="宋体" w:hAnsi="宋体" w:cs="宋体"/>
          <w:sz w:val="22"/>
        </w:rPr>
        <w:t>经评标委员会</w:t>
      </w:r>
      <w:bookmarkStart w:id="13" w:name="_Hlk47446073"/>
      <w:r>
        <w:rPr>
          <w:rFonts w:hint="eastAsia" w:ascii="宋体" w:hAnsi="宋体" w:cs="宋体"/>
          <w:sz w:val="22"/>
        </w:rPr>
        <w:t>评审后，符合性审查不予通过，不再进行下一步评审</w:t>
      </w:r>
      <w:bookmarkEnd w:id="13"/>
      <w:r>
        <w:rPr>
          <w:rFonts w:hint="eastAsia" w:ascii="宋体" w:hAnsi="宋体" w:cs="宋体"/>
          <w:sz w:val="22"/>
        </w:rPr>
        <w:t>。</w:t>
      </w:r>
      <w:bookmarkEnd w:id="12"/>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14" w:name="_Hlk47988709"/>
      <w:r>
        <w:rPr>
          <w:rFonts w:hint="eastAsia" w:ascii="宋体" w:hAnsi="宋体" w:cs="宋体"/>
          <w:sz w:val="22"/>
        </w:rPr>
        <w:t>评标委员会根据评审情况，对技术、商务等方面进行评审。评标委员会根据评审情况，对各投标人的投标文件进行打分。若评标委员会的评分表中计分不在分值范围内的，则该评分表无效。</w:t>
      </w:r>
      <w:bookmarkEnd w:id="14"/>
    </w:p>
    <w:p>
      <w:pPr>
        <w:spacing w:line="360" w:lineRule="exact"/>
        <w:ind w:firstLine="442" w:firstLineChars="200"/>
        <w:rPr>
          <w:rFonts w:ascii="宋体" w:hAnsi="宋体" w:cs="宋体"/>
          <w:b/>
          <w:sz w:val="22"/>
        </w:rPr>
      </w:pPr>
      <w:r>
        <w:rPr>
          <w:rFonts w:hint="eastAsia" w:ascii="宋体" w:hAnsi="宋体" w:cs="宋体"/>
          <w:b/>
          <w:sz w:val="22"/>
        </w:rPr>
        <w:t>1</w:t>
      </w:r>
      <w:r>
        <w:rPr>
          <w:rFonts w:ascii="宋体" w:hAnsi="宋体" w:cs="宋体"/>
          <w:b/>
          <w:sz w:val="22"/>
        </w:rPr>
        <w:t>.</w:t>
      </w:r>
      <w:r>
        <w:rPr>
          <w:rFonts w:hint="eastAsia" w:ascii="宋体" w:hAnsi="宋体" w:cs="宋体"/>
          <w:b/>
          <w:sz w:val="22"/>
        </w:rPr>
        <w:t xml:space="preserve">投标文件的技术评审( </w:t>
      </w:r>
      <w:r>
        <w:rPr>
          <w:rFonts w:hint="eastAsia" w:ascii="宋体" w:hAnsi="宋体" w:cs="宋体"/>
          <w:b/>
          <w:sz w:val="22"/>
          <w:u w:val="single"/>
        </w:rPr>
        <w:t>40</w:t>
      </w:r>
      <w:r>
        <w:rPr>
          <w:rFonts w:hint="eastAsia" w:ascii="宋体" w:hAnsi="宋体" w:cs="宋体"/>
          <w:b/>
          <w:sz w:val="22"/>
        </w:rPr>
        <w:t xml:space="preserve">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2"/>
        <w:tblW w:w="92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58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ascii="宋体" w:hAnsi="宋体" w:cs="Arial"/>
                <w:b/>
                <w:bCs/>
                <w:sz w:val="22"/>
              </w:rPr>
            </w:pPr>
            <w:r>
              <w:rPr>
                <w:rFonts w:hint="eastAsia" w:ascii="宋体" w:hAnsi="宋体" w:cs="Arial"/>
                <w:b/>
                <w:bCs/>
                <w:sz w:val="22"/>
              </w:rPr>
              <w:t>评分内容</w:t>
            </w:r>
          </w:p>
        </w:tc>
        <w:tc>
          <w:tcPr>
            <w:tcW w:w="6586"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851"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blHeader/>
          <w:jc w:val="center"/>
        </w:trPr>
        <w:tc>
          <w:tcPr>
            <w:tcW w:w="1838" w:type="dxa"/>
            <w:vAlign w:val="center"/>
          </w:tcPr>
          <w:p>
            <w:pPr>
              <w:snapToGrid w:val="0"/>
              <w:jc w:val="left"/>
              <w:rPr>
                <w:rFonts w:ascii="宋体" w:hAnsi="宋体"/>
                <w:sz w:val="22"/>
              </w:rPr>
            </w:pPr>
            <w:r>
              <w:rPr>
                <w:rFonts w:hint="eastAsia" w:ascii="宋体" w:hAnsi="宋体"/>
                <w:sz w:val="22"/>
              </w:rPr>
              <w:t>施工方案与技术措施</w:t>
            </w:r>
          </w:p>
        </w:tc>
        <w:tc>
          <w:tcPr>
            <w:tcW w:w="6586" w:type="dxa"/>
            <w:vAlign w:val="center"/>
          </w:tcPr>
          <w:p>
            <w:pPr>
              <w:snapToGrid w:val="0"/>
              <w:jc w:val="left"/>
              <w:rPr>
                <w:rFonts w:ascii="宋体" w:hAnsi="宋体"/>
                <w:sz w:val="22"/>
              </w:rPr>
            </w:pPr>
            <w:r>
              <w:rPr>
                <w:rFonts w:hint="eastAsia" w:ascii="宋体" w:hAnsi="宋体"/>
                <w:sz w:val="22"/>
              </w:rPr>
              <w:t>施工方案与技术措施内容的完整性、针对性和可行性</w:t>
            </w:r>
            <w:r>
              <w:rPr>
                <w:rFonts w:ascii="宋体" w:hAnsi="宋体"/>
                <w:sz w:val="22"/>
              </w:rPr>
              <w:t>，</w:t>
            </w:r>
            <w:r>
              <w:rPr>
                <w:rFonts w:hint="eastAsia" w:ascii="宋体" w:hAnsi="宋体"/>
                <w:sz w:val="22"/>
                <w:lang w:eastAsia="zh-Hans"/>
              </w:rPr>
              <w:t>特别是针对本项目重点难点部位</w:t>
            </w:r>
            <w:r>
              <w:rPr>
                <w:rFonts w:ascii="宋体" w:hAnsi="宋体"/>
                <w:sz w:val="22"/>
              </w:rPr>
              <w:t>；</w:t>
            </w:r>
            <w:r>
              <w:rPr>
                <w:rFonts w:hint="eastAsia" w:ascii="宋体" w:hAnsi="宋体"/>
                <w:sz w:val="22"/>
              </w:rPr>
              <w:t>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blHeader/>
          <w:jc w:val="center"/>
        </w:trPr>
        <w:tc>
          <w:tcPr>
            <w:tcW w:w="1838" w:type="dxa"/>
            <w:vAlign w:val="center"/>
          </w:tcPr>
          <w:p>
            <w:pPr>
              <w:snapToGrid w:val="0"/>
              <w:jc w:val="left"/>
              <w:rPr>
                <w:rFonts w:ascii="宋体" w:hAnsi="宋体"/>
                <w:sz w:val="22"/>
              </w:rPr>
            </w:pPr>
            <w:r>
              <w:rPr>
                <w:rFonts w:hint="eastAsia" w:ascii="宋体" w:hAnsi="宋体"/>
                <w:sz w:val="22"/>
              </w:rPr>
              <w:t>质量管理体系与措施</w:t>
            </w:r>
          </w:p>
        </w:tc>
        <w:tc>
          <w:tcPr>
            <w:tcW w:w="6586" w:type="dxa"/>
            <w:vAlign w:val="center"/>
          </w:tcPr>
          <w:p>
            <w:pPr>
              <w:snapToGrid w:val="0"/>
              <w:jc w:val="left"/>
              <w:rPr>
                <w:rFonts w:ascii="宋体" w:hAnsi="宋体"/>
                <w:sz w:val="22"/>
              </w:rPr>
            </w:pPr>
            <w:r>
              <w:rPr>
                <w:rFonts w:hint="eastAsia" w:ascii="宋体" w:hAnsi="宋体"/>
                <w:sz w:val="22"/>
              </w:rPr>
              <w:t>施工质量的控制和检验手段是否科学、可靠；各投标文件横向比较，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tblHeader/>
          <w:jc w:val="center"/>
        </w:trPr>
        <w:tc>
          <w:tcPr>
            <w:tcW w:w="1838" w:type="dxa"/>
            <w:vAlign w:val="center"/>
          </w:tcPr>
          <w:p>
            <w:pPr>
              <w:snapToGrid w:val="0"/>
              <w:jc w:val="left"/>
              <w:rPr>
                <w:rFonts w:ascii="宋体" w:hAnsi="宋体"/>
                <w:sz w:val="22"/>
              </w:rPr>
            </w:pPr>
            <w:r>
              <w:rPr>
                <w:rFonts w:hint="eastAsia" w:ascii="宋体" w:hAnsi="宋体"/>
                <w:sz w:val="22"/>
              </w:rPr>
              <w:t>安全管理体系与措施</w:t>
            </w:r>
          </w:p>
        </w:tc>
        <w:tc>
          <w:tcPr>
            <w:tcW w:w="6586" w:type="dxa"/>
            <w:vAlign w:val="center"/>
          </w:tcPr>
          <w:p>
            <w:pPr>
              <w:snapToGrid w:val="0"/>
              <w:jc w:val="left"/>
              <w:rPr>
                <w:rFonts w:ascii="宋体" w:hAnsi="宋体"/>
                <w:sz w:val="22"/>
              </w:rPr>
            </w:pPr>
            <w:r>
              <w:rPr>
                <w:rFonts w:hint="eastAsia" w:ascii="宋体" w:hAnsi="宋体"/>
                <w:sz w:val="22"/>
              </w:rPr>
              <w:t>安全、文明施工的保证措施是否科学、到位；</w:t>
            </w:r>
            <w:r>
              <w:rPr>
                <w:rFonts w:hint="eastAsia" w:ascii="宋体" w:hAnsi="宋体"/>
                <w:color w:val="auto"/>
                <w:sz w:val="22"/>
                <w:lang w:val="en-US" w:eastAsia="zh-CN"/>
              </w:rPr>
              <w:t>是否积极配合发包方向交管部门进行施工占道等申请程序；是否采取有效措施避免对行车秩序造成影响；</w:t>
            </w:r>
            <w:r>
              <w:rPr>
                <w:rFonts w:hint="eastAsia" w:ascii="宋体" w:hAnsi="宋体"/>
                <w:sz w:val="22"/>
              </w:rPr>
              <w:t>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8" w:hRule="atLeast"/>
          <w:tblHeader/>
          <w:jc w:val="center"/>
        </w:trPr>
        <w:tc>
          <w:tcPr>
            <w:tcW w:w="1838" w:type="dxa"/>
            <w:vAlign w:val="center"/>
          </w:tcPr>
          <w:p>
            <w:pPr>
              <w:snapToGrid w:val="0"/>
              <w:jc w:val="left"/>
              <w:rPr>
                <w:rFonts w:ascii="宋体" w:hAnsi="宋体"/>
                <w:sz w:val="22"/>
              </w:rPr>
            </w:pPr>
            <w:r>
              <w:rPr>
                <w:rFonts w:hint="eastAsia" w:ascii="宋体" w:hAnsi="宋体"/>
                <w:sz w:val="22"/>
              </w:rPr>
              <w:t>环境保护管理体系与措施</w:t>
            </w:r>
          </w:p>
        </w:tc>
        <w:tc>
          <w:tcPr>
            <w:tcW w:w="6586" w:type="dxa"/>
            <w:vAlign w:val="center"/>
          </w:tcPr>
          <w:p>
            <w:pPr>
              <w:snapToGrid w:val="0"/>
              <w:jc w:val="left"/>
              <w:rPr>
                <w:rFonts w:ascii="宋体" w:hAnsi="宋体"/>
                <w:sz w:val="22"/>
              </w:rPr>
            </w:pPr>
            <w:r>
              <w:rPr>
                <w:rFonts w:hint="eastAsia" w:ascii="宋体" w:hAnsi="宋体"/>
                <w:sz w:val="22"/>
              </w:rPr>
              <w:t>市政、市容、环保、消防等的保证措施是否科学、到位，</w:t>
            </w:r>
            <w:r>
              <w:rPr>
                <w:rFonts w:hint="eastAsia" w:ascii="宋体" w:hAnsi="宋体"/>
                <w:color w:val="auto"/>
                <w:sz w:val="22"/>
                <w:lang w:val="en-US" w:eastAsia="zh-CN"/>
              </w:rPr>
              <w:t>是否提供专用清洁道路车辆；</w:t>
            </w:r>
            <w:r>
              <w:rPr>
                <w:rFonts w:hint="eastAsia" w:ascii="宋体" w:hAnsi="宋体"/>
                <w:sz w:val="22"/>
              </w:rPr>
              <w:t>是否符合机场相关道路清洁标准；各投标文件横向比较，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3" w:hRule="atLeast"/>
          <w:tblHeader/>
          <w:jc w:val="center"/>
        </w:trPr>
        <w:tc>
          <w:tcPr>
            <w:tcW w:w="1838" w:type="dxa"/>
            <w:vAlign w:val="center"/>
          </w:tcPr>
          <w:p>
            <w:pPr>
              <w:snapToGrid w:val="0"/>
              <w:jc w:val="left"/>
              <w:rPr>
                <w:rFonts w:ascii="宋体" w:hAnsi="宋体"/>
                <w:sz w:val="22"/>
              </w:rPr>
            </w:pPr>
            <w:r>
              <w:rPr>
                <w:rFonts w:hint="eastAsia" w:ascii="宋体" w:hAnsi="宋体"/>
                <w:sz w:val="22"/>
              </w:rPr>
              <w:t>工期保证体系及保证措施</w:t>
            </w:r>
          </w:p>
        </w:tc>
        <w:tc>
          <w:tcPr>
            <w:tcW w:w="6586" w:type="dxa"/>
            <w:vAlign w:val="center"/>
          </w:tcPr>
          <w:p>
            <w:pPr>
              <w:snapToGrid w:val="0"/>
              <w:jc w:val="left"/>
              <w:rPr>
                <w:rFonts w:ascii="宋体" w:hAnsi="宋体"/>
                <w:sz w:val="22"/>
              </w:rPr>
            </w:pPr>
            <w:r>
              <w:rPr>
                <w:rFonts w:hint="eastAsia" w:ascii="宋体" w:hAnsi="宋体"/>
                <w:sz w:val="22"/>
              </w:rPr>
              <w:t>工期承诺及施工进度网络计划、关键节点和线路的技术保证措施是否具有针对性和可行性；现场施工不利条件对施工</w:t>
            </w:r>
            <w:r>
              <w:rPr>
                <w:rFonts w:hint="eastAsia" w:ascii="宋体" w:hAnsi="宋体"/>
                <w:sz w:val="22"/>
                <w:lang w:eastAsia="zh-Hans"/>
              </w:rPr>
              <w:t>工期</w:t>
            </w:r>
            <w:r>
              <w:rPr>
                <w:rFonts w:hint="eastAsia" w:ascii="宋体" w:hAnsi="宋体"/>
                <w:sz w:val="22"/>
              </w:rPr>
              <w:t>带来</w:t>
            </w:r>
            <w:r>
              <w:rPr>
                <w:rFonts w:hint="eastAsia" w:ascii="宋体" w:hAnsi="宋体"/>
                <w:sz w:val="22"/>
                <w:lang w:eastAsia="zh-Hans"/>
              </w:rPr>
              <w:t>的</w:t>
            </w:r>
            <w:r>
              <w:rPr>
                <w:rFonts w:hint="eastAsia" w:ascii="宋体" w:hAnsi="宋体"/>
                <w:sz w:val="22"/>
              </w:rPr>
              <w:t>影响</w:t>
            </w:r>
            <w:r>
              <w:rPr>
                <w:rFonts w:hint="eastAsia" w:ascii="宋体" w:hAnsi="宋体"/>
                <w:sz w:val="22"/>
                <w:lang w:eastAsia="zh-Hans"/>
              </w:rPr>
              <w:t>及</w:t>
            </w:r>
            <w:r>
              <w:rPr>
                <w:rFonts w:hint="eastAsia" w:ascii="宋体" w:hAnsi="宋体"/>
                <w:sz w:val="22"/>
              </w:rPr>
              <w:t>解决办法；配合建设方提请施工相关报批手续；各投标文件横向比较，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资源配置计划</w:t>
            </w:r>
          </w:p>
        </w:tc>
        <w:tc>
          <w:tcPr>
            <w:tcW w:w="6586" w:type="dxa"/>
            <w:vAlign w:val="center"/>
          </w:tcPr>
          <w:p>
            <w:pPr>
              <w:snapToGrid w:val="0"/>
              <w:jc w:val="left"/>
              <w:rPr>
                <w:rFonts w:ascii="宋体" w:hAnsi="宋体"/>
                <w:sz w:val="22"/>
              </w:rPr>
            </w:pPr>
            <w:r>
              <w:rPr>
                <w:rFonts w:hint="eastAsia" w:ascii="宋体" w:hAnsi="宋体"/>
                <w:sz w:val="22"/>
              </w:rPr>
              <w:t>各专业工种的配置和劳动力的投入是否能满足工程的需要；施工机具和检验仪器的投入是否能够满足</w:t>
            </w:r>
            <w:r>
              <w:rPr>
                <w:rFonts w:hint="eastAsia" w:ascii="宋体" w:hAnsi="宋体"/>
                <w:sz w:val="22"/>
                <w:lang w:eastAsia="zh-Hans"/>
              </w:rPr>
              <w:t>本项目需要</w:t>
            </w:r>
            <w:r>
              <w:rPr>
                <w:rFonts w:hint="eastAsia" w:ascii="宋体" w:hAnsi="宋体"/>
                <w:sz w:val="22"/>
              </w:rPr>
              <w:t>；各投标文件横向比较，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left"/>
              <w:rPr>
                <w:rFonts w:ascii="宋体" w:hAnsi="宋体" w:cs="宋体"/>
                <w:szCs w:val="24"/>
              </w:rPr>
            </w:pPr>
            <w:r>
              <w:rPr>
                <w:rFonts w:hint="eastAsia" w:ascii="宋体" w:hAnsi="宋体" w:cs="宋体"/>
                <w:szCs w:val="24"/>
              </w:rPr>
              <w:t>设备材料</w:t>
            </w:r>
          </w:p>
        </w:tc>
        <w:tc>
          <w:tcPr>
            <w:tcW w:w="6586" w:type="dxa"/>
            <w:vAlign w:val="center"/>
          </w:tcPr>
          <w:p>
            <w:pPr>
              <w:adjustRightInd w:val="0"/>
              <w:snapToGrid w:val="0"/>
              <w:jc w:val="left"/>
              <w:rPr>
                <w:rFonts w:ascii="宋体" w:hAnsi="宋体" w:cs="宋体"/>
                <w:szCs w:val="24"/>
              </w:rPr>
            </w:pPr>
            <w:r>
              <w:rPr>
                <w:rFonts w:hint="eastAsia" w:ascii="宋体" w:hAnsi="宋体" w:cs="宋体"/>
                <w:szCs w:val="24"/>
              </w:rPr>
              <w:t>投标人所使用的主要设备材料根据投标人提供的证明文件进行综合打分，优秀的得2.8-4分；良好的1.4-2.8分；一般的得0-1.4分。</w:t>
            </w:r>
          </w:p>
        </w:tc>
        <w:tc>
          <w:tcPr>
            <w:tcW w:w="851" w:type="dxa"/>
            <w:vAlign w:val="center"/>
          </w:tcPr>
          <w:p>
            <w:pPr>
              <w:jc w:val="center"/>
              <w:rPr>
                <w:rFonts w:ascii="宋体" w:hAnsi="宋体" w:cs="宋体"/>
                <w:szCs w:val="24"/>
              </w:rPr>
            </w:pPr>
            <w:r>
              <w:rPr>
                <w:rFonts w:hint="eastAsia" w:ascii="宋体" w:hAnsi="宋体" w:cs="宋体"/>
                <w:szCs w:val="24"/>
              </w:rPr>
              <w:t>0-4</w:t>
            </w:r>
          </w:p>
        </w:tc>
      </w:tr>
    </w:tbl>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2.投标文件的商务报价评审(</w:t>
      </w:r>
      <w:r>
        <w:rPr>
          <w:rFonts w:hint="eastAsia" w:ascii="宋体" w:hAnsi="宋体" w:cs="宋体"/>
          <w:b/>
          <w:sz w:val="22"/>
          <w:u w:val="single"/>
        </w:rPr>
        <w:t xml:space="preserve"> 60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w:t>
      </w:r>
      <w:r>
        <w:rPr>
          <w:rFonts w:hint="eastAsia" w:ascii="宋体" w:hAnsi="宋体" w:cs="宋体"/>
          <w:sz w:val="22"/>
        </w:rPr>
        <w:t>后为评标价(即不含税价)。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numPr>
          <w:ilvl w:val="0"/>
          <w:numId w:val="3"/>
        </w:numPr>
        <w:adjustRightInd w:val="0"/>
        <w:snapToGrid w:val="0"/>
        <w:spacing w:line="360" w:lineRule="exact"/>
        <w:ind w:firstLine="440" w:firstLineChars="200"/>
        <w:rPr>
          <w:rFonts w:ascii="宋体" w:hAnsi="宋体" w:cs="宋体"/>
          <w:sz w:val="22"/>
        </w:rPr>
      </w:pPr>
      <w:r>
        <w:rPr>
          <w:rFonts w:hint="eastAsia" w:ascii="宋体" w:hAnsi="宋体" w:cs="宋体"/>
          <w:sz w:val="22"/>
        </w:rPr>
        <w:t>评分范围：通过符合性审查的所有投标文件进入评分范围(下称有效评标价)。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3.投标文件的综合得分：每个投标人综合得分=技术分+商务分。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9"/>
      </w:pPr>
      <w:r>
        <w:rPr>
          <w:rFonts w:ascii="宋体" w:hAnsi="宋体" w:cs="宋体"/>
          <w:sz w:val="22"/>
        </w:rPr>
        <w:br w:type="page"/>
      </w:r>
    </w:p>
    <w:p>
      <w:pPr>
        <w:pStyle w:val="9"/>
        <w:rPr>
          <w:rFonts w:ascii="宋体" w:hAnsi="宋体" w:cs="宋体"/>
          <w:sz w:val="28"/>
          <w:szCs w:val="20"/>
        </w:rPr>
      </w:pPr>
      <w:bookmarkStart w:id="15" w:name="_Toc20342"/>
      <w:r>
        <w:rPr>
          <w:rFonts w:hint="eastAsia"/>
        </w:rPr>
        <w:t>第三章</w:t>
      </w:r>
      <w:r>
        <w:t xml:space="preserve">  </w:t>
      </w:r>
      <w:r>
        <w:rPr>
          <w:rFonts w:hint="eastAsia"/>
        </w:rPr>
        <w:t>合同条款及格式</w:t>
      </w:r>
      <w:bookmarkEnd w:id="8"/>
      <w:bookmarkEnd w:id="15"/>
      <w:bookmarkStart w:id="16" w:name="_Toc448097405"/>
    </w:p>
    <w:bookmarkEnd w:id="16"/>
    <w:p>
      <w:pPr>
        <w:keepNext w:val="0"/>
        <w:keepLines w:val="0"/>
        <w:pageBreakBefore/>
        <w:widowControl w:val="0"/>
        <w:kinsoku/>
        <w:wordWrap w:val="0"/>
        <w:overflowPunct/>
        <w:topLinePunct w:val="0"/>
        <w:autoSpaceDE/>
        <w:autoSpaceDN/>
        <w:bidi w:val="0"/>
        <w:adjustRightInd/>
        <w:snapToGrid/>
        <w:spacing w:line="360" w:lineRule="auto"/>
        <w:ind w:left="0" w:leftChars="0" w:right="0" w:rightChars="0" w:firstLine="0" w:firstLineChars="0"/>
        <w:jc w:val="right"/>
        <w:textAlignment w:val="auto"/>
        <w:outlineLvl w:val="9"/>
        <w:rPr>
          <w:rFonts w:hint="eastAsia" w:ascii="黑体" w:hAnsi="黑体" w:eastAsia="黑体" w:cs="黑体"/>
          <w:sz w:val="32"/>
          <w:szCs w:val="32"/>
          <w:lang w:val="en-US" w:eastAsia="zh-CN"/>
        </w:rPr>
      </w:pPr>
      <w:bookmarkStart w:id="17" w:name="_Toc448097407"/>
      <w:r>
        <w:rPr>
          <w:rFonts w:hint="eastAsia" w:ascii="方正小标宋简体" w:hAnsi="方正小标宋简体" w:eastAsia="方正小标宋简体" w:cs="方正小标宋简体"/>
          <w:sz w:val="32"/>
          <w:szCs w:val="32"/>
          <w:lang w:val="en-US" w:eastAsia="zh-CN"/>
        </w:rPr>
        <w:t>合同编号：</w:t>
      </w:r>
      <w:r>
        <w:rPr>
          <w:rFonts w:hint="eastAsia" w:ascii="黑体" w:hAnsi="黑体" w:eastAsia="黑体" w:cs="黑体"/>
          <w:sz w:val="32"/>
          <w:szCs w:val="32"/>
          <w:lang w:val="en-US" w:eastAsia="zh-CN"/>
        </w:rPr>
        <w:t xml:space="preserve">    </w:t>
      </w:r>
    </w:p>
    <w:p>
      <w:pPr>
        <w:spacing w:line="360" w:lineRule="auto"/>
        <w:jc w:val="center"/>
        <w:rPr>
          <w:rFonts w:hint="eastAsia" w:ascii="方正小标宋简体" w:eastAsia="方正小标宋简体"/>
          <w:sz w:val="44"/>
          <w:szCs w:val="44"/>
        </w:rPr>
      </w:pPr>
    </w:p>
    <w:p>
      <w:pPr>
        <w:spacing w:line="360" w:lineRule="auto"/>
        <w:jc w:val="center"/>
        <w:rPr>
          <w:rFonts w:hint="eastAsia" w:ascii="方正小标宋简体" w:eastAsia="方正小标宋简体"/>
          <w:sz w:val="44"/>
          <w:szCs w:val="44"/>
        </w:rPr>
      </w:pPr>
    </w:p>
    <w:p>
      <w:pPr>
        <w:spacing w:line="360" w:lineRule="auto"/>
        <w:jc w:val="center"/>
        <w:rPr>
          <w:rFonts w:hint="eastAsia" w:ascii="方正小标宋简体" w:eastAsia="方正小标宋简体"/>
          <w:sz w:val="44"/>
          <w:szCs w:val="44"/>
        </w:rPr>
      </w:pPr>
    </w:p>
    <w:p>
      <w:pPr>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杭州萧山国际机场T1高架桥纵向伸缩缝钢板覆盖项目施工合同</w:t>
      </w: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keepNext w:val="0"/>
        <w:keepLines w:val="0"/>
        <w:pageBreakBefore w:val="0"/>
        <w:kinsoku/>
        <w:wordWrap/>
        <w:topLinePunct w:val="0"/>
        <w:bidi w:val="0"/>
        <w:spacing w:line="400" w:lineRule="exact"/>
        <w:ind w:right="0" w:rightChars="0"/>
        <w:outlineLvl w:val="9"/>
        <w:rPr>
          <w:rFonts w:hint="eastAsia" w:asciiTheme="minorEastAsia" w:hAnsiTheme="minorEastAsia" w:cstheme="minorEastAsia"/>
          <w:sz w:val="24"/>
          <w:szCs w:val="24"/>
          <w:lang w:val="en-US" w:eastAsia="zh-CN"/>
        </w:rPr>
      </w:pPr>
    </w:p>
    <w:p>
      <w:pPr>
        <w:keepNext w:val="0"/>
        <w:keepLines w:val="0"/>
        <w:pageBreakBefore w:val="0"/>
        <w:kinsoku/>
        <w:wordWrap/>
        <w:topLinePunct w:val="0"/>
        <w:bidi w:val="0"/>
        <w:spacing w:line="400" w:lineRule="exact"/>
        <w:ind w:right="0" w:rightChars="0"/>
        <w:outlineLvl w:val="9"/>
        <w:rPr>
          <w:rFonts w:hint="eastAsia" w:asciiTheme="minorEastAsia" w:hAnsiTheme="minorEastAsia" w:cstheme="minor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黑体" w:hAnsi="黑体" w:eastAsia="黑体" w:cs="黑体"/>
          <w:sz w:val="30"/>
          <w:szCs w:val="30"/>
        </w:rPr>
        <w:sectPr>
          <w:footerReference r:id="rId8" w:type="default"/>
          <w:pgSz w:w="11906" w:h="16838"/>
          <w:pgMar w:top="1440" w:right="1800" w:bottom="1440" w:left="1800" w:header="851" w:footer="992" w:gutter="0"/>
          <w:pgNumType w:fmt="decimal" w:start="1"/>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eastAsia" w:ascii="黑体" w:hAnsi="黑体" w:eastAsia="黑体" w:cs="黑体"/>
          <w:sz w:val="30"/>
          <w:szCs w:val="30"/>
        </w:rPr>
      </w:pPr>
      <w:r>
        <w:rPr>
          <w:rFonts w:hint="eastAsia" w:ascii="黑体" w:hAnsi="黑体" w:eastAsia="黑体" w:cs="黑体"/>
          <w:sz w:val="30"/>
          <w:szCs w:val="30"/>
        </w:rPr>
        <w:t>发包方（甲方）：</w:t>
      </w:r>
      <w:r>
        <w:rPr>
          <w:rFonts w:hint="eastAsia" w:ascii="黑体" w:hAnsi="黑体" w:eastAsia="黑体" w:cs="黑体"/>
          <w:sz w:val="30"/>
          <w:szCs w:val="30"/>
          <w:u w:val="single"/>
        </w:rPr>
        <w:t>杭州萧山国际机场有限公司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eastAsia" w:ascii="黑体" w:hAnsi="黑体" w:eastAsia="黑体" w:cs="黑体"/>
          <w:sz w:val="30"/>
          <w:szCs w:val="30"/>
        </w:rPr>
      </w:pPr>
      <w:r>
        <w:rPr>
          <w:rFonts w:hint="eastAsia" w:ascii="黑体" w:hAnsi="黑体" w:eastAsia="黑体" w:cs="黑体"/>
          <w:sz w:val="30"/>
          <w:szCs w:val="30"/>
        </w:rPr>
        <w:t>住所地：杭州萧山国际机场内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eastAsia" w:ascii="黑体" w:hAnsi="黑体" w:eastAsia="黑体" w:cs="黑体"/>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eastAsia" w:ascii="黑体" w:hAnsi="黑体" w:eastAsia="黑体" w:cs="黑体"/>
          <w:sz w:val="30"/>
          <w:szCs w:val="30"/>
        </w:rPr>
      </w:pPr>
      <w:r>
        <w:rPr>
          <w:rFonts w:hint="eastAsia" w:ascii="黑体" w:hAnsi="黑体" w:eastAsia="黑体" w:cs="黑体"/>
          <w:sz w:val="30"/>
          <w:szCs w:val="30"/>
        </w:rPr>
        <w:t>承包方（乙方）：</w:t>
      </w:r>
      <w:r>
        <w:rPr>
          <w:rFonts w:hint="eastAsia" w:ascii="黑体" w:hAnsi="黑体" w:eastAsia="黑体" w:cs="黑体"/>
          <w:sz w:val="30"/>
          <w:szCs w:val="30"/>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eastAsia" w:ascii="黑体" w:hAnsi="黑体" w:eastAsia="黑体" w:cs="黑体"/>
          <w:sz w:val="30"/>
          <w:szCs w:val="30"/>
        </w:rPr>
      </w:pPr>
      <w:r>
        <w:rPr>
          <w:rFonts w:hint="eastAsia" w:ascii="黑体" w:hAnsi="黑体" w:eastAsia="黑体" w:cs="黑体"/>
          <w:sz w:val="30"/>
          <w:szCs w:val="30"/>
        </w:rPr>
        <w:t>住所地：</w:t>
      </w:r>
    </w:p>
    <w:p>
      <w:pPr>
        <w:spacing w:line="400" w:lineRule="exact"/>
        <w:ind w:firstLine="480" w:firstLineChars="200"/>
        <w:rPr>
          <w:rFonts w:hint="eastAsia" w:asciiTheme="minorEastAsia" w:hAnsi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asciiTheme="minorEastAsia" w:hAnsiTheme="minorEastAsia" w:cstheme="minorEastAsia"/>
          <w:sz w:val="24"/>
          <w:szCs w:val="24"/>
        </w:rPr>
      </w:pPr>
      <w:r>
        <w:rPr>
          <w:rFonts w:hint="eastAsia" w:ascii="仿宋_GB2312" w:hAnsi="仿宋_GB2312" w:eastAsia="仿宋_GB2312" w:cs="仿宋_GB2312"/>
          <w:sz w:val="28"/>
          <w:szCs w:val="28"/>
        </w:rPr>
        <w:t>按照《中华人民共和国民法典》和《中华人民共和国建筑法》的规定，结合本工程具体情况，双方达成如下协议。</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工程概况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1.1工程名称：</w:t>
      </w:r>
      <w:r>
        <w:rPr>
          <w:rFonts w:hint="eastAsia" w:ascii="仿宋_GB2312" w:hAnsi="仿宋_GB2312" w:eastAsia="仿宋_GB2312" w:cs="仿宋_GB2312"/>
          <w:sz w:val="28"/>
          <w:szCs w:val="28"/>
          <w:u w:val="single"/>
        </w:rPr>
        <w:t>杭州萧山国际机场T1高架桥纵向伸缩缝钢板覆盖项目</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1.2工程地点：</w:t>
      </w:r>
      <w:r>
        <w:rPr>
          <w:rFonts w:hint="eastAsia" w:ascii="仿宋_GB2312" w:hAnsi="仿宋_GB2312" w:eastAsia="仿宋_GB2312" w:cs="仿宋_GB2312"/>
          <w:sz w:val="28"/>
          <w:szCs w:val="28"/>
          <w:u w:val="single"/>
        </w:rPr>
        <w:t>杭州萧山国际机场内</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1.3承包范围：</w:t>
      </w:r>
      <w:r>
        <w:rPr>
          <w:rFonts w:hint="eastAsia" w:ascii="仿宋_GB2312" w:hAnsi="仿宋_GB2312" w:eastAsia="仿宋_GB2312" w:cs="仿宋_GB2312"/>
          <w:sz w:val="28"/>
          <w:szCs w:val="28"/>
          <w:u w:val="single"/>
        </w:rPr>
        <w:t>用钢板单侧焊接的方式，对整段T1航站楼高架桥外车道纵向伸缩缝进行覆盖</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1.4承包方式：包工包料</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1.5工期：工程具体开工日期以发包人书面指示为准，工期</w:t>
      </w:r>
      <w:r>
        <w:rPr>
          <w:rFonts w:hint="eastAsia" w:ascii="仿宋_GB2312" w:hAnsi="仿宋_GB2312" w:eastAsia="仿宋_GB2312" w:cs="仿宋_GB2312"/>
          <w:color w:val="auto"/>
          <w:sz w:val="28"/>
          <w:szCs w:val="28"/>
          <w:u w:val="single"/>
          <w:lang w:val="en-US" w:eastAsia="zh-CN"/>
        </w:rPr>
        <w:t>7</w:t>
      </w:r>
      <w:r>
        <w:rPr>
          <w:rFonts w:hint="eastAsia" w:ascii="仿宋_GB2312" w:hAnsi="仿宋_GB2312" w:eastAsia="仿宋_GB2312" w:cs="仿宋_GB2312"/>
          <w:sz w:val="28"/>
          <w:szCs w:val="28"/>
        </w:rPr>
        <w:t>日历天。</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1.6工程质量：</w:t>
      </w:r>
      <w:r>
        <w:rPr>
          <w:rFonts w:hint="eastAsia" w:ascii="仿宋_GB2312" w:hAnsi="仿宋_GB2312" w:eastAsia="仿宋_GB2312" w:cs="仿宋_GB2312"/>
          <w:kern w:val="0"/>
          <w:sz w:val="28"/>
          <w:szCs w:val="28"/>
          <w:u w:val="single"/>
        </w:rPr>
        <w:t>工程达到符合国家施工验收规范规定的合格标准，确保一次性验收合格</w:t>
      </w:r>
      <w:r>
        <w:rPr>
          <w:rFonts w:hint="eastAsia" w:ascii="仿宋_GB2312" w:hAnsi="仿宋_GB2312" w:eastAsia="仿宋_GB2312" w:cs="仿宋_GB2312"/>
          <w:kern w:val="0"/>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1.7合同暂定价款（人民币大写）：</w:t>
      </w:r>
      <w:r>
        <w:rPr>
          <w:rFonts w:hint="eastAsia" w:ascii="仿宋_GB2312" w:hAnsi="仿宋_GB2312" w:eastAsia="仿宋_GB2312" w:cs="仿宋_GB2312"/>
          <w:sz w:val="28"/>
          <w:szCs w:val="28"/>
          <w:u w:val="single"/>
          <w:lang w:val="en-US" w:eastAsia="zh-CN"/>
        </w:rPr>
        <w:t xml:space="preserve">                        </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甲方工作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2.1开工前</w:t>
      </w:r>
      <w:r>
        <w:rPr>
          <w:rFonts w:hint="eastAsia" w:ascii="仿宋_GB2312" w:hAnsi="仿宋_GB2312" w:eastAsia="仿宋_GB2312" w:cs="仿宋_GB2312"/>
          <w:sz w:val="28"/>
          <w:szCs w:val="28"/>
          <w:u w:val="single"/>
        </w:rPr>
        <w:t>7</w:t>
      </w:r>
      <w:r>
        <w:rPr>
          <w:rFonts w:hint="eastAsia" w:ascii="仿宋_GB2312" w:hAnsi="仿宋_GB2312" w:eastAsia="仿宋_GB2312" w:cs="仿宋_GB2312"/>
          <w:sz w:val="28"/>
          <w:szCs w:val="28"/>
        </w:rPr>
        <w:t>天，向乙方提供经确认的设计方案图纸或做法说明</w:t>
      </w:r>
      <w:r>
        <w:rPr>
          <w:rFonts w:hint="eastAsia" w:ascii="仿宋_GB2312" w:hAnsi="仿宋_GB2312" w:eastAsia="仿宋_GB2312" w:cs="仿宋_GB2312"/>
          <w:sz w:val="28"/>
          <w:szCs w:val="28"/>
          <w:u w:val="single"/>
        </w:rPr>
        <w:t>1</w:t>
      </w:r>
      <w:r>
        <w:rPr>
          <w:rFonts w:hint="eastAsia" w:ascii="仿宋_GB2312" w:hAnsi="仿宋_GB2312" w:eastAsia="仿宋_GB2312" w:cs="仿宋_GB2312"/>
          <w:sz w:val="28"/>
          <w:szCs w:val="28"/>
        </w:rPr>
        <w:t>份，并向乙方进行现场交底。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2.2甲方组织施工方案和进度计划的审查工作。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2.3涉及机场隔离区的工程项目实施前，由甲方组织对乙方项目实施人员进行相关安全培训教育，并与乙方签订施工安全责任书。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2.4甲方配合乙方施工所需水、电接入的工作，并说明使用注意事项。办理施工所涉及的各种申请、批件等手续。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2.5甲方指派</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为甲方项目负责人，负责合同履行。对工程安全、质量、进度以及造价进行监督检查，办理验收、变更、登记手续和其他事宜。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2.6甲方委托</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rPr>
        <w:t>监理公司进行工程监理，监理公司任命</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rPr>
        <w:t>为总监理工程师，其职责在监理合同中应明确，并将合同副本交乙方</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rPr>
        <w:t>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2.7如确实需要拆改原建筑物结构或设备管线，甲方负责到有关部门办理相应审批手续。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2.8协调有关部门做好现场保卫、消防、垃圾处理等工作。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2.9组织工程竣工验收以及办理工程竣工结算审核工作。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2.10项目所涉及项目工程造价的移交送审工作，由监理单位或甲方代表协助建设单位预决算员办理。</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乙方工作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3.1乙方收到设计方案图纸或做法说明后应及时进行现场踏勘，并结合现场实际情况进行复核完善，并拟定施工方案和进度计划，交甲方审定。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3.2乙方指派</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身份证号</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为乙方项目负责人，负责合同履行。按要求组织施工，保质、保量、按期完成施工任务，解决由乙方负责的各项事宜。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3.3乙方应严格执行施工规范、安全操作规程、防火安全规定、环境保护规定。严格按照图纸或作法说明进行施工，做好各项质量检查记录。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乙方须按甲方要求时间进场施工，并按甲方实施要求保质保量在合同工期内完成工程施工。施工过程中如有工程变更情况，须按甲方相关工程管理规定办理变更手续。项目完工后，乙方应配合甲方组织竣工验收，并按相关工程归档要求及时完成竣工资料的移交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3.5乙方须按相关要求及时报送竣工结算资料，配合甲方完成工程竣工结算审核工作。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3.7施工中未经甲方同意或有关部门批准，乙方不得随意拆改或损坏原建筑物结构及各种设备管线。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3.8工程竣工未移交甲方之前，负责对现场的一切设施和工程成品进行保护，并承担风险和费用。</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关于工期的约定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4.1甲方要求比合同约定的工期提前竣工时，应征得乙方同意，并支付乙方因赶工采取的措施费用。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4.2因甲方未按约定完成工作，影响工期，则工期相应顺延。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4.3乙方非因甲方原因不能按期开工或中途无故停工影响工期，或乙方非因甲方原因延误工期的，则工期不顺延，且乙方须向甲方承担工期延误的违约责任。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4.4因涉及甲方要求的设计或工程量变更或非乙方原因造成的停电、停水、停气及不可抗力因素影响，导致停工8小时以上（一周内累计计算），工期相应顺延。</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关于工程质量及验收的约定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5.1本工程以做法说明、设计变更等国家制定的施工及验收规范为质量评定验收标准。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5.2本工程质量应达到国家质量评定合格标准。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5.3由于乙方提供的材料、设备质量不合格而影响工程质量，其返工费用由乙方承担，工期不顺延。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5.4由于乙方原因造成质量事故，其返工费用由乙方承担，工期不顺延。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5.5工程竣工后，乙方应通知甲方验收，甲方自接到验收通知3日内组织验收，并办理验收、移交手续。如甲方在规定时间内未能组织验收，需及时通知乙方，另定验收日期。</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关于工程价款及结算的约定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Theme="minorEastAsia" w:hAnsiTheme="minorEastAsia" w:cstheme="minorEastAsia"/>
          <w:sz w:val="24"/>
          <w:szCs w:val="24"/>
        </w:rPr>
        <w:t xml:space="preserve"> </w:t>
      </w:r>
      <w:r>
        <w:rPr>
          <w:rFonts w:hint="eastAsia" w:ascii="仿宋_GB2312" w:hAnsi="仿宋_GB2312" w:eastAsia="仿宋_GB2312" w:cs="仿宋_GB2312"/>
          <w:sz w:val="28"/>
          <w:szCs w:val="28"/>
        </w:rPr>
        <w:t>6.1双方商定本合同价款采用第</w:t>
      </w:r>
      <w:r>
        <w:rPr>
          <w:rFonts w:hint="eastAsia" w:ascii="仿宋_GB2312" w:hAnsi="仿宋_GB2312" w:eastAsia="仿宋_GB2312" w:cs="仿宋_GB2312"/>
          <w:sz w:val="28"/>
          <w:szCs w:val="28"/>
          <w:u w:val="single"/>
        </w:rPr>
        <w:t>2</w:t>
      </w:r>
      <w:r>
        <w:rPr>
          <w:rFonts w:hint="eastAsia" w:ascii="仿宋_GB2312" w:hAnsi="仿宋_GB2312" w:eastAsia="仿宋_GB2312" w:cs="仿宋_GB2312"/>
          <w:sz w:val="28"/>
          <w:szCs w:val="28"/>
        </w:rPr>
        <w:t>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（1）固定总价。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（2）固定单价。可调价格按</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rPr>
        <w:t>规则计算。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w:t>
      </w:r>
      <w:r>
        <w:rPr>
          <w:rFonts w:hint="eastAsia" w:ascii="仿宋_GB2312" w:hAnsi="仿宋_GB2312" w:eastAsia="仿宋_GB2312" w:cs="仿宋_GB2312"/>
          <w:sz w:val="28"/>
          <w:szCs w:val="28"/>
          <w:u w:val="single"/>
        </w:rPr>
        <w:t>5</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rPr>
        <w:t>的幅度以外的核减额的</w:t>
      </w:r>
      <w:r>
        <w:rPr>
          <w:rFonts w:hint="eastAsia" w:ascii="仿宋_GB2312" w:hAnsi="仿宋_GB2312" w:eastAsia="仿宋_GB2312" w:cs="仿宋_GB2312"/>
          <w:sz w:val="28"/>
          <w:szCs w:val="28"/>
          <w:u w:val="single"/>
        </w:rPr>
        <w:t>5</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rPr>
        <w:t>计算，费用由乙方支付或由甲方从应付工程价款中扣缴；核增部分以核增额为基数，费率为</w:t>
      </w:r>
      <w:r>
        <w:rPr>
          <w:rFonts w:hint="eastAsia" w:ascii="仿宋_GB2312" w:hAnsi="仿宋_GB2312" w:eastAsia="仿宋_GB2312" w:cs="仿宋_GB2312"/>
          <w:sz w:val="28"/>
          <w:szCs w:val="28"/>
          <w:u w:val="single"/>
        </w:rPr>
        <w:t>5</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rPr>
        <w:t>，由乙方直接支付审查费用。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6.2工程竣工验收后，乙方提出工程结算申请并将有关资料送交甲方。甲方按照以下方式办理款项支付：</w:t>
      </w:r>
      <w:bookmarkStart w:id="18" w:name="_Hlk47444557"/>
    </w:p>
    <w:bookmarkEnd w:id="18"/>
    <w:p>
      <w:pPr>
        <w:keepNext w:val="0"/>
        <w:keepLines w:val="0"/>
        <w:pageBreakBefore w:val="0"/>
        <w:widowControl/>
        <w:kinsoku/>
        <w:wordWrap/>
        <w:overflowPunct w:val="0"/>
        <w:topLinePunct w:val="0"/>
        <w:autoSpaceDE w:val="0"/>
        <w:autoSpaceDN w:val="0"/>
        <w:bidi w:val="0"/>
        <w:adjustRightInd w:val="0"/>
        <w:snapToGrid/>
        <w:spacing w:line="560" w:lineRule="exact"/>
        <w:ind w:left="0" w:leftChars="0" w:right="0" w:rightChars="0" w:firstLine="560" w:firstLineChars="200"/>
        <w:jc w:val="both"/>
        <w:textAlignment w:val="baseline"/>
        <w:outlineLvl w:val="9"/>
        <w:rPr>
          <w:rFonts w:asciiTheme="minorEastAsia" w:hAnsiTheme="minorEastAsia" w:cstheme="minorEastAsia"/>
          <w:b/>
          <w:bCs/>
          <w:sz w:val="24"/>
          <w:szCs w:val="24"/>
        </w:rPr>
      </w:pPr>
      <w:r>
        <w:rPr>
          <w:rFonts w:hint="eastAsia" w:ascii="仿宋_GB2312" w:hAnsi="仿宋_GB2312" w:eastAsia="仿宋_GB2312" w:cs="仿宋_GB2312"/>
          <w:sz w:val="28"/>
          <w:szCs w:val="28"/>
        </w:rPr>
        <w:t>工程竣工验收通过并完成工程结算，经发包人认可后30天内，发包人向承包人支付至结算价的</w:t>
      </w:r>
      <w:r>
        <w:rPr>
          <w:rFonts w:hint="eastAsia" w:ascii="仿宋_GB2312" w:hAnsi="仿宋_GB2312" w:eastAsia="仿宋_GB2312" w:cs="仿宋_GB2312"/>
          <w:sz w:val="28"/>
          <w:szCs w:val="28"/>
          <w:u w:val="single"/>
        </w:rPr>
        <w:t>97%</w:t>
      </w:r>
      <w:r>
        <w:rPr>
          <w:rFonts w:hint="eastAsia" w:ascii="仿宋_GB2312" w:hAnsi="仿宋_GB2312" w:eastAsia="仿宋_GB2312" w:cs="仿宋_GB2312"/>
          <w:sz w:val="28"/>
          <w:szCs w:val="28"/>
        </w:rPr>
        <w:t>；结算价的</w:t>
      </w:r>
      <w:r>
        <w:rPr>
          <w:rFonts w:hint="eastAsia" w:ascii="仿宋_GB2312" w:hAnsi="仿宋_GB2312" w:eastAsia="仿宋_GB2312" w:cs="仿宋_GB2312"/>
          <w:sz w:val="28"/>
          <w:szCs w:val="28"/>
          <w:u w:val="single"/>
        </w:rPr>
        <w:t>3%</w:t>
      </w:r>
      <w:r>
        <w:rPr>
          <w:rFonts w:hint="eastAsia" w:ascii="仿宋_GB2312" w:hAnsi="仿宋_GB2312" w:eastAsia="仿宋_GB2312" w:cs="仿宋_GB2312"/>
          <w:sz w:val="28"/>
          <w:szCs w:val="28"/>
        </w:rPr>
        <w:t>留作质量保证金，待缺陷责任期满后无利息支付。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6.3甲方提出工程变更和签证的费用，由乙方在施工前提出并补充编制工料单价预算书。变更估价时，工程量清单中有的项目单价</w:t>
      </w:r>
      <w:bookmarkStart w:id="19" w:name="_Hlk119178570"/>
      <w:r>
        <w:rPr>
          <w:rFonts w:hint="eastAsia" w:ascii="仿宋_GB2312" w:hAnsi="仿宋_GB2312" w:eastAsia="仿宋_GB2312" w:cs="仿宋_GB2312"/>
          <w:sz w:val="28"/>
          <w:szCs w:val="28"/>
        </w:rPr>
        <w:t>，按乙方投标工程量清单中该项综合单价计取</w:t>
      </w:r>
      <w:bookmarkEnd w:id="19"/>
      <w:r>
        <w:rPr>
          <w:rFonts w:hint="eastAsia" w:ascii="仿宋_GB2312" w:hAnsi="仿宋_GB2312" w:eastAsia="仿宋_GB2312" w:cs="仿宋_GB2312"/>
          <w:sz w:val="28"/>
          <w:szCs w:val="28"/>
        </w:rPr>
        <w:t>；工程量清单中无适用的项目单价，套用浙江省2018定额，按分部分项工程费+规费+税金计取；不能套用浙江省2018定额的项目，可按照成本加利润的原则，承包人与发包人协商后执行。</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关于材料供应的约定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7.2凡由乙方采购的材料、设备，如不符合质量要求或规格有差异，应禁止使用。若已使用，对工程造成的损失由乙方负责。</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有关安全生产和防火的约定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8.1甲方提供的施工图纸或作法说明，应符合《中华人民共和国消防法》和有关防火设计规范。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8.2乙方在施工期间应严格遵守《中华人民共和国建筑法》、《中华人民共和国安全生产法》、《中华人民共和国消防法》、《建设工程质量管理条例》、《建设工程安全生产管理条例》和其他相关的法律、法规、规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8.3由于乙方在施工生产过程中违反有关安全操作规程、消防条例，导致发生安全或火灾事故，乙方应承担由此引发的一切经济损失。</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8.4施工及生活用水用电：由甲方提供用水接口，场内接管、安装水表由乙方自行解决，乙方施工前需向机场水电管理部门提出申请并通过。施工用电：由甲方提供用电接口，场内接管、安装电表由乙方自行解决，乙方施工前需向机场水电管理部门提出申请并通过。水费以供水部门水价4.4元/吨为基础单价。如遇水价调整，水费单价也作相应的调整收费，收费单价保留小数点后两位，四舍五入，用水计量以甲方计量为准。电费以供电局电价0.6413元/度为基础单价。如供电局电价调整，电费单价也作相应的调整，收费单价保留小数点后两位，四舍五入，用电计量以甲方计量为准。水电使用过程中产生的水电设施维护服务费（即水电损耗、设施运行维护、维修费等）根据甲方具体通知为准，由双方另行签订水电结算协议。</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违约责任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9.1由于乙方原因，逾期竣工，每逾期一天，乙方支付甲方</w:t>
      </w:r>
      <w:r>
        <w:rPr>
          <w:rFonts w:hint="eastAsia" w:ascii="仿宋_GB2312" w:hAnsi="仿宋_GB2312" w:eastAsia="仿宋_GB2312" w:cs="仿宋_GB2312"/>
          <w:sz w:val="28"/>
          <w:szCs w:val="28"/>
          <w:u w:val="single"/>
        </w:rPr>
        <w:t>壹万元</w:t>
      </w:r>
      <w:r>
        <w:rPr>
          <w:rFonts w:hint="eastAsia" w:ascii="仿宋_GB2312" w:hAnsi="仿宋_GB2312" w:eastAsia="仿宋_GB2312" w:cs="仿宋_GB2312"/>
          <w:sz w:val="28"/>
          <w:szCs w:val="28"/>
        </w:rPr>
        <w:t>违约金；甲方有权终止合同，并保留对乙方追溯赔偿其他一切损失的权利。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9.2乙方应妥善保护甲方提供的设备及现场堆放的家具、陈设和工程成品，如造成损失，应照价赔偿。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9.3未经甲方同意，乙方擅自拆改原建筑物结构或设备管线，由此发生的损失或事故（包括行政处罚），由乙方负责并承担损失。</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9.4除本合同另有约定外，任何一方违约应当就因此给对方造成的损失承担赔偿责任。</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争议或纠纷处理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10.1本合同在履行期间，双方发生争议时，在不影响工作进度的前提下，双方可采取协商解决或请有关部门进行调解。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10.2当事人不愿通过协商、调解解决或者协商、调解不成时，本合同在执行中发生的争议双方同意由甲方所在地人民法院诉讼管辖解决。</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附则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11.1本工程保修事宜由双方签订保修协议。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11.2本合同一共</w:t>
      </w:r>
      <w:r>
        <w:rPr>
          <w:rFonts w:hint="eastAsia" w:ascii="仿宋_GB2312" w:hAnsi="仿宋_GB2312" w:eastAsia="仿宋_GB2312" w:cs="仿宋_GB2312"/>
          <w:sz w:val="28"/>
          <w:szCs w:val="28"/>
          <w:u w:val="single"/>
        </w:rPr>
        <w:t>陆</w:t>
      </w:r>
      <w:r>
        <w:rPr>
          <w:rFonts w:hint="eastAsia" w:ascii="仿宋_GB2312" w:hAnsi="仿宋_GB2312" w:eastAsia="仿宋_GB2312" w:cs="仿宋_GB2312"/>
          <w:sz w:val="28"/>
          <w:szCs w:val="28"/>
        </w:rPr>
        <w:t>份，甲乙双方各执</w:t>
      </w:r>
      <w:r>
        <w:rPr>
          <w:rFonts w:hint="eastAsia" w:ascii="仿宋_GB2312" w:hAnsi="仿宋_GB2312" w:eastAsia="仿宋_GB2312" w:cs="仿宋_GB2312"/>
          <w:sz w:val="28"/>
          <w:szCs w:val="28"/>
          <w:u w:val="single"/>
        </w:rPr>
        <w:t>叁</w:t>
      </w:r>
      <w:r>
        <w:rPr>
          <w:rFonts w:hint="eastAsia" w:ascii="仿宋_GB2312" w:hAnsi="仿宋_GB2312" w:eastAsia="仿宋_GB2312" w:cs="仿宋_GB2312"/>
          <w:sz w:val="28"/>
          <w:szCs w:val="28"/>
        </w:rPr>
        <w:t>份，具有同等法律效力。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11.3本合同履行完成后自动终止。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t>11.4本合同包含以下附件，附件与本合同具有同等法律效力。</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工程质量保修书</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安全文明施工协议书  </w:t>
      </w:r>
    </w:p>
    <w:p>
      <w:pPr>
        <w:keepNext/>
        <w:keepLines w:val="0"/>
        <w:pageBreakBefore/>
        <w:widowControl w:val="0"/>
        <w:tabs>
          <w:tab w:val="right" w:pos="8306"/>
        </w:tabs>
        <w:kinsoku/>
        <w:wordWrap/>
        <w:overflowPunct/>
        <w:topLinePunct w:val="0"/>
        <w:autoSpaceDE/>
        <w:autoSpaceDN/>
        <w:bidi w:val="0"/>
        <w:adjustRightInd w:val="0"/>
        <w:snapToGrid w:val="0"/>
        <w:spacing w:line="400" w:lineRule="exact"/>
        <w:ind w:left="0" w:leftChars="0" w:right="0" w:rightChars="0" w:firstLine="0" w:firstLineChars="0"/>
        <w:jc w:val="both"/>
        <w:textAlignment w:val="auto"/>
        <w:outlineLvl w:val="9"/>
        <w:rPr>
          <w:rFonts w:hint="eastAsia" w:ascii="仿宋_GB2312" w:hAnsi="仿宋" w:eastAsia="仿宋_GB2312"/>
          <w:sz w:val="28"/>
          <w:szCs w:val="28"/>
          <w:lang w:eastAsia="zh-CN"/>
        </w:rPr>
      </w:pPr>
      <w:r>
        <w:rPr>
          <w:rFonts w:hint="eastAsia" w:ascii="仿宋_GB2312" w:hAnsi="仿宋" w:eastAsia="仿宋_GB2312"/>
          <w:sz w:val="28"/>
          <w:szCs w:val="28"/>
          <w:lang w:eastAsia="zh-CN"/>
        </w:rPr>
        <w:t>（合同签署页）</w:t>
      </w:r>
    </w:p>
    <w:p>
      <w:pPr>
        <w:keepNext w:val="0"/>
        <w:keepLines w:val="0"/>
        <w:pageBreakBefore w:val="0"/>
        <w:widowControl w:val="0"/>
        <w:tabs>
          <w:tab w:val="right" w:pos="8306"/>
        </w:tabs>
        <w:kinsoku/>
        <w:wordWrap/>
        <w:overflowPunct/>
        <w:topLinePunct w:val="0"/>
        <w:autoSpaceDE/>
        <w:autoSpaceDN/>
        <w:bidi w:val="0"/>
        <w:adjustRightInd w:val="0"/>
        <w:snapToGrid w:val="0"/>
        <w:spacing w:line="400" w:lineRule="exact"/>
        <w:ind w:left="0" w:leftChars="0" w:right="0" w:rightChars="0" w:firstLine="0" w:firstLineChars="0"/>
        <w:jc w:val="both"/>
        <w:textAlignment w:val="auto"/>
        <w:outlineLvl w:val="9"/>
        <w:rPr>
          <w:rFonts w:hint="eastAsia" w:ascii="仿宋_GB2312" w:hAnsi="仿宋" w:eastAsia="仿宋_GB2312"/>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400" w:lineRule="exact"/>
        <w:ind w:left="0" w:leftChars="0" w:right="0" w:rightChars="0" w:firstLine="0" w:firstLineChars="0"/>
        <w:jc w:val="both"/>
        <w:textAlignment w:val="auto"/>
        <w:outlineLvl w:val="9"/>
        <w:rPr>
          <w:rFonts w:hint="eastAsia" w:ascii="仿宋_GB2312" w:hAnsi="仿宋" w:eastAsia="仿宋_GB2312"/>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400" w:lineRule="exact"/>
        <w:ind w:left="0" w:leftChars="0" w:right="0" w:rightChars="0" w:firstLine="0" w:firstLineChars="0"/>
        <w:jc w:val="both"/>
        <w:textAlignment w:val="auto"/>
        <w:outlineLvl w:val="9"/>
        <w:rPr>
          <w:rFonts w:hint="eastAsia" w:ascii="仿宋_GB2312" w:hAnsi="仿宋" w:eastAsia="仿宋_GB2312"/>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400" w:lineRule="exact"/>
        <w:ind w:left="0" w:leftChars="0" w:right="0" w:rightChars="0" w:firstLine="0" w:firstLineChars="0"/>
        <w:jc w:val="both"/>
        <w:textAlignment w:val="auto"/>
        <w:outlineLvl w:val="9"/>
        <w:rPr>
          <w:rFonts w:hint="eastAsia" w:ascii="仿宋_GB2312" w:hAnsi="仿宋" w:eastAsia="仿宋_GB2312"/>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400" w:lineRule="exact"/>
        <w:ind w:left="0" w:leftChars="0" w:right="0" w:rightChars="0" w:firstLine="0" w:firstLineChars="0"/>
        <w:jc w:val="both"/>
        <w:textAlignment w:val="auto"/>
        <w:outlineLvl w:val="9"/>
        <w:rPr>
          <w:rFonts w:hint="eastAsia" w:ascii="黑体" w:hAnsi="黑体" w:eastAsia="黑体" w:cs="黑体"/>
          <w:b w:val="0"/>
          <w:bCs w:val="0"/>
          <w:sz w:val="28"/>
          <w:szCs w:val="28"/>
        </w:rPr>
      </w:pPr>
      <w:r>
        <w:rPr>
          <w:rFonts w:hint="eastAsia" w:ascii="黑体" w:hAnsi="黑体" w:eastAsia="黑体" w:cs="黑体"/>
          <w:b w:val="0"/>
          <w:bCs w:val="0"/>
          <w:sz w:val="28"/>
          <w:szCs w:val="28"/>
        </w:rPr>
        <w:t>甲方：杭州萧山国际机场有限公司  乙方：</w:t>
      </w:r>
      <w:r>
        <w:rPr>
          <w:rFonts w:hint="eastAsia" w:ascii="黑体" w:hAnsi="黑体" w:eastAsia="黑体" w:cs="黑体"/>
          <w:b w:val="0"/>
          <w:bCs w:val="0"/>
          <w:sz w:val="28"/>
          <w:szCs w:val="28"/>
          <w:lang w:val="en-US" w:eastAsia="zh-CN"/>
        </w:rPr>
        <w:t xml:space="preserve">             </w:t>
      </w:r>
    </w:p>
    <w:p>
      <w:pPr>
        <w:keepNext w:val="0"/>
        <w:keepLines w:val="0"/>
        <w:pageBreakBefore w:val="0"/>
        <w:widowControl w:val="0"/>
        <w:tabs>
          <w:tab w:val="right" w:pos="8306"/>
        </w:tabs>
        <w:kinsoku/>
        <w:wordWrap w:val="0"/>
        <w:overflowPunct/>
        <w:topLinePunct w:val="0"/>
        <w:autoSpaceDE/>
        <w:autoSpaceDN/>
        <w:bidi w:val="0"/>
        <w:adjustRightInd w:val="0"/>
        <w:snapToGrid w:val="0"/>
        <w:spacing w:line="560" w:lineRule="exact"/>
        <w:ind w:right="0" w:rightChars="0"/>
        <w:jc w:val="right"/>
        <w:textAlignment w:val="auto"/>
        <w:outlineLvl w:val="9"/>
        <w:rPr>
          <w:rFonts w:hint="eastAsia" w:ascii="黑体" w:hAnsi="黑体" w:eastAsia="黑体" w:cs="黑体"/>
          <w:b w:val="0"/>
          <w:bCs w:val="0"/>
          <w:sz w:val="28"/>
          <w:szCs w:val="28"/>
        </w:rPr>
      </w:pPr>
    </w:p>
    <w:p>
      <w:pPr>
        <w:keepNext w:val="0"/>
        <w:keepLines w:val="0"/>
        <w:pageBreakBefore w:val="0"/>
        <w:widowControl w:val="0"/>
        <w:tabs>
          <w:tab w:val="right" w:pos="8306"/>
        </w:tabs>
        <w:kinsoku/>
        <w:wordWrap w:val="0"/>
        <w:overflowPunct/>
        <w:topLinePunct w:val="0"/>
        <w:autoSpaceDE/>
        <w:autoSpaceDN/>
        <w:bidi w:val="0"/>
        <w:adjustRightInd w:val="0"/>
        <w:snapToGrid w:val="0"/>
        <w:spacing w:line="560" w:lineRule="exact"/>
        <w:ind w:right="0" w:rightChars="0"/>
        <w:jc w:val="right"/>
        <w:textAlignment w:val="auto"/>
        <w:outlineLvl w:val="9"/>
        <w:rPr>
          <w:rFonts w:hint="eastAsia" w:ascii="黑体" w:hAnsi="黑体" w:eastAsia="黑体" w:cs="黑体"/>
          <w:b w:val="0"/>
          <w:bCs w:val="0"/>
          <w:sz w:val="28"/>
          <w:szCs w:val="28"/>
        </w:rPr>
      </w:pPr>
      <w:r>
        <w:rPr>
          <w:rFonts w:hint="eastAsia" w:ascii="黑体" w:hAnsi="黑体" w:eastAsia="黑体" w:cs="黑体"/>
          <w:b w:val="0"/>
          <w:bCs w:val="0"/>
          <w:sz w:val="28"/>
          <w:szCs w:val="28"/>
        </w:rPr>
        <w:t>地址：杭州萧山国际机场内        地址：</w:t>
      </w:r>
      <w:r>
        <w:rPr>
          <w:rFonts w:hint="eastAsia" w:ascii="黑体" w:hAnsi="黑体" w:eastAsia="黑体" w:cs="黑体"/>
          <w:b w:val="0"/>
          <w:bCs w:val="0"/>
          <w:sz w:val="28"/>
          <w:szCs w:val="28"/>
          <w:lang w:val="en-US" w:eastAsia="zh-CN"/>
        </w:rPr>
        <w:t xml:space="preserve">                               </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黑体" w:hAnsi="黑体" w:eastAsia="黑体" w:cs="黑体"/>
          <w:b w:val="0"/>
          <w:bCs w:val="0"/>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黑体" w:hAnsi="黑体" w:eastAsia="黑体" w:cs="黑体"/>
          <w:b w:val="0"/>
          <w:bCs w:val="0"/>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黑体" w:hAnsi="黑体" w:eastAsia="黑体" w:cs="黑体"/>
          <w:b w:val="0"/>
          <w:bCs w:val="0"/>
          <w:sz w:val="28"/>
          <w:szCs w:val="28"/>
        </w:rPr>
      </w:pPr>
      <w:r>
        <w:rPr>
          <w:rFonts w:hint="eastAsia" w:ascii="黑体" w:hAnsi="黑体" w:eastAsia="黑体" w:cs="黑体"/>
          <w:b w:val="0"/>
          <w:bCs w:val="0"/>
          <w:sz w:val="28"/>
          <w:szCs w:val="28"/>
        </w:rPr>
        <w:t>法定代表人：                     法定代表人：</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黑体" w:hAnsi="黑体" w:eastAsia="黑体" w:cs="黑体"/>
          <w:b w:val="0"/>
          <w:bCs w:val="0"/>
          <w:sz w:val="28"/>
          <w:szCs w:val="28"/>
        </w:rPr>
      </w:pPr>
      <w:r>
        <w:rPr>
          <w:rFonts w:hint="eastAsia" w:ascii="黑体" w:hAnsi="黑体" w:eastAsia="黑体" w:cs="黑体"/>
          <w:b w:val="0"/>
          <w:bCs w:val="0"/>
          <w:sz w:val="28"/>
          <w:szCs w:val="28"/>
        </w:rPr>
        <w:t>或                               或</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黑体" w:hAnsi="黑体" w:eastAsia="黑体" w:cs="黑体"/>
          <w:b w:val="0"/>
          <w:bCs w:val="0"/>
          <w:sz w:val="28"/>
          <w:szCs w:val="28"/>
        </w:rPr>
      </w:pPr>
      <w:r>
        <w:rPr>
          <w:rFonts w:hint="eastAsia" w:ascii="黑体" w:hAnsi="黑体" w:eastAsia="黑体" w:cs="黑体"/>
          <w:b w:val="0"/>
          <w:bCs w:val="0"/>
          <w:sz w:val="28"/>
          <w:szCs w:val="28"/>
        </w:rPr>
        <w:t>授权代表：                       授权代表：</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黑体" w:hAnsi="黑体" w:eastAsia="黑体" w:cs="黑体"/>
          <w:b w:val="0"/>
          <w:bCs w:val="0"/>
          <w:sz w:val="28"/>
          <w:szCs w:val="28"/>
        </w:rPr>
      </w:pPr>
      <w:r>
        <w:rPr>
          <w:rFonts w:hint="eastAsia" w:ascii="黑体" w:hAnsi="黑体" w:eastAsia="黑体" w:cs="黑体"/>
          <w:b w:val="0"/>
          <w:bCs w:val="0"/>
          <w:sz w:val="28"/>
          <w:szCs w:val="28"/>
        </w:rPr>
        <w:t xml:space="preserve">签字日期：                       签字日期： </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黑体" w:hAnsi="黑体" w:eastAsia="黑体" w:cs="黑体"/>
          <w:b w:val="0"/>
          <w:bCs w:val="0"/>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黑体" w:hAnsi="黑体" w:eastAsia="黑体" w:cs="黑体"/>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 xml:space="preserve">          </w:t>
      </w:r>
      <w:r>
        <w:rPr>
          <w:rFonts w:hint="eastAsia" w:ascii="黑体" w:hAnsi="黑体" w:eastAsia="黑体" w:cs="黑体"/>
          <w:b w:val="0"/>
          <w:bCs w:val="0"/>
          <w:sz w:val="28"/>
          <w:szCs w:val="28"/>
        </w:rPr>
        <w:t xml:space="preserve">年  月  日                      年  月  </w:t>
      </w:r>
      <w:r>
        <w:rPr>
          <w:rFonts w:hint="eastAsia" w:ascii="黑体" w:hAnsi="黑体" w:eastAsia="黑体" w:cs="黑体"/>
          <w:b w:val="0"/>
          <w:bCs w:val="0"/>
          <w:sz w:val="28"/>
          <w:szCs w:val="28"/>
          <w:lang w:val="en-US" w:eastAsia="zh-CN"/>
        </w:rPr>
        <w:t>日</w:t>
      </w:r>
    </w:p>
    <w:p>
      <w:pPr>
        <w:keepNext w:val="0"/>
        <w:keepLines w:val="0"/>
        <w:pageBreakBefore/>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附件一：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asciiTheme="minorEastAsia" w:hAnsiTheme="minorEastAsia" w:cstheme="minorEastAsia"/>
          <w:b/>
          <w:bCs/>
          <w:sz w:val="24"/>
          <w:szCs w:val="24"/>
        </w:rPr>
      </w:pPr>
      <w:r>
        <w:rPr>
          <w:rFonts w:hint="eastAsia" w:ascii="黑体" w:hAnsi="黑体" w:eastAsia="黑体" w:cs="黑体"/>
          <w:b w:val="0"/>
          <w:bCs w:val="0"/>
          <w:sz w:val="28"/>
          <w:szCs w:val="28"/>
        </w:rPr>
        <w:t>工程质量保修书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发包人（全称）：</w:t>
      </w:r>
      <w:r>
        <w:rPr>
          <w:rFonts w:hint="eastAsia" w:ascii="仿宋_GB2312" w:hAnsi="仿宋_GB2312" w:eastAsia="仿宋_GB2312" w:cs="仿宋_GB2312"/>
          <w:sz w:val="28"/>
          <w:szCs w:val="28"/>
          <w:u w:val="single"/>
        </w:rPr>
        <w:t>杭州萧山国际机场有限公司</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承包人（全称）：</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发包人和承包人根据《中华人民共和国建筑法》和《建设工程质量管理条例》，经协商一致就</w:t>
      </w:r>
      <w:r>
        <w:rPr>
          <w:rFonts w:hint="eastAsia" w:ascii="仿宋_GB2312" w:hAnsi="仿宋_GB2312" w:eastAsia="仿宋_GB2312" w:cs="仿宋_GB2312"/>
          <w:sz w:val="28"/>
          <w:szCs w:val="28"/>
          <w:u w:val="single"/>
        </w:rPr>
        <w:t>杭州萧山国际机场T1高架桥纵向伸缩缝钢板覆盖项目</w:t>
      </w:r>
      <w:r>
        <w:rPr>
          <w:rFonts w:hint="eastAsia" w:ascii="仿宋_GB2312" w:hAnsi="仿宋_GB2312" w:eastAsia="仿宋_GB2312" w:cs="仿宋_GB2312"/>
          <w:sz w:val="28"/>
          <w:szCs w:val="28"/>
        </w:rPr>
        <w:t>（工程全称）签订工程质量保修书。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一、工程质量保修范围和内容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承包人在质量保修期内，按照有关法律规定和合同约定，承担工程质量保修责任。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本次工程所涉及的所有内容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二、质量保修期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根据《建设工程质量管理条例》及有关规定，工程的质量保修期如下：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1．地基基础工程和主体结构工程为设计文件规定的工程合理使用年限；</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2．屋面防水工程、有防水要求的卫生间、房间和外墙面的防渗为5年；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3．装修工程为2年；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4．电气管线、给排水管道、设备安装工程为2年；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5．供热与供冷系统为2个采暖期、供冷期；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6．住宅小区内的给排水设施、道路等配套工程为2年；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7．其他项目保修期限约定如下：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质量保修期自工程竣工验收合格之日起计算。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三、缺陷责任期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工程缺陷责任期为</w:t>
      </w:r>
      <w:r>
        <w:rPr>
          <w:rFonts w:hint="eastAsia" w:ascii="仿宋_GB2312" w:hAnsi="仿宋_GB2312" w:eastAsia="仿宋_GB2312" w:cs="仿宋_GB2312"/>
          <w:sz w:val="28"/>
          <w:szCs w:val="28"/>
          <w:u w:val="single"/>
          <w:lang w:val="en-US" w:eastAsia="zh-CN"/>
        </w:rPr>
        <w:t>24</w:t>
      </w:r>
      <w:r>
        <w:rPr>
          <w:rFonts w:hint="eastAsia" w:ascii="仿宋_GB2312" w:hAnsi="仿宋_GB2312" w:eastAsia="仿宋_GB2312" w:cs="仿宋_GB2312"/>
          <w:sz w:val="28"/>
          <w:szCs w:val="28"/>
        </w:rPr>
        <w:t>个月，缺陷责任期自工程竣工验收合格之日起计算。单位工程先于全部工程进行验收，单位工程缺陷责任期自单位工程验收合格之日起算。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缺陷责任期届满后，缺陷责任期届满后，经发包人确认核实，承包人不存在违约情形以及质量保修不存在问题后</w:t>
      </w:r>
      <w:r>
        <w:rPr>
          <w:rFonts w:hint="eastAsia" w:ascii="仿宋_GB2312" w:hAnsi="仿宋_GB2312" w:eastAsia="仿宋_GB2312" w:cs="仿宋_GB2312"/>
          <w:sz w:val="28"/>
          <w:szCs w:val="28"/>
          <w:u w:val="single"/>
        </w:rPr>
        <w:t>15</w:t>
      </w:r>
      <w:r>
        <w:rPr>
          <w:rFonts w:hint="eastAsia" w:ascii="仿宋_GB2312" w:hAnsi="仿宋_GB2312" w:eastAsia="仿宋_GB2312" w:cs="仿宋_GB2312"/>
          <w:sz w:val="28"/>
          <w:szCs w:val="28"/>
        </w:rPr>
        <w:t>天内无息返还质保金。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四、质量保修责任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属于保修范围、内容的项目，承包人应当在接到保修通知之日起</w:t>
      </w:r>
      <w:r>
        <w:rPr>
          <w:rFonts w:hint="eastAsia" w:ascii="仿宋_GB2312" w:hAnsi="仿宋_GB2312" w:eastAsia="仿宋_GB2312" w:cs="仿宋_GB2312"/>
          <w:sz w:val="28"/>
          <w:szCs w:val="28"/>
          <w:u w:val="single"/>
        </w:rPr>
        <w:t>2</w:t>
      </w:r>
      <w:r>
        <w:rPr>
          <w:rFonts w:hint="eastAsia" w:ascii="仿宋_GB2312" w:hAnsi="仿宋_GB2312" w:eastAsia="仿宋_GB2312" w:cs="仿宋_GB2312"/>
          <w:sz w:val="28"/>
          <w:szCs w:val="28"/>
        </w:rPr>
        <w:t>天内派人保修。承包人不在约定期限内派人保修的，发包人可以自行委托他人修理。费用从质量保证金中扣除。修复部分的质保期自修复之日起重新开始计算。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发生紧急事故需抢修的，承包人在接到事故通知后，应当立即到达事故现场进行持续抢修直至修复。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质量保修完成后，由发包人组织验收。验收不合格的，发包人有权自行委托第三方修理，全部费用由承包人承担，由发包人与第三方确认后直接从质保金中扣除。</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五、保修费用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保修费用由造成质量缺陷的责任方承担；对责任方的确定产生疑问或争议的，依发包人委托的鉴定机构所出具的独立报告来确定。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六、双方约定的其他工程质量保修事项：</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1、在承包人人员到达之前，发包人可采取适当的应急措施，费用由承包人承担。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遇下列特殊情况的，承包人同意发包人或管理单位可以对一定金额（材料安装类5000元，土建类10000元）以内的维修项目进行应急处理，先行委托其他单位进行维修，所产生的维修费用由承包人承担。承包人应于收到通知后7日内支付通知书中确定的金额。</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a．紧急抢修事故时，为避免损失进一步扩大；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b．直接影响到工程正常运行或危害人身财产及财产安全时；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4、因工程质量问题发生工程维修费用或对第三人赔偿损失的，发包人通知承包人应承担的费用或损失金额，承包人应于收到通知后7日内支付通知书中确定的金额。</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6、工程质量保修书由发包人、承包人在工程竣工验收前共同盖章，作为本施工合同附件，其有效期限至质保期届满且发包人书面确认承包人完成全部保修工作止。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asciiTheme="minorEastAsia" w:hAnsiTheme="minorEastAsia" w:cstheme="minorEastAsia"/>
          <w:sz w:val="24"/>
          <w:szCs w:val="24"/>
        </w:rPr>
      </w:pPr>
      <w:r>
        <w:rPr>
          <w:rFonts w:hint="eastAsia" w:ascii="仿宋_GB2312" w:hAnsi="仿宋_GB2312" w:eastAsia="仿宋_GB2312" w:cs="仿宋_GB2312"/>
          <w:sz w:val="28"/>
          <w:szCs w:val="28"/>
        </w:rPr>
        <w:t>发包人(公章)：                     承包人(公章)：</w:t>
      </w:r>
      <w:r>
        <w:rPr>
          <w:rFonts w:hint="eastAsia" w:asciiTheme="minorEastAsia" w:hAnsiTheme="minorEastAsia" w:cstheme="minorEastAsia"/>
          <w:sz w:val="24"/>
          <w:szCs w:val="24"/>
        </w:rPr>
        <w:t xml:space="preserve">    </w:t>
      </w:r>
    </w:p>
    <w:p>
      <w:pPr>
        <w:pStyle w:val="13"/>
        <w:tabs>
          <w:tab w:val="left" w:pos="426"/>
        </w:tabs>
        <w:snapToGrid w:val="0"/>
        <w:spacing w:line="360" w:lineRule="exact"/>
        <w:ind w:firstLine="220"/>
        <w:rPr>
          <w:rFonts w:asciiTheme="minorEastAsia" w:hAnsiTheme="minorEastAsia" w:eastAsiaTheme="minorEastAsia" w:cstheme="minorEastAsia"/>
          <w:sz w:val="24"/>
        </w:rPr>
      </w:pPr>
    </w:p>
    <w:p>
      <w:pPr>
        <w:pStyle w:val="13"/>
        <w:tabs>
          <w:tab w:val="left" w:pos="426"/>
        </w:tabs>
        <w:snapToGrid w:val="0"/>
        <w:spacing w:line="360" w:lineRule="exact"/>
        <w:ind w:firstLine="220"/>
        <w:rPr>
          <w:rFonts w:asciiTheme="minorEastAsia" w:hAnsiTheme="minorEastAsia" w:eastAsiaTheme="minorEastAsia" w:cstheme="minorEastAsia"/>
          <w:sz w:val="24"/>
        </w:rPr>
      </w:pPr>
    </w:p>
    <w:p>
      <w:pPr>
        <w:spacing w:line="360" w:lineRule="exact"/>
        <w:rPr>
          <w:rFonts w:asciiTheme="minorEastAsia" w:hAnsiTheme="minorEastAsia" w:cstheme="minorEastAsia"/>
          <w:sz w:val="24"/>
          <w:szCs w:val="24"/>
        </w:rPr>
      </w:pPr>
    </w:p>
    <w:p>
      <w:pPr>
        <w:keepNext w:val="0"/>
        <w:keepLines w:val="0"/>
        <w:pageBreakBefore/>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附件二：</w:t>
      </w:r>
    </w:p>
    <w:p>
      <w:pPr>
        <w:keepNext w:val="0"/>
        <w:keepLines w:val="0"/>
        <w:pageBreakBefore w:val="0"/>
        <w:widowControl w:val="0"/>
        <w:tabs>
          <w:tab w:val="left" w:pos="540"/>
        </w:tabs>
        <w:kinsoku/>
        <w:wordWrap/>
        <w:overflowPunct/>
        <w:topLinePunct/>
        <w:autoSpaceDE/>
        <w:autoSpaceDN/>
        <w:bidi w:val="0"/>
        <w:adjustRightInd/>
        <w:snapToGrid/>
        <w:spacing w:line="560" w:lineRule="exact"/>
        <w:ind w:left="0" w:leftChars="0" w:right="0" w:rightChars="0" w:firstLine="0" w:firstLineChars="0"/>
        <w:jc w:val="center"/>
        <w:textAlignment w:val="auto"/>
        <w:outlineLvl w:val="9"/>
        <w:rPr>
          <w:rFonts w:asciiTheme="minorEastAsia" w:hAnsiTheme="minorEastAsia" w:cstheme="minorEastAsia"/>
          <w:b/>
          <w:sz w:val="24"/>
          <w:szCs w:val="24"/>
        </w:rPr>
      </w:pPr>
      <w:r>
        <w:rPr>
          <w:rFonts w:hint="eastAsia" w:ascii="黑体" w:hAnsi="黑体" w:eastAsia="黑体" w:cs="黑体"/>
          <w:b/>
          <w:sz w:val="28"/>
          <w:szCs w:val="28"/>
        </w:rPr>
        <w:t>安全文明施工协议书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发包人（发包人）：</w:t>
      </w:r>
      <w:r>
        <w:rPr>
          <w:rFonts w:hint="eastAsia" w:ascii="仿宋_GB2312" w:hAnsi="仿宋_GB2312" w:eastAsia="仿宋_GB2312" w:cs="仿宋_GB2312"/>
          <w:b w:val="0"/>
          <w:bCs/>
          <w:sz w:val="28"/>
          <w:szCs w:val="28"/>
          <w:u w:val="single"/>
        </w:rPr>
        <w:t>杭州萧山国际机场有限公司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val="0"/>
          <w:bCs/>
          <w:sz w:val="28"/>
          <w:szCs w:val="28"/>
          <w:u w:val="single"/>
        </w:rPr>
      </w:pPr>
      <w:r>
        <w:rPr>
          <w:rFonts w:hint="eastAsia" w:ascii="仿宋_GB2312" w:hAnsi="仿宋_GB2312" w:eastAsia="仿宋_GB2312" w:cs="仿宋_GB2312"/>
          <w:b w:val="0"/>
          <w:bCs/>
          <w:sz w:val="28"/>
          <w:szCs w:val="28"/>
        </w:rPr>
        <w:t>承包人（承包人）：</w:t>
      </w:r>
      <w:r>
        <w:rPr>
          <w:rFonts w:hint="eastAsia" w:ascii="仿宋_GB2312" w:hAnsi="仿宋_GB2312" w:eastAsia="仿宋_GB2312" w:cs="仿宋_GB2312"/>
          <w:b w:val="0"/>
          <w:bCs/>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为确保</w:t>
      </w:r>
      <w:r>
        <w:rPr>
          <w:rFonts w:hint="eastAsia" w:ascii="仿宋_GB2312" w:hAnsi="仿宋_GB2312" w:eastAsia="仿宋_GB2312" w:cs="仿宋_GB2312"/>
          <w:b w:val="0"/>
          <w:bCs/>
          <w:sz w:val="28"/>
          <w:szCs w:val="28"/>
          <w:u w:val="single"/>
        </w:rPr>
        <w:t>杭州萧山国际机场T1高架桥纵向伸缩缝钢板覆盖项目</w:t>
      </w:r>
      <w:r>
        <w:rPr>
          <w:rFonts w:hint="eastAsia" w:ascii="仿宋_GB2312" w:hAnsi="仿宋_GB2312" w:eastAsia="仿宋_GB2312" w:cs="仿宋_GB2312"/>
          <w:sz w:val="28"/>
          <w:szCs w:val="28"/>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asciiTheme="minorEastAsia" w:hAnsiTheme="minorEastAsia" w:cstheme="minorEastAsia"/>
          <w:bCs/>
          <w:sz w:val="24"/>
          <w:szCs w:val="24"/>
        </w:rPr>
      </w:pPr>
      <w:r>
        <w:rPr>
          <w:rFonts w:hint="eastAsia" w:ascii="仿宋_GB2312" w:hAnsi="仿宋_GB2312" w:eastAsia="仿宋_GB2312" w:cs="仿宋_GB2312"/>
          <w:b/>
          <w:sz w:val="28"/>
          <w:szCs w:val="28"/>
        </w:rPr>
        <w:t>一、发包人对承包人实行安全目标管理，安全目标的具体内容是</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1、无死亡事故和重大伤害事故(含道路交通事故)。</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2、无重大责任事故。</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4、无七类重大刑事案件(杀人、绑架、强奸、放火、爆炸、劫持、故意伤害致死)及其它严重、恶性案件。</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keepNext w:val="0"/>
        <w:keepLines w:val="0"/>
        <w:pageBreakBefore w:val="0"/>
        <w:widowControl w:val="0"/>
        <w:kinsoku/>
        <w:wordWrap/>
        <w:overflowPunct/>
        <w:topLinePunct w:val="0"/>
        <w:autoSpaceDE/>
        <w:autoSpaceDN/>
        <w:bidi w:val="0"/>
        <w:spacing w:line="560" w:lineRule="exact"/>
        <w:ind w:left="0" w:leftChars="0" w:right="0" w:rightChars="0" w:firstLine="482" w:firstLineChars="200"/>
        <w:jc w:val="both"/>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二、发包人的协助责任和权利</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5、不得对承包人提出违反国家法律、法规和强制性标准规定的要求。 </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6、不得要求承包人购买、租赁、使用不符合安全施工要求的安全防护用具、机械设备、施工机具及配件、消防设施和器材等。 </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由于民航行业的特殊性和空防安全的重要性，发包人对进出飞行区施工的人员和车辆实行通行证管理制度。为此，承包人成员必须参加发包人组织的专门安全教育培训和考试（主要是机场飞行、空防、不停航施工等安全方面知识）；同时发包人应协助承包人对全体施工人员进行安全教育培训和考核，并协助承包人办理相关人员和车辆的施工通行证。</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8、联系和协调机场公安机关，督促施工单位按有关规定申报暂住登记和申领《暂住证》，并协助承包人联系机场公安局商定有关飞行区安全保卫事宜。</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9、利用施工例会定期分析和掌握施工单位的治安情况，通报当前治安形势，交流工作经验，协助处理相关问题。</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10、承包人拒不按照本协议条款规定组织安全文明施工的，发包人有权责令承包人停工整改直至终止合同。</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11、发包人有权对承包人各项安全工作进行监督、检查。</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对承包人因违反民航总局第191号令《民用机场运行安全管理规定》而发生不安全事件，发包人有权按照相关处罚条例对承包人予以处罚，造成严重后果或损失重大的，发包人有权将承包人清退出场并追偿由此而造成的损失。</w:t>
      </w:r>
    </w:p>
    <w:p>
      <w:pPr>
        <w:keepNext w:val="0"/>
        <w:keepLines w:val="0"/>
        <w:pageBreakBefore w:val="0"/>
        <w:widowControl w:val="0"/>
        <w:kinsoku/>
        <w:wordWrap/>
        <w:overflowPunct/>
        <w:topLinePunct w:val="0"/>
        <w:autoSpaceDE/>
        <w:autoSpaceDN/>
        <w:bidi w:val="0"/>
        <w:spacing w:line="560" w:lineRule="exact"/>
        <w:ind w:left="0" w:leftChars="0" w:right="0" w:rightChars="0" w:firstLine="482" w:firstLineChars="200"/>
        <w:jc w:val="both"/>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三、承包人的安全责任和权利</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（一）承包人应从事的施工安全管理</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13、遵守《中华人民共和国安全生产法》、《建设工程安全管理条例》以及其他安全生产的法律、法规，遵守民航航空安全、空防管理的法律、法规，遵守机场有关安全管理的规章制度。 </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对工程项目的施工安全负全责，根据工程特点制定安全施工措施，消除安全事故隐患，确保工程质量和安全。制定并完善各类突发事件的应急预案，一旦发生安全事故应当及时、如实报告和积极应对。对工程依法实行总分包制，总包单位对施工安全负总责，并以安全责任书的方式确定各分包单位的安全责任。</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工程开工前，应完成安全生产规章制度和操作规程等相应规章的制定工作；成立由项目负责人为责任人的有效的安全保障网络；指定项目部专职安全员、班组安全员，并接受发包人的培训和考核，合格后方可上岗；对其他施工人员必须进行安全生产教育培训；保证安全生产条件所需资金的投入。开工后应对工程施工安全进行日常、定期和专项的检查，及时发现和消除安全隐患并做好记录。</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16、对安全作业环境建设及安全施工措施制定、实行所需的费用，应当列入建设工程预算，专款专用，不得挪作他用。 </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在施工组织设计中应当制定安全技术措施和施工现场临时用电方案，对危险性较大的部分分项工程应当制定专项施工方案，并附安全验算计算书，经承包人技术负责人、总监理工程师阅览签字后实施，由专职安全生产管理人员进行现场监督。</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19、在施工前，负责项目管理的技术人员应当对有关安全施工的技术要求向作业班组、作业人员做出书面交底，并由双方确认签字。 </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20、应根据不同的施工阶段和环境及季节、气候的变化，在施工现场采取相应的安全防护措施；施工现场暂时停止施工的，承包人要做好现场防护工作，所需费用由承包人承担（合同有约定的除外）。</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21、应当向作业人员提供安全防护用具和安全防护服装，并书面告知危险岗位的操作规程及违章操作所产生的危害。 </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22、采购、租赁的安全防护用具、机械设备、施工机具及配件，应当具有生产许可证、产品合格证，并在进入施工现场前进行查验。 </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23、施工现场的安全防护用具、机械设备、施工机具及配件必须由专人管理，并定期检查、维修和保养，建立相应的资料档案，并按照国家规定及时报废。</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24、在采用新技术、新工艺、新设备、新材料时，应当对作业人员进行相应的安全生产教育培训。</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25、应当为施工现场从事危险作业的人员办理意外伤害保险，并支付意外伤害保险费。意外伤害保险期自建设工程开工之日起至竣工验收合格止。</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26、承包人不得在机场和机场净空保护区范围内施放烟花、爆竹、气球等升空物体；不得随意焚烧垃圾等物品制造烟雾；不得饲养动物；不得随意丢弃飘浮物。</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（二）承包人应从事的空防安全管理</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通行证的办理遵从《杭州萧山国际机场控制区通行证管理办法》。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29、需进入机场控制区施工的人员和车辆需主动接受机场管理人员的检查，并服从机场相关职能部门的监管，无通行证者一律不得进入。</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（三）承包人应从事的不停航施工项目安全管理</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在机场有飞行任务期间，禁止在跑道端之外300米以内、跑道中心线两侧75米以内的区域进行任何施工作业。如承包人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实行不停航施工的区域，开挖的明沟和施工材料堆放处，必须根据发包人要求用橘黄色小旗标识以示警告；在低能见度的白天和夜间，应当按照发包人要求加设红色恒定灯光；材料和临时堆放的施工垃圾应当采取防止被风或飞机尾流吹散的措施。</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34、施工机具须停放在指定安全区域内。机场开放运行期间，必须严格控制施工机械的活动范围，杜绝出现机具、车辆侵入隔离区或超越机场净空限制面等情况。</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（四）承包人的文明施工责任 </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35、按照《建筑施工安全检查标准》JGJ59—99的标准和浙江省、杭州市有关文明施工检查评分标准做好文明施工，保证施工项目文明施工合格。</w:t>
      </w:r>
    </w:p>
    <w:p>
      <w:pPr>
        <w:keepNext w:val="0"/>
        <w:keepLines w:val="0"/>
        <w:pageBreakBefore w:val="0"/>
        <w:widowControl w:val="0"/>
        <w:kinsoku/>
        <w:wordWrap/>
        <w:overflowPunct/>
        <w:topLinePunct w:val="0"/>
        <w:autoSpaceDE/>
        <w:autoSpaceDN/>
        <w:bidi w:val="0"/>
        <w:spacing w:line="560" w:lineRule="exact"/>
        <w:ind w:left="0" w:leftChars="0" w:right="0" w:rightChars="0" w:firstLine="240" w:firstLineChars="1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36、建筑材料、构件、料具必须按施工现场总平面布置图堆放，布置合理，并有标识。如有易燃易爆物品应有专门场所分类堆放，专人负责，符合相关消防规定，确保安全。</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37、在施工现场建立清扫制度，落实到人，做到工完料尽场地清，车辆进出场应有防泥带出措施。建筑垃圾及时清运，并堆放到发包人指定地点。土方外运过程，严格按程序操作，不得在机场内外遗洒，应有避免扬尘的措施。</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（五）承包人应从事的社会治安综合治理</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38、做好内部的治安防范工作，对重要部位和物资，要落实人防、物防和技防的措施，积极配合公安机关组织的治安联防活动。</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39、认真排查、调处各类矛盾，及时消除隐患，杜绝各类社会矛盾引发的群体性事件的发生。</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40、制定包括重大安全生产事故、重大道路交通事故、重大消防安全事故、重大刑事案件以及群体性事件等突发性事件在内的应急处置预案，一旦发生，及时报告发包人和上级主管部门并做好处置工作。</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（六）承包人应从事的消防安全管理</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41、遵守国家消防法律法规，建立和健全消防管理规章制度，明确消防安全责任人，健全消防安全网络（配备专职或兼职消防员），建立消防应急队伍，并报发包人和机场公安局消防部门备案。</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42、制定用火、用电、使用易燃材料等各项消防安全操作规程，设置消防通道、消防水源、配备必须的消防设备和灭火器材，并在重点场所重点部位设置消防警示标志。</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43、施工中使用明火，使用电、气进行焊接和切割作业，须经机场公安消防管理部门审查批准，未经批准一律不得使用。</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44、加强对施工人员进行消防安全教育，使其熟悉本岗位防火措施、遇险报警、初期扑救及自救逃生的知识和技能。</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（七）承包人应从事的交通安全管理</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45、加强对下属员工、驾驶人员、承运单位的道路交通安全法律法规宣传教育，车辆进出机场和施工场地均应服从交警及其他交通管理人员的指挥和管理。</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对驾驶人员和承运单位应实行交通安全检查考核制度，签订《交通安全责任书》，配备交通安全联络员对运输车辆驾驶员和施工人员进行交通安全教育，减少或控制交通违法行为的发生，禁止严重影响交通安全的违法行为（如超载、超速、酒后驾驶、逆向行驶等）。</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47、确保各类运输车辆技术状况良好，不得使用无号牌、无行驶证、无保险和带故障、检验不合格的运输车辆，不得使用拖拉机和农用运输车。</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48、所有运输车辆均应办理施工通行证并按指定路线和限定速度行驶，不得违反车辆装载规定：超载、超高、超宽。进入控制区施工车辆应开启黄色警示灯。</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49、占用、挖掘道路，跨越道路架设、铺设管线以及大型机械进出机场须提前与发包人协商，征得发包人和机场公安局交警队同意，并采取防护措施和设置明显警示标志方可实施。</w:t>
      </w:r>
    </w:p>
    <w:p>
      <w:pPr>
        <w:keepNext w:val="0"/>
        <w:keepLines w:val="0"/>
        <w:pageBreakBefore w:val="0"/>
        <w:widowControl w:val="0"/>
        <w:kinsoku/>
        <w:wordWrap/>
        <w:overflowPunct/>
        <w:topLinePunct w:val="0"/>
        <w:autoSpaceDE/>
        <w:autoSpaceDN/>
        <w:bidi w:val="0"/>
        <w:spacing w:line="560" w:lineRule="exact"/>
        <w:ind w:left="0" w:leftChars="0" w:right="0" w:rightChars="0" w:firstLine="482" w:firstLineChars="200"/>
        <w:jc w:val="both"/>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四、违约责任</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本《安全文明施工协议书》是工程施工合同的重要组成部分，承包人必须严格遵守和履行，如有违反，发包人可以追究承包人责任；承包人违约情况严重，或是社会影响恶劣，又或是造成发包人或他方重大损失，发包人可解除施工合同且不须向承包人承担任何补偿、赔偿的责任。</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51、严禁因承包人行为导致发生飞行事故征侯，违者扣合同总款的</w:t>
      </w:r>
      <w:r>
        <w:rPr>
          <w:rFonts w:hint="eastAsia" w:ascii="仿宋_GB2312" w:hAnsi="仿宋_GB2312" w:eastAsia="仿宋_GB2312" w:cs="仿宋_GB2312"/>
          <w:sz w:val="28"/>
          <w:szCs w:val="28"/>
          <w:u w:val="single"/>
        </w:rPr>
        <w:t>20%</w:t>
      </w:r>
      <w:r>
        <w:rPr>
          <w:rFonts w:hint="eastAsia" w:ascii="仿宋_GB2312" w:hAnsi="仿宋_GB2312" w:eastAsia="仿宋_GB2312" w:cs="仿宋_GB2312"/>
          <w:sz w:val="28"/>
          <w:szCs w:val="28"/>
        </w:rPr>
        <w:t>，如发生飞行事故扣合同总款</w:t>
      </w:r>
      <w:r>
        <w:rPr>
          <w:rFonts w:hint="eastAsia" w:ascii="仿宋_GB2312" w:hAnsi="仿宋_GB2312" w:eastAsia="仿宋_GB2312" w:cs="仿宋_GB2312"/>
          <w:sz w:val="28"/>
          <w:szCs w:val="28"/>
          <w:u w:val="single"/>
        </w:rPr>
        <w:t>50％</w:t>
      </w:r>
      <w:r>
        <w:rPr>
          <w:rFonts w:hint="eastAsia" w:ascii="仿宋_GB2312" w:hAnsi="仿宋_GB2312" w:eastAsia="仿宋_GB2312" w:cs="仿宋_GB2312"/>
          <w:sz w:val="28"/>
          <w:szCs w:val="28"/>
        </w:rPr>
        <w:t>，并追究法律责任。</w:t>
      </w:r>
    </w:p>
    <w:p>
      <w:pPr>
        <w:keepNext w:val="0"/>
        <w:keepLines w:val="0"/>
        <w:pageBreakBefore w:val="0"/>
        <w:widowControl w:val="0"/>
        <w:kinsoku/>
        <w:wordWrap/>
        <w:overflowPunct/>
        <w:topLinePunct w:val="0"/>
        <w:autoSpaceDE/>
        <w:autoSpaceDN/>
        <w:bidi w:val="0"/>
        <w:spacing w:line="560" w:lineRule="exact"/>
        <w:ind w:left="0" w:leftChars="0" w:right="0" w:rightChars="0" w:firstLine="48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五、本协议书附于</w:t>
      </w:r>
      <w:r>
        <w:rPr>
          <w:rFonts w:hint="eastAsia" w:ascii="仿宋_GB2312" w:hAnsi="仿宋_GB2312" w:eastAsia="仿宋_GB2312" w:cs="仿宋_GB2312"/>
          <w:sz w:val="28"/>
          <w:szCs w:val="28"/>
          <w:u w:val="single"/>
        </w:rPr>
        <w:t>《杭州萧山国际机场T1高架桥纵向伸缩缝钢板覆盖项目施工合同》</w:t>
      </w:r>
      <w:r>
        <w:rPr>
          <w:rFonts w:hint="eastAsia" w:ascii="仿宋_GB2312" w:hAnsi="仿宋_GB2312" w:eastAsia="仿宋_GB2312" w:cs="仿宋_GB2312"/>
          <w:sz w:val="28"/>
          <w:szCs w:val="28"/>
        </w:rPr>
        <w:t>后，由甲乙双方共同盖章后生效。</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五、附则：</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（一）由于承包人行为违反国家法律、法规和杭州萧山国际机场有限公司有关规章制度和责任书规定内容，发包人有权对承包人进行处罚。承包人触犯法律的，依法追究有关责任人的法律责任。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（二）本责任书解释权归发包人。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（三）本责任书由甲乙双方共同盖章后生效。</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both"/>
        <w:textAlignment w:val="auto"/>
        <w:outlineLvl w:val="9"/>
        <w:rPr>
          <w:rFonts w:hint="eastAsia" w:ascii="仿宋_GB2312" w:hAnsi="仿宋_GB2312" w:eastAsia="仿宋_GB2312" w:cs="仿宋_GB2312"/>
          <w:bCs/>
          <w:sz w:val="28"/>
          <w:szCs w:val="28"/>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both"/>
        <w:textAlignment w:val="auto"/>
        <w:outlineLvl w:val="9"/>
        <w:rPr>
          <w:rFonts w:hint="eastAsia" w:ascii="仿宋_GB2312" w:hAnsi="仿宋_GB2312" w:eastAsia="仿宋_GB2312" w:cs="仿宋_GB2312"/>
          <w:bCs/>
          <w:sz w:val="28"/>
          <w:szCs w:val="28"/>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both"/>
        <w:textAlignment w:val="auto"/>
        <w:outlineLvl w:val="9"/>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发包人：                                          承包人： </w:t>
      </w:r>
    </w:p>
    <w:p>
      <w:pPr>
        <w:keepNext w:val="0"/>
        <w:keepLines w:val="0"/>
        <w:pageBreakBefore w:val="0"/>
        <w:widowControl w:val="0"/>
        <w:kinsoku/>
        <w:wordWrap/>
        <w:overflowPunct/>
        <w:topLinePunct w:val="0"/>
        <w:autoSpaceDE/>
        <w:autoSpaceDN/>
        <w:bidi w:val="0"/>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
          <w:sz w:val="28"/>
          <w:szCs w:val="28"/>
        </w:rPr>
        <w:t xml:space="preserve"> </w:t>
      </w:r>
    </w:p>
    <w:p>
      <w:pPr>
        <w:pStyle w:val="9"/>
        <w:pageBreakBefore/>
      </w:pPr>
      <w:bookmarkStart w:id="29" w:name="_GoBack"/>
      <w:bookmarkEnd w:id="29"/>
      <w:bookmarkStart w:id="20" w:name="_Toc20411"/>
      <w:r>
        <w:rPr>
          <w:rFonts w:hint="eastAsia"/>
        </w:rPr>
        <w:t>第四章 工程量清单</w:t>
      </w:r>
      <w:bookmarkEnd w:id="17"/>
      <w:bookmarkEnd w:id="20"/>
    </w:p>
    <w:tbl>
      <w:tblPr>
        <w:tblStyle w:val="12"/>
        <w:tblW w:w="1013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85"/>
        <w:gridCol w:w="3560"/>
        <w:gridCol w:w="945"/>
        <w:gridCol w:w="1365"/>
        <w:gridCol w:w="2139"/>
        <w:gridCol w:w="15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337" w:hRule="atLeast"/>
        </w:trPr>
        <w:tc>
          <w:tcPr>
            <w:tcW w:w="10138" w:type="dxa"/>
            <w:gridSpan w:val="6"/>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bookmarkStart w:id="21" w:name="_Toc448097409"/>
            <w:bookmarkStart w:id="22" w:name="_Toc275274581"/>
            <w:r>
              <w:rPr>
                <w:rFonts w:hint="eastAsia" w:ascii="宋体" w:hAnsi="宋体" w:eastAsia="宋体" w:cs="宋体"/>
                <w:b/>
                <w:i w:val="0"/>
                <w:color w:val="000000"/>
                <w:kern w:val="0"/>
                <w:sz w:val="40"/>
                <w:szCs w:val="40"/>
                <w:u w:val="none"/>
                <w:lang w:val="en-US" w:eastAsia="zh-CN" w:bidi="ar"/>
              </w:rPr>
              <w:t>杭州萧山国际机场T1高架桥纵向伸缩缝钢板覆盖项目参考工程量清单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8594" w:type="dxa"/>
            <w:gridSpan w:val="5"/>
            <w:shd w:val="clear" w:color="auto" w:fill="FFFFFF"/>
            <w:vAlign w:val="bottom"/>
          </w:tcPr>
          <w:p>
            <w:pPr>
              <w:jc w:val="left"/>
              <w:rPr>
                <w:rFonts w:hint="eastAsia" w:ascii="宋体" w:hAnsi="宋体" w:eastAsia="宋体" w:cs="宋体"/>
                <w:i w:val="0"/>
                <w:color w:val="000000"/>
                <w:sz w:val="18"/>
                <w:szCs w:val="18"/>
                <w:u w:val="none"/>
              </w:rPr>
            </w:pPr>
          </w:p>
        </w:tc>
        <w:tc>
          <w:tcPr>
            <w:tcW w:w="1544" w:type="dxa"/>
            <w:shd w:val="clear" w:color="auto" w:fill="FFFFFF"/>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第1页 共1页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356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名称及说明</w:t>
            </w:r>
          </w:p>
        </w:tc>
        <w:tc>
          <w:tcPr>
            <w:tcW w:w="94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w:t>
            </w:r>
          </w:p>
        </w:tc>
        <w:tc>
          <w:tcPr>
            <w:tcW w:w="136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工程数量</w:t>
            </w:r>
          </w:p>
        </w:tc>
        <w:tc>
          <w:tcPr>
            <w:tcW w:w="213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综合单价(元)</w:t>
            </w:r>
          </w:p>
        </w:tc>
        <w:tc>
          <w:tcPr>
            <w:tcW w:w="1544"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2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35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拆除桥面原有减速带（含配件）</w:t>
            </w:r>
          </w:p>
        </w:tc>
        <w:tc>
          <w:tcPr>
            <w:tcW w:w="94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36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210.000</w:t>
            </w:r>
          </w:p>
        </w:tc>
        <w:tc>
          <w:tcPr>
            <w:tcW w:w="213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35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拆除桥面原有伸缩缝钢板</w:t>
            </w:r>
          </w:p>
        </w:tc>
        <w:tc>
          <w:tcPr>
            <w:tcW w:w="94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36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20.000</w:t>
            </w:r>
          </w:p>
        </w:tc>
        <w:tc>
          <w:tcPr>
            <w:tcW w:w="213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35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10MM厚钢板折边伸缩缝临时封盖(宽23CM,含配件，两边倒角，刨槽，单边满焊，尺寸以现场实际为准）</w:t>
            </w:r>
          </w:p>
        </w:tc>
        <w:tc>
          <w:tcPr>
            <w:tcW w:w="94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36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230.000</w:t>
            </w:r>
          </w:p>
        </w:tc>
        <w:tc>
          <w:tcPr>
            <w:tcW w:w="213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35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材料搬运及垃圾清理外运</w:t>
            </w:r>
          </w:p>
        </w:tc>
        <w:tc>
          <w:tcPr>
            <w:tcW w:w="94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36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213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3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35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交通指示引导（摆放要求及数量需满足业主要求）</w:t>
            </w:r>
          </w:p>
        </w:tc>
        <w:tc>
          <w:tcPr>
            <w:tcW w:w="94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36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2139"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8594" w:type="dxa"/>
            <w:gridSpan w:val="5"/>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    计</w:t>
            </w:r>
          </w:p>
        </w:tc>
        <w:tc>
          <w:tcPr>
            <w:tcW w:w="15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bl>
    <w:p>
      <w:pPr>
        <w:pStyle w:val="9"/>
        <w:jc w:val="center"/>
        <w:rPr>
          <w:rFonts w:hint="eastAsia"/>
        </w:rPr>
      </w:pPr>
    </w:p>
    <w:p>
      <w:pPr>
        <w:pStyle w:val="9"/>
        <w:jc w:val="center"/>
        <w:rPr>
          <w:rFonts w:hint="eastAsia"/>
        </w:rPr>
      </w:pPr>
    </w:p>
    <w:p>
      <w:pPr>
        <w:pStyle w:val="9"/>
        <w:jc w:val="center"/>
        <w:rPr>
          <w:rFonts w:hint="eastAsia"/>
        </w:rPr>
      </w:pPr>
    </w:p>
    <w:p>
      <w:pPr>
        <w:pStyle w:val="9"/>
        <w:keepNext/>
        <w:keepLines w:val="0"/>
        <w:pageBreakBefore/>
        <w:widowControl w:val="0"/>
        <w:kinsoku/>
        <w:wordWrap/>
        <w:overflowPunct/>
        <w:topLinePunct w:val="0"/>
        <w:autoSpaceDE/>
        <w:autoSpaceDN/>
        <w:bidi w:val="0"/>
        <w:adjustRightInd/>
        <w:snapToGrid/>
        <w:spacing w:before="60" w:after="60" w:line="360" w:lineRule="exact"/>
        <w:ind w:left="0" w:leftChars="0" w:right="0" w:rightChars="0" w:firstLine="0" w:firstLineChars="0"/>
        <w:jc w:val="center"/>
        <w:textAlignment w:val="auto"/>
        <w:outlineLvl w:val="0"/>
      </w:pPr>
      <w:bookmarkStart w:id="23" w:name="_Toc15201"/>
      <w:bookmarkStart w:id="24" w:name="_Toc17683"/>
      <w:r>
        <w:rPr>
          <w:rFonts w:hint="eastAsia"/>
        </w:rPr>
        <w:t>第</w:t>
      </w:r>
      <w:r>
        <w:rPr>
          <w:rFonts w:hint="eastAsia"/>
          <w:lang w:val="en-US" w:eastAsia="zh-CN"/>
        </w:rPr>
        <w:t>五</w:t>
      </w:r>
      <w:r>
        <w:rPr>
          <w:rFonts w:hint="eastAsia"/>
        </w:rPr>
        <w:t>章</w:t>
      </w:r>
      <w:r>
        <w:t xml:space="preserve"> </w:t>
      </w:r>
      <w:r>
        <w:rPr>
          <w:rFonts w:hint="eastAsia"/>
        </w:rPr>
        <w:t>技术标准及要求</w:t>
      </w:r>
      <w:bookmarkEnd w:id="23"/>
      <w:bookmarkEnd w:id="24"/>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一、总体要求</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招标范围：主要工作内容具体详见工程量清单</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1.1 依据技术文件要求，本工程项目的施工必须达到以下现行中华人民共和国及省、市、行业的一切有关法规、规范的要求，如下述标准及规范要求有出入则以较严格者为准。</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1.1.1适用法律、法规名称：</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中华人民共和国建筑法</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中华人民共和国民法典</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中华人民共和国招标投标法</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建设工程质量管理条例（国务院279号令）</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bookmarkStart w:id="25" w:name="_Toc66769198"/>
      <w:r>
        <w:rPr>
          <w:rFonts w:hint="eastAsia" w:ascii="宋体" w:hAnsi="宋体" w:eastAsia="宋体" w:cs="宋体"/>
          <w:sz w:val="24"/>
          <w:szCs w:val="24"/>
        </w:rPr>
        <w:t>二、材料要求</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2.1工程材料选择</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（1）设备材料选择 </w:t>
      </w:r>
    </w:p>
    <w:p>
      <w:pPr>
        <w:keepNext w:val="0"/>
        <w:keepLines w:val="0"/>
        <w:pageBreakBefore w:val="0"/>
        <w:widowControl/>
        <w:tabs>
          <w:tab w:val="left" w:pos="720"/>
        </w:tabs>
        <w:kinsoku/>
        <w:wordWrap/>
        <w:overflowPunct/>
        <w:topLinePunct w:val="0"/>
        <w:autoSpaceDE/>
        <w:autoSpaceDN/>
        <w:bidi w:val="0"/>
        <w:adjustRightInd/>
        <w:snapToGrid w:val="0"/>
        <w:spacing w:line="360" w:lineRule="exact"/>
        <w:ind w:left="0" w:leftChars="0" w:right="0" w:rightChars="0" w:firstLine="480" w:firstLineChars="200"/>
        <w:jc w:val="both"/>
        <w:textAlignment w:val="auto"/>
        <w:outlineLvl w:val="9"/>
        <w:rPr>
          <w:rFonts w:hint="eastAsia" w:ascii="宋体" w:hAnsi="宋体" w:eastAsia="宋体" w:cs="宋体"/>
          <w:sz w:val="24"/>
          <w:szCs w:val="24"/>
          <w:lang w:val="zh-CN"/>
        </w:rPr>
      </w:pPr>
      <w:r>
        <w:rPr>
          <w:rFonts w:hint="eastAsia" w:ascii="宋体" w:hAnsi="宋体" w:eastAsia="宋体" w:cs="宋体"/>
          <w:sz w:val="24"/>
          <w:szCs w:val="24"/>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keepNext w:val="0"/>
        <w:keepLines w:val="0"/>
        <w:pageBreakBefore w:val="0"/>
        <w:widowControl/>
        <w:tabs>
          <w:tab w:val="left" w:pos="720"/>
        </w:tabs>
        <w:kinsoku/>
        <w:wordWrap/>
        <w:overflowPunct/>
        <w:topLinePunct w:val="0"/>
        <w:autoSpaceDE/>
        <w:autoSpaceDN/>
        <w:bidi w:val="0"/>
        <w:snapToGrid w:val="0"/>
        <w:spacing w:line="360" w:lineRule="exact"/>
        <w:ind w:left="0" w:leftChars="0" w:right="0" w:rightChars="0" w:firstLine="444"/>
        <w:textAlignment w:val="auto"/>
        <w:outlineLvl w:val="9"/>
        <w:rPr>
          <w:rFonts w:hint="eastAsia" w:ascii="宋体" w:hAnsi="宋体" w:eastAsia="宋体" w:cs="宋体"/>
          <w:sz w:val="24"/>
          <w:szCs w:val="24"/>
          <w:lang w:val="zh-CN"/>
        </w:rPr>
      </w:pPr>
      <w:r>
        <w:rPr>
          <w:rFonts w:hint="eastAsia" w:ascii="宋体" w:hAnsi="宋体" w:eastAsia="宋体" w:cs="宋体"/>
          <w:sz w:val="24"/>
          <w:szCs w:val="24"/>
          <w:lang w:val="zh-CN"/>
        </w:rPr>
        <w:t>2)招标人推荐的品牌详见“</w:t>
      </w:r>
      <w:r>
        <w:rPr>
          <w:rFonts w:hint="eastAsia" w:ascii="宋体" w:hAnsi="宋体" w:eastAsia="宋体" w:cs="宋体"/>
          <w:sz w:val="24"/>
          <w:szCs w:val="24"/>
        </w:rPr>
        <w:t>主要材料设备推荐品牌一览表</w:t>
      </w:r>
      <w:r>
        <w:rPr>
          <w:rFonts w:hint="eastAsia" w:ascii="宋体" w:hAnsi="宋体" w:eastAsia="宋体" w:cs="宋体"/>
          <w:sz w:val="24"/>
          <w:szCs w:val="24"/>
          <w:lang w:val="zh-CN"/>
        </w:rPr>
        <w:t>”中内容。</w:t>
      </w:r>
    </w:p>
    <w:p>
      <w:pPr>
        <w:keepNext w:val="0"/>
        <w:keepLines w:val="0"/>
        <w:pageBreakBefore w:val="0"/>
        <w:widowControl/>
        <w:tabs>
          <w:tab w:val="left" w:pos="720"/>
        </w:tabs>
        <w:kinsoku/>
        <w:wordWrap/>
        <w:overflowPunct/>
        <w:topLinePunct w:val="0"/>
        <w:autoSpaceDE/>
        <w:autoSpaceDN/>
        <w:bidi w:val="0"/>
        <w:snapToGrid w:val="0"/>
        <w:spacing w:line="360" w:lineRule="exact"/>
        <w:ind w:left="0" w:leftChars="0" w:right="0" w:rightChars="0" w:firstLine="444"/>
        <w:jc w:val="center"/>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主要材料设备推荐品牌一览表</w:t>
      </w:r>
    </w:p>
    <w:tbl>
      <w:tblPr>
        <w:tblStyle w:val="12"/>
        <w:tblW w:w="86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3"/>
        <w:gridCol w:w="2783"/>
        <w:gridCol w:w="4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063" w:type="dxa"/>
            <w:vAlign w:val="center"/>
          </w:tcPr>
          <w:p>
            <w:pPr>
              <w:keepNext w:val="0"/>
              <w:keepLines w:val="0"/>
              <w:pageBreakBefore w:val="0"/>
              <w:widowControl/>
              <w:tabs>
                <w:tab w:val="left" w:pos="720"/>
              </w:tabs>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2783"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材料</w:t>
            </w:r>
          </w:p>
        </w:tc>
        <w:tc>
          <w:tcPr>
            <w:tcW w:w="4829"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2783"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4829" w:type="dxa"/>
            <w:vAlign w:val="center"/>
          </w:tcPr>
          <w:p>
            <w:pPr>
              <w:keepNext w:val="0"/>
              <w:keepLines w:val="0"/>
              <w:pageBreakBefore w:val="0"/>
              <w:kinsoku/>
              <w:wordWrap/>
              <w:overflowPunct/>
              <w:topLinePunct w:val="0"/>
              <w:autoSpaceDE/>
              <w:autoSpaceDN/>
              <w:bidi w:val="0"/>
              <w:snapToGrid w:val="0"/>
              <w:spacing w:line="360" w:lineRule="exact"/>
              <w:ind w:left="0" w:leftChars="0" w:right="0" w:rightChars="0"/>
              <w:jc w:val="center"/>
              <w:textAlignment w:val="auto"/>
              <w:outlineLvl w:val="9"/>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w:t>
            </w:r>
          </w:p>
        </w:tc>
      </w:tr>
    </w:tbl>
    <w:p>
      <w:pPr>
        <w:keepNext w:val="0"/>
        <w:keepLines w:val="0"/>
        <w:pageBreakBefore w:val="0"/>
        <w:widowControl/>
        <w:tabs>
          <w:tab w:val="left" w:pos="720"/>
        </w:tabs>
        <w:kinsoku/>
        <w:wordWrap/>
        <w:overflowPunct/>
        <w:topLinePunct w:val="0"/>
        <w:autoSpaceDE/>
        <w:autoSpaceDN/>
        <w:bidi w:val="0"/>
        <w:snapToGrid w:val="0"/>
        <w:spacing w:line="360" w:lineRule="exact"/>
        <w:ind w:left="0" w:leftChars="0" w:right="0" w:rightChars="0" w:firstLine="442" w:firstLineChars="200"/>
        <w:textAlignment w:val="auto"/>
        <w:outlineLvl w:val="9"/>
        <w:rPr>
          <w:rFonts w:hint="eastAsia" w:ascii="宋体" w:hAnsi="宋体" w:eastAsia="宋体" w:cs="宋体"/>
          <w:b/>
          <w:sz w:val="24"/>
          <w:szCs w:val="24"/>
        </w:rPr>
      </w:pPr>
    </w:p>
    <w:p>
      <w:pPr>
        <w:keepNext w:val="0"/>
        <w:keepLines w:val="0"/>
        <w:pageBreakBefore w:val="0"/>
        <w:widowControl/>
        <w:tabs>
          <w:tab w:val="left" w:pos="720"/>
        </w:tabs>
        <w:kinsoku/>
        <w:wordWrap/>
        <w:overflowPunct/>
        <w:topLinePunct w:val="0"/>
        <w:autoSpaceDE/>
        <w:autoSpaceDN/>
        <w:bidi w:val="0"/>
        <w:snapToGrid w:val="0"/>
        <w:spacing w:line="360" w:lineRule="exact"/>
        <w:ind w:left="0" w:leftChars="0" w:right="0" w:rightChars="0" w:firstLine="442" w:firstLineChars="200"/>
        <w:textAlignment w:val="auto"/>
        <w:outlineLvl w:val="9"/>
        <w:rPr>
          <w:rFonts w:hint="eastAsia" w:ascii="宋体" w:hAnsi="宋体" w:eastAsia="宋体" w:cs="宋体"/>
          <w:sz w:val="24"/>
          <w:szCs w:val="24"/>
        </w:rPr>
      </w:pPr>
      <w:r>
        <w:rPr>
          <w:rFonts w:hint="eastAsia" w:ascii="宋体" w:hAnsi="宋体" w:eastAsia="宋体" w:cs="宋体"/>
          <w:b/>
          <w:sz w:val="24"/>
          <w:szCs w:val="24"/>
        </w:rPr>
        <w:t>3)所用各类设备材料须经发包人认可后方可使用。</w:t>
      </w:r>
      <w:r>
        <w:rPr>
          <w:rFonts w:hint="eastAsia" w:ascii="宋体" w:hAnsi="宋体" w:eastAsia="宋体" w:cs="宋体"/>
          <w:sz w:val="24"/>
          <w:szCs w:val="24"/>
        </w:rPr>
        <w:t>投标单位主要设备材料品牌漏填或少填的，中标后由发包人在推荐品牌中选定，且报价不作调整。</w:t>
      </w:r>
    </w:p>
    <w:p>
      <w:pPr>
        <w:keepNext w:val="0"/>
        <w:keepLines w:val="0"/>
        <w:pageBreakBefore w:val="0"/>
        <w:kinsoku/>
        <w:wordWrap/>
        <w:overflowPunct/>
        <w:topLinePunct w:val="0"/>
        <w:autoSpaceDE/>
        <w:autoSpaceDN/>
        <w:bidi w:val="0"/>
        <w:snapToGrid w:val="0"/>
        <w:spacing w:line="360" w:lineRule="exact"/>
        <w:ind w:left="0" w:leftChars="0" w:right="0" w:rightChars="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    4）所用各类设备材料都应符合设计和国家规定的相关技术规范标准要求。 </w:t>
      </w:r>
    </w:p>
    <w:p>
      <w:pPr>
        <w:keepNext w:val="0"/>
        <w:keepLines w:val="0"/>
        <w:pageBreakBefore w:val="0"/>
        <w:kinsoku/>
        <w:wordWrap/>
        <w:overflowPunct/>
        <w:topLinePunct w:val="0"/>
        <w:autoSpaceDE/>
        <w:autoSpaceDN/>
        <w:bidi w:val="0"/>
        <w:snapToGrid w:val="0"/>
        <w:spacing w:line="360" w:lineRule="exact"/>
        <w:ind w:left="0" w:leftChars="0" w:right="0" w:rightChars="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    5）所用各类设备材料均有质量合格证书。</w:t>
      </w:r>
    </w:p>
    <w:p>
      <w:pPr>
        <w:keepNext w:val="0"/>
        <w:keepLines w:val="0"/>
        <w:pageBreakBefore w:val="0"/>
        <w:widowControl/>
        <w:tabs>
          <w:tab w:val="left" w:pos="720"/>
        </w:tabs>
        <w:kinsoku/>
        <w:wordWrap/>
        <w:overflowPunct/>
        <w:topLinePunct w:val="0"/>
        <w:autoSpaceDE/>
        <w:autoSpaceDN/>
        <w:bidi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6）承包人在选定品牌或制造商时应充分考虑供货等风险，若承包人选定品牌或制造商在实施时无法供货或无法正常供货，将由发包人在推荐品牌或制造商中予以指定。</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（2）设备材料的质量保证 </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1）在施工期间内，承包人对有缺陷的部位必须无偿地给予修正，并承担一切由此引起的对发包人或第三者的直接损失，除非该缺陷是由于人为破坏或合同规定的不可抗因素造成的损坏。 </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2）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未列入以上品牌推荐表的其它材料和设备，投标人在投标报价时应选择国内优质成熟的产品，施工时需得到发包人的认可，如承包人选定的产品不能满足以上要求，发包人保留更换的权利，且中标价不予调整。</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2" w:firstLineChars="200"/>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（3）施工过程中如涉及需拆除原有材料设备（除需利旧的材料设备外），由承包人自行处理，其残值及处置相关费用，由投标人综合考虑，包含在投标报价中。</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三、施工</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3.1一般要求</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承包人必须按照工程量清单及技术规范进行施工，严格按照批准的施工技术方案和施工组织设计进行施工，力争做到“一流的施工管理，一流的工程质量”；同时施工组织实施须遵守机场相关规定要求。</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3.2施工准备</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承包人应在开工前依施工现场情况合理制定施工技术方案和施工组织设计，在服从发包人的安排和总进度计划要求情况下制定施工方案，并按发包人批准的施工方案组织施工。</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3.3施工质量</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3.3.1工程施工质量控制</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（1）为了保证工程施工质量，投标单位必须建立完善的全面质量管理体系（GB/T1900），对工程施工生产进行全过程、全方位的质量监督、检查与控制。</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（2）施工阶段质量控制包括事前的各项施工准备工作质量控制，施工过程中的质量控制，以及各单项工程及整个工程项目完工后对建筑施工及安装产品质量的事后控制。</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（3）依据国家及政府有关部门颁布的有关质量管理的法律、法规、标准等，严格控制施工工序质量以及检验和评定工程项目质量。</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3.3.2现场质量监督</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（1）承包人在施工过程中，必须无条件地接受发包人的检查和监督，并执行发包人发出的指令，确保工程质量符合设计要求及相关规范、标准的规定。</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（2）工程中使用的材料均应符合相应技术要求，并符合发包人的指示要求，或在现场进行检验。</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没有发包人的批准，隐蔽工程的任何部分均不得覆盖或使之无法查看。承包人应保证发包人有充分的时间，对隐蔽工程进行检查和测量。无论何时，当工程的任何部分已经做好检查准备时，承包人应通知发包人进行检查。</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（4）发包人有权随时对下述事项发出指示：</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1）在指示规定的时间内，将发包人确认不合格的任何材料从现场运走。</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2）在指示规定的时间内，承包人必须将不合格的任何工程拆除并重新施工。</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（5）如果承包人在指示规定的时间内未执行上述指示时，则发包人有权雇用他人执行该项指示，所发生的有关费用由承包人负担。</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（6）根据发包人的指示，承包人应按发包人认为必要的时间和方式暂停工程或其他任何部分的工作，在暂时停工期间，承包人应对工程进行必要的保护和安全保障。</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3.3.3施工偏差要求</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承包人需就一切有关之材料和整体结构，必须满足相应的技术标准及规范的规定。若产生施工偏差，承包人必须无条件返工，直至达到相应的技术标准及规范的规定，费用由承包人承担。</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3.4检验和验收</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发包人有权在本工程施工过程中，进行随时地检查、检验和监督，为合同规定提供的材料进行性能试验。检验工作如果超出了承包人的能力，承包人应安排到第三方（指除发包人、承包人以外的另一方）进行，该第三方必须有检验条件和相应资质。检验工作的任何变化都应征得发包人的书面确认。如果某些试验项目在其他场所进行，</w:t>
      </w:r>
      <w:r>
        <w:rPr>
          <w:rFonts w:hint="eastAsia" w:ascii="宋体" w:hAnsi="宋体" w:eastAsia="宋体" w:cs="宋体"/>
          <w:b/>
          <w:bCs/>
          <w:sz w:val="24"/>
          <w:szCs w:val="24"/>
        </w:rPr>
        <w:t>承包人应替发包人办理进入现场的手续和亲自陪同。</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2" w:firstLineChars="200"/>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3.5施工管理要求</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2" w:firstLineChars="200"/>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3.5.1承包人必须服从发包人对于本工程进度、质量、安全施工等要求。</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3.5.2本工程发包范围内的工程项目，一律不得分包。一经发现立即取消承包资格，作违约处理，并承担由此引起的一切经济损失。</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2" w:firstLineChars="200"/>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3.5.3承包人应严格按施工技术方案组织施工，并无条件地接受发包人对施工质量的监督和管理。</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2" w:firstLineChars="200"/>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3.5.4施工现场的建筑垃圾要及时清运，并自行运至机场区域范围以外，施工现场的材料、设备退场及现场清扫工作需于竣工验收前全部完成。上述相关处置费用，由投标人综合考虑，包含在投标报价中。</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3.6主要施工技术要求</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3.6.1进出场道路：投标人现场自行调查了解，所有材料不因场内外道路状况、运输线路、运距发生变化而进行调价。</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3.6.2施工及生活用水：建设单位负责提供施工场地附近外接水源接口，场内接管、安装水表由施工单位自行解决，每月按水表数据支付。</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3.6.3施工用电：施工单位根据现场情况及施工阶段性需要必须考虑自行配备足够数量、功率的发电机。</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3.6.4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3.6.5本次招标的工程需考虑以下问题：</w:t>
      </w:r>
    </w:p>
    <w:p>
      <w:pPr>
        <w:keepNext w:val="0"/>
        <w:keepLines w:val="0"/>
        <w:pageBreakBefore w:val="0"/>
        <w:numPr>
          <w:ilvl w:val="0"/>
          <w:numId w:val="6"/>
        </w:numPr>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需做好施工单位的车辆进出场及材料推放的管理工作，相关费用计入投标报价，中标后不再调整。</w:t>
      </w:r>
    </w:p>
    <w:p>
      <w:pPr>
        <w:keepNext w:val="0"/>
        <w:keepLines w:val="0"/>
        <w:pageBreakBefore w:val="0"/>
        <w:numPr>
          <w:ilvl w:val="0"/>
          <w:numId w:val="6"/>
        </w:numPr>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本工程开工时间根据甲方提供施工场地时间为准，投标人在投标时须考虑由此造成的工期延长，由此造成的费用不做变更。</w:t>
      </w:r>
    </w:p>
    <w:p>
      <w:pPr>
        <w:keepNext w:val="0"/>
        <w:keepLines w:val="0"/>
        <w:pageBreakBefore w:val="0"/>
        <w:numPr>
          <w:ilvl w:val="0"/>
          <w:numId w:val="6"/>
        </w:numPr>
        <w:kinsoku/>
        <w:wordWrap/>
        <w:overflowPunct/>
        <w:topLinePunct w:val="0"/>
        <w:autoSpaceDE/>
        <w:autoSpaceDN/>
        <w:bidi w:val="0"/>
        <w:adjustRightInd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本次施工区域可能存在部分障碍物需要拆除、移除，相关费用计入投标报价中，中标后不再调整。</w:t>
      </w:r>
    </w:p>
    <w:bookmarkEnd w:id="25"/>
    <w:p>
      <w:pPr>
        <w:keepNext w:val="0"/>
        <w:keepLines w:val="0"/>
        <w:pageBreakBefore w:val="0"/>
        <w:kinsoku/>
        <w:wordWrap/>
        <w:overflowPunct/>
        <w:topLinePunct w:val="0"/>
        <w:autoSpaceDE/>
        <w:autoSpaceDN/>
        <w:bidi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四、产品保护</w:t>
      </w:r>
    </w:p>
    <w:p>
      <w:pPr>
        <w:keepNext w:val="0"/>
        <w:keepLines w:val="0"/>
        <w:pageBreakBefore w:val="0"/>
        <w:kinsoku/>
        <w:wordWrap/>
        <w:overflowPunct/>
        <w:topLinePunct w:val="0"/>
        <w:autoSpaceDE/>
        <w:autoSpaceDN/>
        <w:bidi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4.1在工程现场及其周围已由其他施工单位完成和在建的建筑产品，承包人在现场施工中应负有保护责任和义务，因工程施工引起损坏，由承包人负责赔偿或修复。</w:t>
      </w:r>
    </w:p>
    <w:p>
      <w:pPr>
        <w:keepNext w:val="0"/>
        <w:keepLines w:val="0"/>
        <w:pageBreakBefore w:val="0"/>
        <w:kinsoku/>
        <w:wordWrap/>
        <w:overflowPunct/>
        <w:topLinePunct w:val="0"/>
        <w:autoSpaceDE/>
        <w:autoSpaceDN/>
        <w:bidi w:val="0"/>
        <w:snapToGrid w:val="0"/>
        <w:spacing w:line="360" w:lineRule="exact"/>
        <w:ind w:left="0" w:leftChars="0" w:right="0" w:rightChars="0" w:firstLine="44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4.2承包人在施工期间，直至竣工验收尚未正式移交之前，应负责对所有材料及现场进行保护和清洁工作，直至办理完正式移交为止。若在此过程中发生材料丢失和产品损坏，应承担赔偿和修复。</w:t>
      </w:r>
    </w:p>
    <w:p>
      <w:pPr>
        <w:keepNext w:val="0"/>
        <w:keepLines w:val="0"/>
        <w:pageBreakBefore w:val="0"/>
        <w:kinsoku/>
        <w:wordWrap/>
        <w:overflowPunct/>
        <w:topLinePunct w:val="0"/>
        <w:autoSpaceDE/>
        <w:autoSpaceDN/>
        <w:bidi w:val="0"/>
        <w:snapToGrid w:val="0"/>
        <w:spacing w:line="360" w:lineRule="exact"/>
        <w:ind w:left="0" w:leftChars="0" w:right="0" w:rightChars="0" w:firstLine="442" w:firstLineChars="200"/>
        <w:textAlignment w:val="auto"/>
        <w:outlineLvl w:val="9"/>
        <w:rPr>
          <w:rFonts w:hint="eastAsia" w:ascii="宋体" w:hAnsi="宋体" w:eastAsia="宋体" w:cs="宋体"/>
          <w:b/>
          <w:sz w:val="24"/>
          <w:szCs w:val="24"/>
        </w:rPr>
      </w:pPr>
      <w:r>
        <w:rPr>
          <w:rFonts w:hint="eastAsia" w:ascii="宋体" w:hAnsi="宋体" w:eastAsia="宋体" w:cs="宋体"/>
          <w:b/>
          <w:kern w:val="0"/>
          <w:sz w:val="24"/>
          <w:szCs w:val="24"/>
        </w:rPr>
        <w:t>五、其他要求</w:t>
      </w:r>
    </w:p>
    <w:p>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44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5.1施工临设在建设单位指定区域自行搭设，施工进场前方案报招标人同意后方可搭建。施工临设用地、材料堆场等在工程竣工验收通过后10日内自行拆除、彻底清理，并恢复原状。费用由投标人综合考虑，不另行计算。</w:t>
      </w:r>
    </w:p>
    <w:p>
      <w:pPr>
        <w:keepNext w:val="0"/>
        <w:keepLines w:val="0"/>
        <w:pageBreakBefore w:val="0"/>
        <w:kinsoku/>
        <w:wordWrap/>
        <w:overflowPunct/>
        <w:topLinePunct w:val="0"/>
        <w:autoSpaceDE/>
        <w:autoSpaceDN/>
        <w:bidi w:val="0"/>
        <w:snapToGrid w:val="0"/>
        <w:spacing w:line="360" w:lineRule="exact"/>
        <w:ind w:left="0" w:leftChars="0" w:right="0" w:rightChars="0" w:firstLine="44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5.2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keepNext w:val="0"/>
        <w:keepLines w:val="0"/>
        <w:pageBreakBefore w:val="0"/>
        <w:kinsoku/>
        <w:wordWrap/>
        <w:overflowPunct/>
        <w:topLinePunct w:val="0"/>
        <w:autoSpaceDE/>
        <w:autoSpaceDN/>
        <w:bidi w:val="0"/>
        <w:snapToGrid w:val="0"/>
        <w:spacing w:line="360" w:lineRule="exact"/>
        <w:ind w:left="0" w:leftChars="0" w:right="0" w:rightChars="0" w:firstLine="44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5.3本工程为</w:t>
      </w:r>
      <w:r>
        <w:rPr>
          <w:rFonts w:hint="eastAsia" w:ascii="宋体" w:hAnsi="宋体" w:eastAsia="宋体" w:cs="宋体"/>
          <w:b/>
          <w:sz w:val="24"/>
          <w:szCs w:val="24"/>
          <w:u w:val="single"/>
        </w:rPr>
        <w:t>固定单价</w:t>
      </w:r>
      <w:r>
        <w:rPr>
          <w:rFonts w:hint="eastAsia" w:ascii="宋体" w:hAnsi="宋体" w:eastAsia="宋体" w:cs="宋体"/>
          <w:b/>
          <w:sz w:val="24"/>
          <w:szCs w:val="24"/>
        </w:rPr>
        <w:t>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keepNext w:val="0"/>
        <w:keepLines w:val="0"/>
        <w:pageBreakBefore w:val="0"/>
        <w:kinsoku/>
        <w:wordWrap/>
        <w:overflowPunct/>
        <w:topLinePunct w:val="0"/>
        <w:autoSpaceDE/>
        <w:autoSpaceDN/>
        <w:bidi w:val="0"/>
        <w:snapToGrid w:val="0"/>
        <w:spacing w:line="360" w:lineRule="exact"/>
        <w:ind w:left="0" w:leftChars="0" w:right="0" w:rightChars="0" w:firstLine="44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5.4发包范围外招标人提出并签证的费用由承包人在施工前提出并补充编制工料单价预算书。变更估价时，工程量清单中有的项目单价，按承包人投标工程量清单中该项综合单价计取；工程量清单中无适用的项目单价，套用浙江省2018定额，按分部分项工程费＋规费+税金计取；不能套用浙江省2018定额的项目，可按照成本加利润的原则，承包人与发包人协商后执行。</w:t>
      </w:r>
    </w:p>
    <w:p>
      <w:pPr>
        <w:keepNext w:val="0"/>
        <w:keepLines w:val="0"/>
        <w:pageBreakBefore w:val="0"/>
        <w:kinsoku/>
        <w:wordWrap/>
        <w:overflowPunct/>
        <w:topLinePunct w:val="0"/>
        <w:autoSpaceDE/>
        <w:autoSpaceDN/>
        <w:bidi w:val="0"/>
        <w:snapToGrid w:val="0"/>
        <w:spacing w:line="360" w:lineRule="exact"/>
        <w:ind w:left="0" w:leftChars="0" w:right="0" w:rightChars="0" w:firstLine="44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5.5计日工单价最高限价210元/工日。</w:t>
      </w:r>
    </w:p>
    <w:p>
      <w:pPr>
        <w:keepNext w:val="0"/>
        <w:keepLines w:val="0"/>
        <w:pageBreakBefore w:val="0"/>
        <w:kinsoku/>
        <w:wordWrap/>
        <w:overflowPunct/>
        <w:topLinePunct w:val="0"/>
        <w:autoSpaceDE/>
        <w:autoSpaceDN/>
        <w:bidi w:val="0"/>
        <w:snapToGrid w:val="0"/>
        <w:spacing w:line="360" w:lineRule="exact"/>
        <w:ind w:left="0" w:leftChars="0" w:right="0" w:rightChars="0" w:firstLine="44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5.6工程施工期间，承包人须无条件服从机场公司关于工期进度的统一安排。投标人需充分考虑</w:t>
      </w:r>
      <w:r>
        <w:rPr>
          <w:rFonts w:hint="eastAsia" w:ascii="宋体" w:hAnsi="宋体" w:eastAsia="宋体" w:cs="宋体"/>
          <w:b/>
          <w:sz w:val="24"/>
          <w:szCs w:val="24"/>
          <w:lang w:val="en-US" w:eastAsia="zh-CN"/>
        </w:rPr>
        <w:t>高架桥上</w:t>
      </w:r>
      <w:r>
        <w:rPr>
          <w:rFonts w:hint="eastAsia" w:ascii="宋体" w:hAnsi="宋体" w:eastAsia="宋体" w:cs="宋体"/>
          <w:b/>
          <w:sz w:val="24"/>
          <w:szCs w:val="24"/>
        </w:rPr>
        <w:t>施工时间及工期的不确定性，如由于机场运行要求某些时间不得施工或长时间停工等任何突发情况，请投标人在投标时充分考虑相关费用，中标后不予增加费用。</w:t>
      </w:r>
    </w:p>
    <w:p>
      <w:pPr>
        <w:pStyle w:val="2"/>
        <w:keepNext w:val="0"/>
        <w:keepLines w:val="0"/>
        <w:pageBreakBefore w:val="0"/>
        <w:kinsoku/>
        <w:wordWrap/>
        <w:overflowPunct/>
        <w:topLinePunct w:val="0"/>
        <w:autoSpaceDE/>
        <w:autoSpaceDN/>
        <w:bidi w:val="0"/>
        <w:spacing w:line="360" w:lineRule="exact"/>
        <w:ind w:left="0" w:leftChars="0" w:right="0" w:rightChars="0" w:firstLine="44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5.7承包人必须确保在施工阶段不影响机场正常运行，遵守机场施工管理规定、施工安全条例。</w:t>
      </w:r>
    </w:p>
    <w:p>
      <w:pPr>
        <w:keepNext w:val="0"/>
        <w:keepLines w:val="0"/>
        <w:pageBreakBefore w:val="0"/>
        <w:kinsoku/>
        <w:wordWrap/>
        <w:overflowPunct/>
        <w:topLinePunct w:val="0"/>
        <w:autoSpaceDE/>
        <w:autoSpaceDN/>
        <w:bidi w:val="0"/>
        <w:spacing w:line="360" w:lineRule="exact"/>
        <w:ind w:left="0" w:leftChars="0" w:right="0" w:rightChars="0" w:firstLine="442" w:firstLineChars="200"/>
        <w:jc w:val="left"/>
        <w:textAlignment w:val="auto"/>
        <w:outlineLvl w:val="9"/>
        <w:rPr>
          <w:rFonts w:hint="eastAsia" w:ascii="宋体" w:hAnsi="宋体" w:eastAsia="宋体" w:cs="宋体"/>
          <w:b/>
          <w:sz w:val="24"/>
          <w:szCs w:val="24"/>
        </w:rPr>
      </w:pPr>
      <w:r>
        <w:rPr>
          <w:rFonts w:hint="eastAsia" w:ascii="宋体" w:hAnsi="宋体" w:eastAsia="宋体" w:cs="宋体"/>
          <w:b/>
          <w:sz w:val="24"/>
          <w:szCs w:val="24"/>
        </w:rPr>
        <w:t>5.</w:t>
      </w:r>
      <w:r>
        <w:rPr>
          <w:rFonts w:hint="eastAsia" w:ascii="宋体" w:hAnsi="宋体" w:eastAsia="宋体" w:cs="宋体"/>
          <w:b/>
          <w:sz w:val="24"/>
          <w:szCs w:val="24"/>
          <w:lang w:val="en-US" w:eastAsia="zh-CN"/>
        </w:rPr>
        <w:t>8</w:t>
      </w:r>
      <w:r>
        <w:rPr>
          <w:rFonts w:hint="eastAsia" w:ascii="宋体" w:hAnsi="宋体" w:eastAsia="宋体" w:cs="宋体"/>
          <w:b/>
          <w:sz w:val="24"/>
          <w:szCs w:val="24"/>
        </w:rPr>
        <w:t>承包人须无条件配合发包人要求，施工前应征得发包人同意，不得擅自施工，如擅自施工导致的一切后果由承包人承担。</w:t>
      </w:r>
    </w:p>
    <w:p>
      <w:pPr>
        <w:keepNext w:val="0"/>
        <w:keepLines w:val="0"/>
        <w:pageBreakBefore w:val="0"/>
        <w:kinsoku/>
        <w:wordWrap/>
        <w:overflowPunct/>
        <w:topLinePunct w:val="0"/>
        <w:autoSpaceDE/>
        <w:autoSpaceDN/>
        <w:bidi w:val="0"/>
        <w:spacing w:line="360" w:lineRule="exact"/>
        <w:ind w:left="0" w:leftChars="0" w:right="0" w:rightChars="0" w:firstLine="442" w:firstLineChars="200"/>
        <w:jc w:val="left"/>
        <w:textAlignment w:val="auto"/>
        <w:outlineLvl w:val="9"/>
      </w:pPr>
      <w:r>
        <w:rPr>
          <w:rFonts w:hint="eastAsia" w:ascii="宋体" w:hAnsi="宋体" w:eastAsia="宋体" w:cs="宋体"/>
          <w:b/>
          <w:sz w:val="24"/>
          <w:szCs w:val="24"/>
        </w:rPr>
        <w:t>5.</w:t>
      </w:r>
      <w:r>
        <w:rPr>
          <w:rFonts w:hint="eastAsia" w:ascii="宋体" w:hAnsi="宋体" w:eastAsia="宋体" w:cs="宋体"/>
          <w:b/>
          <w:sz w:val="24"/>
          <w:szCs w:val="24"/>
          <w:lang w:val="en-US" w:eastAsia="zh-CN"/>
        </w:rPr>
        <w:t>9</w:t>
      </w:r>
      <w:r>
        <w:rPr>
          <w:rFonts w:hint="eastAsia" w:ascii="宋体" w:hAnsi="宋体" w:eastAsia="宋体" w:cs="宋体"/>
          <w:b/>
          <w:sz w:val="24"/>
          <w:szCs w:val="24"/>
        </w:rPr>
        <w:t>项目开工前承包人需提供施工进度计划表、施工材料及明细表，待材料、人员、证件全部准备完善并经发包人同意方可进行施工。</w:t>
      </w:r>
    </w:p>
    <w:p>
      <w:pPr>
        <w:pStyle w:val="9"/>
      </w:pPr>
    </w:p>
    <w:p>
      <w:pPr>
        <w:pStyle w:val="9"/>
      </w:pPr>
    </w:p>
    <w:p/>
    <w:p>
      <w:pPr>
        <w:pStyle w:val="2"/>
      </w:pPr>
    </w:p>
    <w:p>
      <w:pPr>
        <w:pStyle w:val="2"/>
      </w:pPr>
    </w:p>
    <w:p>
      <w:pPr>
        <w:pStyle w:val="2"/>
      </w:pPr>
    </w:p>
    <w:p>
      <w:pPr>
        <w:rPr>
          <w:rFonts w:hint="eastAsia"/>
        </w:rPr>
      </w:pPr>
    </w:p>
    <w:bookmarkEnd w:id="9"/>
    <w:bookmarkEnd w:id="21"/>
    <w:bookmarkEnd w:id="22"/>
    <w:p>
      <w:pPr>
        <w:pStyle w:val="3"/>
        <w:keepLines w:val="0"/>
        <w:pageBreakBefore/>
        <w:spacing w:before="0" w:after="0" w:line="564" w:lineRule="exact"/>
        <w:ind w:right="57"/>
        <w:rPr>
          <w:rFonts w:hint="eastAsia" w:ascii="黑体" w:hAnsi="黑体" w:eastAsia="黑体" w:cs="黑体"/>
          <w:sz w:val="32"/>
          <w:szCs w:val="32"/>
        </w:rPr>
      </w:pPr>
      <w:bookmarkStart w:id="26" w:name="_Toc1471"/>
      <w:bookmarkStart w:id="27" w:name="_Toc52907682"/>
      <w:r>
        <w:rPr>
          <w:rFonts w:hint="eastAsia" w:ascii="黑体" w:hAnsi="黑体" w:eastAsia="黑体" w:cs="黑体"/>
          <w:sz w:val="32"/>
          <w:szCs w:val="32"/>
        </w:rPr>
        <w:t>第</w:t>
      </w:r>
      <w:r>
        <w:rPr>
          <w:rFonts w:hint="eastAsia" w:ascii="黑体" w:hAnsi="黑体" w:eastAsia="黑体" w:cs="黑体"/>
          <w:sz w:val="32"/>
          <w:szCs w:val="32"/>
          <w:lang w:val="en-US" w:eastAsia="zh-CN"/>
        </w:rPr>
        <w:t>六</w:t>
      </w:r>
      <w:r>
        <w:rPr>
          <w:rFonts w:hint="eastAsia" w:ascii="黑体" w:hAnsi="黑体" w:eastAsia="黑体" w:cs="黑体"/>
          <w:sz w:val="32"/>
          <w:szCs w:val="32"/>
        </w:rPr>
        <w:t>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投标文件格式</w:t>
      </w:r>
      <w:bookmarkEnd w:id="26"/>
      <w:bookmarkEnd w:id="27"/>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8"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pgSz w:w="11907" w:h="16840"/>
          <w:pgMar w:top="1134" w:right="1134" w:bottom="1134" w:left="1134" w:header="567" w:footer="567" w:gutter="0"/>
          <w:pgNumType w:fmt="decimal"/>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14"/>
        <w:numPr>
          <w:ilvl w:val="0"/>
          <w:numId w:val="7"/>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4"/>
        <w:tabs>
          <w:tab w:val="left" w:pos="360"/>
        </w:tabs>
        <w:autoSpaceDE w:val="0"/>
        <w:autoSpaceDN w:val="0"/>
        <w:adjustRightInd w:val="0"/>
        <w:spacing w:line="360" w:lineRule="auto"/>
        <w:ind w:firstLine="0" w:firstLineChars="0"/>
        <w:rPr>
          <w:rFonts w:ascii="微软雅黑" w:hAnsi="Times New Roman" w:cs="微软雅黑"/>
          <w:spacing w:val="-2"/>
          <w:kern w:val="0"/>
          <w:sz w:val="22"/>
        </w:rPr>
      </w:pPr>
      <w:r>
        <w:rPr>
          <w:rFonts w:hint="eastAsia" w:ascii="宋体" w:hAnsi="宋体" w:cs="宋体"/>
          <w:kern w:val="0"/>
          <w:sz w:val="22"/>
        </w:rPr>
        <w:t>二、法定代表人身份证明、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4"/>
        <w:tabs>
          <w:tab w:val="left" w:pos="360"/>
        </w:tabs>
        <w:autoSpaceDE w:val="0"/>
        <w:autoSpaceDN w:val="0"/>
        <w:adjustRightInd w:val="0"/>
        <w:spacing w:line="360" w:lineRule="auto"/>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三、</w:t>
      </w:r>
      <w:r>
        <w:rPr>
          <w:rFonts w:ascii="微软雅黑" w:hAnsi="Times New Roman" w:cs="微软雅黑"/>
          <w:spacing w:val="-2"/>
          <w:kern w:val="0"/>
          <w:sz w:val="22"/>
        </w:rPr>
        <w:t>已标价工程量清单；</w:t>
      </w:r>
    </w:p>
    <w:p>
      <w:pPr>
        <w:pStyle w:val="14"/>
        <w:tabs>
          <w:tab w:val="left" w:pos="360"/>
        </w:tabs>
        <w:autoSpaceDE w:val="0"/>
        <w:autoSpaceDN w:val="0"/>
        <w:adjustRightInd w:val="0"/>
        <w:spacing w:line="360" w:lineRule="auto"/>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四、</w:t>
      </w:r>
      <w:r>
        <w:rPr>
          <w:rFonts w:ascii="微软雅黑" w:hAnsi="Times New Roman" w:cs="微软雅黑"/>
          <w:spacing w:val="-2"/>
          <w:kern w:val="0"/>
          <w:sz w:val="22"/>
        </w:rPr>
        <w:t>投标人</w:t>
      </w:r>
      <w:r>
        <w:rPr>
          <w:rFonts w:hint="eastAsia" w:ascii="微软雅黑" w:hAnsi="Times New Roman" w:cs="微软雅黑"/>
          <w:spacing w:val="-2"/>
          <w:kern w:val="0"/>
          <w:sz w:val="22"/>
        </w:rPr>
        <w:t>认为需要提供的</w:t>
      </w:r>
      <w:r>
        <w:rPr>
          <w:rFonts w:ascii="微软雅黑" w:hAnsi="Times New Roman" w:cs="微软雅黑"/>
          <w:spacing w:val="-2"/>
          <w:kern w:val="0"/>
          <w:sz w:val="22"/>
        </w:rPr>
        <w:t>其他材料。</w:t>
      </w:r>
    </w:p>
    <w:p>
      <w:pPr>
        <w:pStyle w:val="14"/>
        <w:tabs>
          <w:tab w:val="left" w:pos="360"/>
        </w:tabs>
        <w:autoSpaceDE w:val="0"/>
        <w:autoSpaceDN w:val="0"/>
        <w:adjustRightInd w:val="0"/>
        <w:spacing w:line="360" w:lineRule="auto"/>
        <w:ind w:right="4013" w:firstLine="0" w:firstLineChars="0"/>
        <w:rPr>
          <w:rFonts w:ascii="微软雅黑" w:hAnsi="Times New Roman" w:cs="微软雅黑"/>
          <w:b/>
          <w:bCs/>
          <w:spacing w:val="-2"/>
          <w:kern w:val="0"/>
          <w:sz w:val="22"/>
        </w:rPr>
      </w:pPr>
      <w:r>
        <w:rPr>
          <w:rFonts w:hint="eastAsia" w:ascii="微软雅黑" w:hAnsi="Times New Roman" w:cs="微软雅黑"/>
          <w:b/>
          <w:bCs/>
          <w:spacing w:val="-2"/>
          <w:kern w:val="0"/>
          <w:sz w:val="22"/>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ascii="宋体" w:hAnsi="宋体" w:cs="Arial"/>
          <w:b/>
          <w:sz w:val="22"/>
        </w:rPr>
      </w:pPr>
      <w:r>
        <w:rPr>
          <w:rFonts w:ascii="宋体" w:hAnsi="宋体"/>
          <w:sz w:val="22"/>
        </w:rPr>
        <w:t>(1</w:t>
      </w:r>
      <w:r>
        <w:rPr>
          <w:rFonts w:hint="eastAsia" w:ascii="宋体" w:hAnsi="宋体"/>
          <w:sz w:val="22"/>
        </w:rPr>
        <w:t>)</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3)如我方中标，在收到中标通知书后，在中标通知书规定的期限内与你方签订合同；</w:t>
      </w:r>
    </w:p>
    <w:p>
      <w:pPr>
        <w:snapToGrid w:val="0"/>
        <w:spacing w:line="360" w:lineRule="exact"/>
        <w:ind w:firstLine="440" w:firstLineChars="200"/>
        <w:rPr>
          <w:kern w:val="0"/>
          <w:sz w:val="22"/>
        </w:rPr>
      </w:pPr>
      <w:r>
        <w:rPr>
          <w:rFonts w:hint="eastAsia" w:ascii="宋体" w:hAnsi="宋体"/>
          <w:sz w:val="22"/>
        </w:rPr>
        <w:t>(4)</w:t>
      </w:r>
      <w:r>
        <w:rPr>
          <w:kern w:val="0"/>
          <w:sz w:val="22"/>
        </w:rPr>
        <w:t>在招投标过程中，廉洁自律并对所获悉的招标人的相关信息予以保密</w:t>
      </w:r>
      <w:r>
        <w:rPr>
          <w:rFonts w:hint="eastAsia"/>
          <w:kern w:val="0"/>
          <w:sz w:val="22"/>
        </w:rPr>
        <w:t>；</w:t>
      </w:r>
    </w:p>
    <w:p>
      <w:pPr>
        <w:snapToGrid w:val="0"/>
        <w:spacing w:line="360" w:lineRule="exact"/>
        <w:ind w:firstLine="440" w:firstLineChars="200"/>
        <w:rPr>
          <w:rFonts w:ascii="宋体" w:hAnsi="宋体" w:cs="宋体"/>
          <w:sz w:val="22"/>
        </w:rPr>
      </w:pPr>
      <w:r>
        <w:rPr>
          <w:rFonts w:hint="eastAsia" w:ascii="宋体" w:hAnsi="宋体"/>
          <w:sz w:val="22"/>
        </w:rPr>
        <w:t>(5)</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9"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9"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9"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721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5824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pgNumType w:fmt="decimal"/>
          <w:cols w:space="720" w:num="1"/>
        </w:sectPr>
      </w:pPr>
    </w:p>
    <w:p>
      <w:pPr>
        <w:spacing w:line="360" w:lineRule="auto"/>
        <w:jc w:val="center"/>
        <w:rPr>
          <w:rFonts w:cs="微软雅黑"/>
          <w:b/>
          <w:kern w:val="0"/>
          <w:sz w:val="36"/>
          <w:szCs w:val="36"/>
        </w:rPr>
      </w:pPr>
      <w:r>
        <w:rPr>
          <w:rFonts w:hint="eastAsia" w:cs="微软雅黑"/>
          <w:b/>
          <w:kern w:val="0"/>
          <w:sz w:val="36"/>
          <w:szCs w:val="36"/>
        </w:rPr>
        <w:t>三、已标价工程量清单</w:t>
      </w:r>
    </w:p>
    <w:p>
      <w:pPr>
        <w:autoSpaceDE w:val="0"/>
        <w:autoSpaceDN w:val="0"/>
        <w:adjustRightInd w:val="0"/>
        <w:snapToGrid w:val="0"/>
        <w:spacing w:line="360" w:lineRule="auto"/>
        <w:ind w:firstLine="420" w:firstLineChars="200"/>
        <w:rPr>
          <w:rFonts w:ascii="宋体" w:hAnsi="宋体" w:cs="Arial"/>
          <w:kern w:val="0"/>
          <w:szCs w:val="21"/>
        </w:rPr>
      </w:pPr>
    </w:p>
    <w:p>
      <w:pPr>
        <w:keepLines/>
        <w:pageBreakBefore/>
        <w:jc w:val="center"/>
        <w:rPr>
          <w:rFonts w:cs="微软雅黑"/>
          <w:b/>
          <w:kern w:val="0"/>
          <w:sz w:val="36"/>
          <w:szCs w:val="36"/>
        </w:rPr>
      </w:pPr>
      <w:bookmarkStart w:id="28" w:name="_Hlk54024727"/>
      <w:r>
        <w:rPr>
          <w:rFonts w:hint="eastAsia" w:cs="微软雅黑"/>
          <w:b/>
          <w:kern w:val="0"/>
          <w:sz w:val="36"/>
          <w:szCs w:val="36"/>
        </w:rPr>
        <w:t>四、投标人认为需要提供的其他材料</w:t>
      </w:r>
    </w:p>
    <w:p>
      <w:pPr>
        <w:autoSpaceDE w:val="0"/>
        <w:autoSpaceDN w:val="0"/>
        <w:adjustRightInd w:val="0"/>
        <w:spacing w:line="360" w:lineRule="auto"/>
        <w:jc w:val="center"/>
        <w:rPr>
          <w:b/>
          <w:sz w:val="24"/>
        </w:rPr>
      </w:pPr>
    </w:p>
    <w:bookmarkEnd w:id="28"/>
    <w:p>
      <w:pPr>
        <w:widowControl/>
        <w:rPr>
          <w:rFonts w:cs="宋体"/>
          <w:b/>
          <w:sz w:val="32"/>
          <w:szCs w:val="32"/>
        </w:rPr>
      </w:pPr>
    </w:p>
    <w:sectPr>
      <w:footerReference r:id="rId11" w:type="first"/>
      <w:headerReference r:id="rId9" w:type="default"/>
      <w:footerReference r:id="rId10" w:type="default"/>
      <w:pgSz w:w="11906" w:h="16838"/>
      <w:pgMar w:top="1440" w:right="1800" w:bottom="1440" w:left="1800"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altName w:val="Arial"/>
    <w:panose1 w:val="020B0604020202020204"/>
    <w:charset w:val="80"/>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Tms Rmn">
    <w:altName w:val="Microsoft Sans Serif"/>
    <w:panose1 w:val="020B0604020202020204"/>
    <w:charset w:val="00"/>
    <w:family w:val="roman"/>
    <w:pitch w:val="default"/>
    <w:sig w:usb0="00000000" w:usb1="00000000" w:usb2="00000000" w:usb3="00000000" w:csb0="00000001" w:csb1="00000000"/>
  </w:font>
  <w:font w:name="Microsoft Sans Serif">
    <w:panose1 w:val="020B0604020202020204"/>
    <w:charset w:val="00"/>
    <w:family w:val="auto"/>
    <w:pitch w:val="default"/>
    <w:sig w:usb0="E5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Bahnschrift">
    <w:panose1 w:val="020B0502040204020203"/>
    <w:charset w:val="00"/>
    <w:family w:val="auto"/>
    <w:pitch w:val="default"/>
    <w:sig w:usb0="A00002C7" w:usb1="00000002" w:usb2="00000000" w:usb3="00000000" w:csb0="2000019F" w:csb1="00000000"/>
  </w:font>
  <w:font w:name="Arial Black">
    <w:panose1 w:val="020B0A04020102020204"/>
    <w:charset w:val="00"/>
    <w:family w:val="auto"/>
    <w:pitch w:val="default"/>
    <w:sig w:usb0="A00002AF" w:usb1="400078FB" w:usb2="00000000" w:usb3="00000000" w:csb0="6000009F" w:csb1="DFD70000"/>
  </w:font>
  <w:font w:name="Microsoft JhengHei">
    <w:panose1 w:val="020B0604030504040204"/>
    <w:charset w:val="88"/>
    <w:family w:val="auto"/>
    <w:pitch w:val="default"/>
    <w:sig w:usb0="000002A7" w:usb1="28CF4400" w:usb2="00000016" w:usb3="00000000" w:csb0="00100009" w:csb1="00000000"/>
  </w:font>
  <w:font w:name="Malgun Gothic Semilight">
    <w:panose1 w:val="020B0502040204020203"/>
    <w:charset w:val="86"/>
    <w:family w:val="auto"/>
    <w:pitch w:val="default"/>
    <w:sig w:usb0="900002AF" w:usb1="01D77CFB" w:usb2="00000012" w:usb3="00000000" w:csb0="203E01BD" w:csb1="D7FF0000"/>
  </w:font>
  <w:font w:name="Malgun Gothic">
    <w:panose1 w:val="020B0503020000020004"/>
    <w:charset w:val="81"/>
    <w:family w:val="auto"/>
    <w:pitch w:val="default"/>
    <w:sig w:usb0="9000002F" w:usb1="29D77CFB" w:usb2="00000012" w:usb3="00000000" w:csb0="00080001" w:csb1="00000000"/>
  </w:font>
  <w:font w:name="Vrinda">
    <w:altName w:val="Segoe UI Symbol"/>
    <w:panose1 w:val="020B0502040204020203"/>
    <w:charset w:val="00"/>
    <w:family w:val="auto"/>
    <w:pitch w:val="default"/>
    <w:sig w:usb0="00000000" w:usb1="00000000" w:usb2="00000000" w:usb3="00000000" w:csb0="00000001" w:csb1="00000000"/>
  </w:font>
  <w:font w:name="-apple-syste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Symbol">
    <w:panose1 w:val="020B0502040204020203"/>
    <w:charset w:val="00"/>
    <w:family w:val="auto"/>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0</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0</w:t>
                    </w:r>
                    <w:r>
                      <w:rPr>
                        <w:rFonts w:hint="eastAsia"/>
                        <w:sz w:val="1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center"/>
                          </w:pPr>
                          <w:r>
                            <w:fldChar w:fldCharType="begin"/>
                          </w:r>
                          <w:r>
                            <w:instrText xml:space="preserve">PAGE   \* MERGEFORMAT</w:instrText>
                          </w:r>
                          <w:r>
                            <w:fldChar w:fldCharType="separate"/>
                          </w:r>
                          <w:r>
                            <w:rPr>
                              <w:lang w:val="zh-CN"/>
                            </w:rPr>
                            <w:t>61</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6"/>
                      <w:jc w:val="center"/>
                    </w:pPr>
                    <w:r>
                      <w:fldChar w:fldCharType="begin"/>
                    </w:r>
                    <w:r>
                      <w:instrText xml:space="preserve">PAGE   \* MERGEFORMAT</w:instrText>
                    </w:r>
                    <w:r>
                      <w:fldChar w:fldCharType="separate"/>
                    </w:r>
                    <w:r>
                      <w:rPr>
                        <w:lang w:val="zh-CN"/>
                      </w:rPr>
                      <w:t>61</w:t>
                    </w:r>
                    <w:r>
                      <w:rPr>
                        <w:lang w:val="zh-CN"/>
                      </w:rPr>
                      <w:fldChar w:fldCharType="end"/>
                    </w:r>
                  </w:p>
                </w:txbxContent>
              </v:textbox>
            </v:shape>
          </w:pict>
        </mc:Fallback>
      </mc:AlternateContent>
    </w:r>
  </w:p>
  <w:p>
    <w:pPr>
      <w:pStyle w:val="6"/>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D75C5AD"/>
    <w:multiLevelType w:val="singleLevel"/>
    <w:tmpl w:val="5D75C5AD"/>
    <w:lvl w:ilvl="0" w:tentative="0">
      <w:start w:val="1"/>
      <w:numFmt w:val="decimal"/>
      <w:suff w:val="nothing"/>
      <w:lvlText w:val="（%1）"/>
      <w:lvlJc w:val="left"/>
    </w:lvl>
  </w:abstractNum>
  <w:abstractNum w:abstractNumId="3">
    <w:nsid w:val="6306DE00"/>
    <w:multiLevelType w:val="singleLevel"/>
    <w:tmpl w:val="6306DE00"/>
    <w:lvl w:ilvl="0" w:tentative="0">
      <w:start w:val="4"/>
      <w:numFmt w:val="decimal"/>
      <w:suff w:val="nothing"/>
      <w:lvlText w:val="(%1)"/>
      <w:lvlJc w:val="left"/>
    </w:lvl>
  </w:abstractNum>
  <w:abstractNum w:abstractNumId="4">
    <w:nsid w:val="636C52E6"/>
    <w:multiLevelType w:val="singleLevel"/>
    <w:tmpl w:val="636C52E6"/>
    <w:lvl w:ilvl="0" w:tentative="0">
      <w:start w:val="1"/>
      <w:numFmt w:val="decimal"/>
      <w:suff w:val="nothing"/>
      <w:lvlText w:val="(%1)"/>
      <w:lvlJc w:val="left"/>
    </w:lvl>
  </w:abstractNum>
  <w:abstractNum w:abstractNumId="5">
    <w:nsid w:val="636C642F"/>
    <w:multiLevelType w:val="singleLevel"/>
    <w:tmpl w:val="636C642F"/>
    <w:lvl w:ilvl="0" w:tentative="0">
      <w:start w:val="1"/>
      <w:numFmt w:val="decimal"/>
      <w:suff w:val="nothing"/>
      <w:lvlText w:val="（%1）"/>
      <w:lvlJc w:val="left"/>
    </w:lvl>
  </w:abstractNum>
  <w:abstractNum w:abstractNumId="6">
    <w:nsid w:val="63AD0337"/>
    <w:multiLevelType w:val="singleLevel"/>
    <w:tmpl w:val="63AD0337"/>
    <w:lvl w:ilvl="0" w:tentative="0">
      <w:start w:val="1"/>
      <w:numFmt w:val="chineseCounting"/>
      <w:suff w:val="nothing"/>
      <w:lvlText w:val="%1、"/>
      <w:lvlJc w:val="left"/>
      <w:pPr>
        <w:ind w:left="0" w:leftChars="0" w:firstLine="420" w:firstLineChars="0"/>
      </w:pPr>
      <w:rPr>
        <w:rFonts w:hint="eastAsia"/>
      </w:rPr>
    </w:lvl>
  </w:abstractNum>
  <w:num w:numId="1">
    <w:abstractNumId w:val="6"/>
  </w:num>
  <w:num w:numId="2">
    <w:abstractNumId w:val="2"/>
  </w:num>
  <w:num w:numId="3">
    <w:abstractNumId w:val="3"/>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YzhjOWRmMWJkMTcwNTJiYTlkNjc1NzNkM2M4NmYifQ=="/>
  </w:docVars>
  <w:rsids>
    <w:rsidRoot w:val="00602DA2"/>
    <w:rsid w:val="001372A2"/>
    <w:rsid w:val="001842E5"/>
    <w:rsid w:val="00202EF4"/>
    <w:rsid w:val="00205DDE"/>
    <w:rsid w:val="002D6E53"/>
    <w:rsid w:val="002E389D"/>
    <w:rsid w:val="00306FCE"/>
    <w:rsid w:val="00375BBB"/>
    <w:rsid w:val="00574177"/>
    <w:rsid w:val="005A26E5"/>
    <w:rsid w:val="005A3F8F"/>
    <w:rsid w:val="00602DA2"/>
    <w:rsid w:val="00625098"/>
    <w:rsid w:val="00642119"/>
    <w:rsid w:val="006562EA"/>
    <w:rsid w:val="006A12D1"/>
    <w:rsid w:val="006E5133"/>
    <w:rsid w:val="008171B7"/>
    <w:rsid w:val="00817C3C"/>
    <w:rsid w:val="00820C30"/>
    <w:rsid w:val="00846FFC"/>
    <w:rsid w:val="008C5594"/>
    <w:rsid w:val="00906E38"/>
    <w:rsid w:val="00A967F5"/>
    <w:rsid w:val="00AC6F51"/>
    <w:rsid w:val="00AE2420"/>
    <w:rsid w:val="00B6451B"/>
    <w:rsid w:val="00BA486F"/>
    <w:rsid w:val="00C11D9A"/>
    <w:rsid w:val="00C45FDC"/>
    <w:rsid w:val="00C63C17"/>
    <w:rsid w:val="00D0743B"/>
    <w:rsid w:val="00D2136E"/>
    <w:rsid w:val="00D91BF2"/>
    <w:rsid w:val="00DA7957"/>
    <w:rsid w:val="00DD507F"/>
    <w:rsid w:val="00DF1565"/>
    <w:rsid w:val="00E95BFB"/>
    <w:rsid w:val="00F10D57"/>
    <w:rsid w:val="00F75078"/>
    <w:rsid w:val="00F75276"/>
    <w:rsid w:val="00F81449"/>
    <w:rsid w:val="01490867"/>
    <w:rsid w:val="014F73A6"/>
    <w:rsid w:val="02B95F5F"/>
    <w:rsid w:val="02F1240D"/>
    <w:rsid w:val="03044762"/>
    <w:rsid w:val="03196B6B"/>
    <w:rsid w:val="03644852"/>
    <w:rsid w:val="03F739A7"/>
    <w:rsid w:val="03F870E6"/>
    <w:rsid w:val="047518C7"/>
    <w:rsid w:val="04EE265D"/>
    <w:rsid w:val="050869C0"/>
    <w:rsid w:val="052F0674"/>
    <w:rsid w:val="05BE6E6F"/>
    <w:rsid w:val="05C353ED"/>
    <w:rsid w:val="062A10DF"/>
    <w:rsid w:val="063C0E2A"/>
    <w:rsid w:val="066C1019"/>
    <w:rsid w:val="068C2B24"/>
    <w:rsid w:val="0729665A"/>
    <w:rsid w:val="073D70B6"/>
    <w:rsid w:val="077E75BF"/>
    <w:rsid w:val="080B7E40"/>
    <w:rsid w:val="08190115"/>
    <w:rsid w:val="083312CE"/>
    <w:rsid w:val="08A037D7"/>
    <w:rsid w:val="09411BF2"/>
    <w:rsid w:val="09673172"/>
    <w:rsid w:val="09E25A5D"/>
    <w:rsid w:val="09E436C7"/>
    <w:rsid w:val="0A280818"/>
    <w:rsid w:val="0A325507"/>
    <w:rsid w:val="0A730CDB"/>
    <w:rsid w:val="0AF47D67"/>
    <w:rsid w:val="0B8A64EA"/>
    <w:rsid w:val="0BC87FF4"/>
    <w:rsid w:val="0C2258A4"/>
    <w:rsid w:val="0C2C721E"/>
    <w:rsid w:val="0D58007A"/>
    <w:rsid w:val="0D662C58"/>
    <w:rsid w:val="0DEE646C"/>
    <w:rsid w:val="0E4F65D3"/>
    <w:rsid w:val="0E836117"/>
    <w:rsid w:val="0EE1797F"/>
    <w:rsid w:val="0EF24B25"/>
    <w:rsid w:val="0F216A60"/>
    <w:rsid w:val="0F3936BA"/>
    <w:rsid w:val="0F3A6E72"/>
    <w:rsid w:val="0F74556B"/>
    <w:rsid w:val="0F751372"/>
    <w:rsid w:val="0FED2B34"/>
    <w:rsid w:val="103144BD"/>
    <w:rsid w:val="107F76F6"/>
    <w:rsid w:val="10926C44"/>
    <w:rsid w:val="10C41CD7"/>
    <w:rsid w:val="10D201D0"/>
    <w:rsid w:val="10FB2AF8"/>
    <w:rsid w:val="132D3D8B"/>
    <w:rsid w:val="134E2C41"/>
    <w:rsid w:val="13506F32"/>
    <w:rsid w:val="13734C06"/>
    <w:rsid w:val="13C53EF3"/>
    <w:rsid w:val="13C703B6"/>
    <w:rsid w:val="13D363C5"/>
    <w:rsid w:val="14EF431F"/>
    <w:rsid w:val="1521549C"/>
    <w:rsid w:val="15714686"/>
    <w:rsid w:val="15C55E70"/>
    <w:rsid w:val="168574AC"/>
    <w:rsid w:val="174B0697"/>
    <w:rsid w:val="17706602"/>
    <w:rsid w:val="17A3369A"/>
    <w:rsid w:val="17E644B2"/>
    <w:rsid w:val="17F261B0"/>
    <w:rsid w:val="1815708E"/>
    <w:rsid w:val="19B6105C"/>
    <w:rsid w:val="19D22F7C"/>
    <w:rsid w:val="19E250F9"/>
    <w:rsid w:val="1A03602F"/>
    <w:rsid w:val="1A372ED2"/>
    <w:rsid w:val="1A530242"/>
    <w:rsid w:val="1A5510AA"/>
    <w:rsid w:val="1A905DB0"/>
    <w:rsid w:val="1AC01189"/>
    <w:rsid w:val="1ACC2D1E"/>
    <w:rsid w:val="1AE634A1"/>
    <w:rsid w:val="1B1762CA"/>
    <w:rsid w:val="1B494BCE"/>
    <w:rsid w:val="1B5C78F3"/>
    <w:rsid w:val="1B9E32AC"/>
    <w:rsid w:val="1C1F53DB"/>
    <w:rsid w:val="1C23428D"/>
    <w:rsid w:val="1C411E8A"/>
    <w:rsid w:val="1C67300B"/>
    <w:rsid w:val="1C722ABB"/>
    <w:rsid w:val="1DB82B97"/>
    <w:rsid w:val="1DD42994"/>
    <w:rsid w:val="1E017959"/>
    <w:rsid w:val="1ECC6715"/>
    <w:rsid w:val="1ED229A2"/>
    <w:rsid w:val="1F3C1356"/>
    <w:rsid w:val="1F4F7C5F"/>
    <w:rsid w:val="1F977FDE"/>
    <w:rsid w:val="1FC32413"/>
    <w:rsid w:val="200A02E6"/>
    <w:rsid w:val="20CE1F53"/>
    <w:rsid w:val="21EC1694"/>
    <w:rsid w:val="23416178"/>
    <w:rsid w:val="238E4739"/>
    <w:rsid w:val="23AA347B"/>
    <w:rsid w:val="2424517E"/>
    <w:rsid w:val="254051B5"/>
    <w:rsid w:val="26232022"/>
    <w:rsid w:val="265818D7"/>
    <w:rsid w:val="265B4E2F"/>
    <w:rsid w:val="265E0606"/>
    <w:rsid w:val="26BE571E"/>
    <w:rsid w:val="26CC6707"/>
    <w:rsid w:val="27B369DB"/>
    <w:rsid w:val="28736A82"/>
    <w:rsid w:val="289D4E0E"/>
    <w:rsid w:val="28BD1AD1"/>
    <w:rsid w:val="29727BB5"/>
    <w:rsid w:val="29957CF5"/>
    <w:rsid w:val="29F93588"/>
    <w:rsid w:val="2A11348C"/>
    <w:rsid w:val="2A4954FD"/>
    <w:rsid w:val="2A6E65A6"/>
    <w:rsid w:val="2B3A0E18"/>
    <w:rsid w:val="2B400820"/>
    <w:rsid w:val="2B7F6052"/>
    <w:rsid w:val="2BB864A4"/>
    <w:rsid w:val="2BFE4FF2"/>
    <w:rsid w:val="2C176C91"/>
    <w:rsid w:val="2C4C3E76"/>
    <w:rsid w:val="2CF25F54"/>
    <w:rsid w:val="2DBD794B"/>
    <w:rsid w:val="2E6A0DCD"/>
    <w:rsid w:val="2EA80B40"/>
    <w:rsid w:val="2F5D728F"/>
    <w:rsid w:val="2F88156B"/>
    <w:rsid w:val="2FE921F7"/>
    <w:rsid w:val="304E0C8A"/>
    <w:rsid w:val="30A869F2"/>
    <w:rsid w:val="318B2267"/>
    <w:rsid w:val="31B616E0"/>
    <w:rsid w:val="320B2964"/>
    <w:rsid w:val="326F6647"/>
    <w:rsid w:val="32CF56AD"/>
    <w:rsid w:val="32E10921"/>
    <w:rsid w:val="32F14870"/>
    <w:rsid w:val="3308314E"/>
    <w:rsid w:val="33496CB7"/>
    <w:rsid w:val="33512591"/>
    <w:rsid w:val="33BA6ECE"/>
    <w:rsid w:val="33F5263D"/>
    <w:rsid w:val="342A6A27"/>
    <w:rsid w:val="34547575"/>
    <w:rsid w:val="34A7597F"/>
    <w:rsid w:val="350663DF"/>
    <w:rsid w:val="3510022D"/>
    <w:rsid w:val="359C614A"/>
    <w:rsid w:val="35AF3439"/>
    <w:rsid w:val="35EC099F"/>
    <w:rsid w:val="360327D0"/>
    <w:rsid w:val="36440709"/>
    <w:rsid w:val="36857170"/>
    <w:rsid w:val="36970B97"/>
    <w:rsid w:val="37E00FEC"/>
    <w:rsid w:val="382607A7"/>
    <w:rsid w:val="3862043E"/>
    <w:rsid w:val="38815CBD"/>
    <w:rsid w:val="389C7905"/>
    <w:rsid w:val="38B029D5"/>
    <w:rsid w:val="391E5D68"/>
    <w:rsid w:val="393734D5"/>
    <w:rsid w:val="393E67AA"/>
    <w:rsid w:val="39640809"/>
    <w:rsid w:val="3971636A"/>
    <w:rsid w:val="39EB6FB8"/>
    <w:rsid w:val="3A1B2A12"/>
    <w:rsid w:val="3A9011B9"/>
    <w:rsid w:val="3A980D91"/>
    <w:rsid w:val="3B35055F"/>
    <w:rsid w:val="3B750C23"/>
    <w:rsid w:val="3C3A2C89"/>
    <w:rsid w:val="3C4D7A69"/>
    <w:rsid w:val="3CC82E49"/>
    <w:rsid w:val="3CFB49D2"/>
    <w:rsid w:val="3D082D39"/>
    <w:rsid w:val="3D0A1B0B"/>
    <w:rsid w:val="3DA2028F"/>
    <w:rsid w:val="3EC1656B"/>
    <w:rsid w:val="3ED14080"/>
    <w:rsid w:val="3F8E46E4"/>
    <w:rsid w:val="3FAA7C29"/>
    <w:rsid w:val="40384E37"/>
    <w:rsid w:val="4097278E"/>
    <w:rsid w:val="40CB2A44"/>
    <w:rsid w:val="40F179A3"/>
    <w:rsid w:val="41443C8D"/>
    <w:rsid w:val="414D50B1"/>
    <w:rsid w:val="4185372B"/>
    <w:rsid w:val="418B2C01"/>
    <w:rsid w:val="419A1761"/>
    <w:rsid w:val="41D14192"/>
    <w:rsid w:val="43126C1A"/>
    <w:rsid w:val="43902DF3"/>
    <w:rsid w:val="43A65AEB"/>
    <w:rsid w:val="43FE6D40"/>
    <w:rsid w:val="445A5AE3"/>
    <w:rsid w:val="44B107A9"/>
    <w:rsid w:val="455C24D2"/>
    <w:rsid w:val="45C34E0C"/>
    <w:rsid w:val="462C1B51"/>
    <w:rsid w:val="463C3439"/>
    <w:rsid w:val="465945C7"/>
    <w:rsid w:val="466F3FD8"/>
    <w:rsid w:val="46AC7959"/>
    <w:rsid w:val="46F71F0E"/>
    <w:rsid w:val="476D73D9"/>
    <w:rsid w:val="483651E4"/>
    <w:rsid w:val="485E642B"/>
    <w:rsid w:val="48A96880"/>
    <w:rsid w:val="48FA1F37"/>
    <w:rsid w:val="49133ED6"/>
    <w:rsid w:val="499C225B"/>
    <w:rsid w:val="4A2E626D"/>
    <w:rsid w:val="4A4B52B5"/>
    <w:rsid w:val="4AFA4B90"/>
    <w:rsid w:val="4B0C3CEF"/>
    <w:rsid w:val="4B262160"/>
    <w:rsid w:val="4BB817A8"/>
    <w:rsid w:val="4BB847EF"/>
    <w:rsid w:val="4C301F11"/>
    <w:rsid w:val="4C4D7514"/>
    <w:rsid w:val="4C7E3EFD"/>
    <w:rsid w:val="4CC574FA"/>
    <w:rsid w:val="4CCD127D"/>
    <w:rsid w:val="4CFB3CE0"/>
    <w:rsid w:val="4D2E1D74"/>
    <w:rsid w:val="4D302A92"/>
    <w:rsid w:val="4D6D2E4B"/>
    <w:rsid w:val="4DAA1422"/>
    <w:rsid w:val="4DE82905"/>
    <w:rsid w:val="4E5975F2"/>
    <w:rsid w:val="4E694A6E"/>
    <w:rsid w:val="4E7144A1"/>
    <w:rsid w:val="4EF74E2C"/>
    <w:rsid w:val="4F932486"/>
    <w:rsid w:val="4F9B5BD7"/>
    <w:rsid w:val="4FB24E35"/>
    <w:rsid w:val="50A11CE1"/>
    <w:rsid w:val="50A57469"/>
    <w:rsid w:val="510A0E74"/>
    <w:rsid w:val="512343BB"/>
    <w:rsid w:val="513546F9"/>
    <w:rsid w:val="515D3749"/>
    <w:rsid w:val="51E6424E"/>
    <w:rsid w:val="522C1FD0"/>
    <w:rsid w:val="52605A9C"/>
    <w:rsid w:val="52F62453"/>
    <w:rsid w:val="53572DB9"/>
    <w:rsid w:val="539C3C14"/>
    <w:rsid w:val="53EA00FE"/>
    <w:rsid w:val="544E1C64"/>
    <w:rsid w:val="54666A06"/>
    <w:rsid w:val="55327461"/>
    <w:rsid w:val="55570E64"/>
    <w:rsid w:val="556320A1"/>
    <w:rsid w:val="566D702A"/>
    <w:rsid w:val="568E6452"/>
    <w:rsid w:val="57310012"/>
    <w:rsid w:val="57364F45"/>
    <w:rsid w:val="579A74BA"/>
    <w:rsid w:val="57B16FA6"/>
    <w:rsid w:val="580F355F"/>
    <w:rsid w:val="58144BF6"/>
    <w:rsid w:val="586F4D4A"/>
    <w:rsid w:val="589300EC"/>
    <w:rsid w:val="589623CE"/>
    <w:rsid w:val="58D57FA2"/>
    <w:rsid w:val="59825D4A"/>
    <w:rsid w:val="59A95BAF"/>
    <w:rsid w:val="5A20261E"/>
    <w:rsid w:val="5A652A1E"/>
    <w:rsid w:val="5A8108AD"/>
    <w:rsid w:val="5A8A44A1"/>
    <w:rsid w:val="5AC266C0"/>
    <w:rsid w:val="5AFD5532"/>
    <w:rsid w:val="5B1F7F83"/>
    <w:rsid w:val="5B2D7584"/>
    <w:rsid w:val="5BBC4890"/>
    <w:rsid w:val="5BD80E88"/>
    <w:rsid w:val="5BF24678"/>
    <w:rsid w:val="5BF343EC"/>
    <w:rsid w:val="5D231F56"/>
    <w:rsid w:val="5D2F6BB5"/>
    <w:rsid w:val="5D4C11AD"/>
    <w:rsid w:val="5D99654F"/>
    <w:rsid w:val="5DD11DF2"/>
    <w:rsid w:val="5DDF6FE6"/>
    <w:rsid w:val="5DF47873"/>
    <w:rsid w:val="5E09512E"/>
    <w:rsid w:val="5E4F36C8"/>
    <w:rsid w:val="5E535C89"/>
    <w:rsid w:val="5ED63FC2"/>
    <w:rsid w:val="5EE45516"/>
    <w:rsid w:val="5FBE028B"/>
    <w:rsid w:val="5FD46899"/>
    <w:rsid w:val="5FD61FD6"/>
    <w:rsid w:val="60460965"/>
    <w:rsid w:val="6050634D"/>
    <w:rsid w:val="60FA7BF9"/>
    <w:rsid w:val="61354AB5"/>
    <w:rsid w:val="617F742F"/>
    <w:rsid w:val="62016700"/>
    <w:rsid w:val="621E2E05"/>
    <w:rsid w:val="621E3C58"/>
    <w:rsid w:val="622E5D39"/>
    <w:rsid w:val="63124DBD"/>
    <w:rsid w:val="635903D4"/>
    <w:rsid w:val="63DF1C24"/>
    <w:rsid w:val="64583972"/>
    <w:rsid w:val="646B5557"/>
    <w:rsid w:val="649E42AD"/>
    <w:rsid w:val="65B36EF1"/>
    <w:rsid w:val="65C97F87"/>
    <w:rsid w:val="65E60C0C"/>
    <w:rsid w:val="6604027D"/>
    <w:rsid w:val="66946F47"/>
    <w:rsid w:val="677036EC"/>
    <w:rsid w:val="682E2769"/>
    <w:rsid w:val="684510B6"/>
    <w:rsid w:val="698332BA"/>
    <w:rsid w:val="6A4D37F6"/>
    <w:rsid w:val="6A970962"/>
    <w:rsid w:val="6A9E47C4"/>
    <w:rsid w:val="6AAE5576"/>
    <w:rsid w:val="6ABD6C3B"/>
    <w:rsid w:val="6AF76ABC"/>
    <w:rsid w:val="6AFD23D9"/>
    <w:rsid w:val="6B1245A1"/>
    <w:rsid w:val="6B23775C"/>
    <w:rsid w:val="6B5D6B38"/>
    <w:rsid w:val="6BE373CC"/>
    <w:rsid w:val="6C2966F6"/>
    <w:rsid w:val="6C5E5250"/>
    <w:rsid w:val="6CCA0C5F"/>
    <w:rsid w:val="6D266852"/>
    <w:rsid w:val="6DB22AE5"/>
    <w:rsid w:val="6E4D7C1E"/>
    <w:rsid w:val="6EA35A1F"/>
    <w:rsid w:val="6EAA3D3E"/>
    <w:rsid w:val="6ED004D7"/>
    <w:rsid w:val="6ED256FD"/>
    <w:rsid w:val="6EE131BA"/>
    <w:rsid w:val="6F74423D"/>
    <w:rsid w:val="6FFB381D"/>
    <w:rsid w:val="702068F6"/>
    <w:rsid w:val="70F76756"/>
    <w:rsid w:val="7114779B"/>
    <w:rsid w:val="712868A1"/>
    <w:rsid w:val="7130783B"/>
    <w:rsid w:val="71562100"/>
    <w:rsid w:val="729A79A5"/>
    <w:rsid w:val="72C316BB"/>
    <w:rsid w:val="72DC013B"/>
    <w:rsid w:val="72F06AFF"/>
    <w:rsid w:val="73A34DC1"/>
    <w:rsid w:val="73D87888"/>
    <w:rsid w:val="73D918B9"/>
    <w:rsid w:val="73E170BF"/>
    <w:rsid w:val="73F8417D"/>
    <w:rsid w:val="741E53F6"/>
    <w:rsid w:val="743C7B32"/>
    <w:rsid w:val="74457D7C"/>
    <w:rsid w:val="74802AB9"/>
    <w:rsid w:val="74873A10"/>
    <w:rsid w:val="74886293"/>
    <w:rsid w:val="754B5B39"/>
    <w:rsid w:val="75A9354E"/>
    <w:rsid w:val="75BA0406"/>
    <w:rsid w:val="75EB06EF"/>
    <w:rsid w:val="761B655E"/>
    <w:rsid w:val="77663D48"/>
    <w:rsid w:val="779E2B03"/>
    <w:rsid w:val="780E4B1D"/>
    <w:rsid w:val="78FB0FDD"/>
    <w:rsid w:val="793B19EB"/>
    <w:rsid w:val="797040F2"/>
    <w:rsid w:val="79AC2BF1"/>
    <w:rsid w:val="7A454801"/>
    <w:rsid w:val="7A7F36F1"/>
    <w:rsid w:val="7B244D46"/>
    <w:rsid w:val="7BA3543B"/>
    <w:rsid w:val="7BE37341"/>
    <w:rsid w:val="7CA705F6"/>
    <w:rsid w:val="7CCD2795"/>
    <w:rsid w:val="7D2D0BB7"/>
    <w:rsid w:val="7D302A5E"/>
    <w:rsid w:val="7D4714A3"/>
    <w:rsid w:val="7D4C0316"/>
    <w:rsid w:val="7DFB469E"/>
    <w:rsid w:val="7E8C52A1"/>
    <w:rsid w:val="7EBF04C4"/>
    <w:rsid w:val="7F3F61EA"/>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0">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paragraph" w:styleId="4">
    <w:name w:val="Body Text"/>
    <w:basedOn w:val="1"/>
    <w:next w:val="1"/>
    <w:qFormat/>
    <w:uiPriority w:val="0"/>
    <w:pPr>
      <w:spacing w:after="120"/>
    </w:pPr>
    <w:rPr>
      <w:rFonts w:ascii="Times New Roman" w:hAnsi="Times New Roman"/>
      <w:szCs w:val="24"/>
    </w:rPr>
  </w:style>
  <w:style w:type="paragraph" w:styleId="5">
    <w:name w:val="Plain Text"/>
    <w:basedOn w:val="1"/>
    <w:qFormat/>
    <w:uiPriority w:val="0"/>
    <w:rPr>
      <w:rFonts w:ascii="宋体" w:hAnsi="Courier New" w:eastAsia="宋体" w:cs="Times New Roman"/>
      <w:kern w:val="0"/>
      <w:sz w:val="20"/>
      <w:szCs w:val="21"/>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qFormat/>
    <w:uiPriority w:val="0"/>
    <w:pPr>
      <w:adjustRightInd w:val="0"/>
      <w:snapToGrid w:val="0"/>
    </w:pPr>
    <w:rPr>
      <w:rFonts w:ascii="Times New Roman" w:hAnsi="Times New Roman" w:eastAsia="仿宋" w:cs="Times New Roman"/>
      <w:szCs w:val="24"/>
    </w:rPr>
  </w:style>
  <w:style w:type="paragraph" w:styleId="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1">
    <w:name w:val="page number"/>
    <w:basedOn w:val="10"/>
    <w:qFormat/>
    <w:uiPriority w:val="0"/>
  </w:style>
  <w:style w:type="paragraph" w:customStyle="1" w:styleId="13">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4">
    <w:name w:val="_Style 3"/>
    <w:basedOn w:val="1"/>
    <w:qFormat/>
    <w:uiPriority w:val="0"/>
    <w:pPr>
      <w:ind w:firstLine="420" w:firstLineChars="200"/>
    </w:pPr>
    <w:rPr>
      <w:szCs w:val="20"/>
    </w:rPr>
  </w:style>
  <w:style w:type="paragraph" w:customStyle="1" w:styleId="15">
    <w:name w:val="列出段落1"/>
    <w:basedOn w:val="1"/>
    <w:unhideWhenUsed/>
    <w:qFormat/>
    <w:uiPriority w:val="99"/>
    <w:pPr>
      <w:ind w:firstLine="420" w:firstLineChars="200"/>
    </w:pPr>
    <w:rPr>
      <w:rFonts w:ascii="Calibri" w:hAnsi="Calibri" w:eastAsia="宋体" w:cs="Times New Roman"/>
    </w:rPr>
  </w:style>
  <w:style w:type="paragraph" w:customStyle="1" w:styleId="16">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17">
    <w:name w:val="样式 样式1 + 首行缩进:  2 字符"/>
    <w:basedOn w:val="1"/>
    <w:qFormat/>
    <w:uiPriority w:val="0"/>
    <w:pPr>
      <w:spacing w:line="360" w:lineRule="exact"/>
      <w:ind w:firstLine="420" w:firstLineChars="200"/>
    </w:pPr>
    <w:rPr>
      <w:rFonts w:ascii="Arial" w:hAnsi="Arial"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3558</Words>
  <Characters>20285</Characters>
  <Lines>169</Lines>
  <Paragraphs>47</Paragraphs>
  <ScaleCrop>false</ScaleCrop>
  <LinksUpToDate>false</LinksUpToDate>
  <CharactersWithSpaces>23796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2023-02-16T07:58:24Z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9827B782D2C44DD98ED7AB2082A6BD59</vt:lpwstr>
  </property>
</Properties>
</file>