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1" w:name="_GoBack"/>
      <w:bookmarkStart w:id="0" w:name="_Toc422638509"/>
      <w:r>
        <w:rPr>
          <w:rFonts w:hint="eastAsia"/>
          <w:color w:val="000000" w:themeColor="text1"/>
          <w:lang w:val="en-US" w:eastAsia="zh-CN"/>
          <w14:textFill>
            <w14:solidFill>
              <w14:schemeClr w14:val="tx1"/>
            </w14:solidFill>
          </w14:textFill>
        </w:rPr>
        <w:t>2023年物流公司磅秤维保</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杭州萧山国际机场航空物流有限公司就2023年磅秤维保项目进行公开询价，欢迎符合资格要求的维修商参与投标。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12"/>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57</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0"/>
        </w:numPr>
        <w:adjustRightInd w:val="0"/>
        <w:snapToGrid w:val="0"/>
        <w:spacing w:line="360" w:lineRule="exac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（3）具备磅秤生产或维修资质，本项目维修服务人员不少于两人。</w:t>
      </w:r>
    </w:p>
    <w:p>
      <w:pPr>
        <w:widowControl/>
        <w:numPr>
          <w:ilvl w:val="0"/>
          <w:numId w:val="0"/>
        </w:numPr>
        <w:adjustRightInd w:val="0"/>
        <w:snapToGrid w:val="0"/>
        <w:spacing w:line="360" w:lineRule="exact"/>
        <w:rPr>
          <w:rFonts w:hint="eastAsia" w:asciiTheme="minorEastAsia" w:hAnsiTheme="minorEastAsia" w:eastAsiaTheme="minorEastAsia" w:cstheme="minorEastAsia"/>
          <w:color w:val="FF0000"/>
          <w:kern w:val="0"/>
          <w:sz w:val="20"/>
          <w:szCs w:val="20"/>
          <w:lang w:val="en-US" w:eastAsia="zh-CN"/>
        </w:rPr>
      </w:pP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7</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2023年磅秤维保项目投标文件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 xml:space="preserve"> 7</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 xml:space="preserve"> 7</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2023年磅秤维保项目投标文件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bookmarkEnd w:id="1"/>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11"/>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Layout w:type="fixed"/>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Layout w:type="fixed"/>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凯士27台，科杰7台，杭鼎23台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57</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72</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2023年磅秤维修维保合同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tbl>
      <w:tblPr>
        <w:tblStyle w:val="12"/>
        <w:tblpPr w:leftFromText="180" w:rightFromText="180" w:vertAnchor="text" w:horzAnchor="page" w:tblpX="1796" w:tblpY="48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杭州杭鼎6台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8522" w:type="dxa"/>
            <w:gridSpan w:val="5"/>
            <w:shd w:val="clear" w:color="auto" w:fill="auto"/>
            <w:textDirection w:val="lrTb"/>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本合同金额为</w:t>
      </w:r>
      <w:r>
        <w:rPr>
          <w:rFonts w:hint="eastAsia" w:ascii="仿宋" w:hAnsi="仿宋" w:eastAsia="仿宋" w:cs="仿宋"/>
          <w:b/>
          <w:bCs/>
          <w:sz w:val="28"/>
          <w:szCs w:val="28"/>
          <w:lang w:val="en-US" w:eastAsia="zh-CN"/>
        </w:rPr>
        <w:t>预估</w:t>
      </w:r>
      <w:r>
        <w:rPr>
          <w:rFonts w:hint="eastAsia" w:ascii="仿宋" w:hAnsi="仿宋" w:eastAsia="仿宋" w:cs="仿宋"/>
          <w:b/>
          <w:bCs/>
          <w:sz w:val="28"/>
          <w:szCs w:val="28"/>
        </w:rPr>
        <w:t>总价</w:t>
      </w:r>
      <w:r>
        <w:rPr>
          <w:rFonts w:hint="eastAsia" w:ascii="仿宋" w:hAnsi="仿宋" w:eastAsia="仿宋" w:cs="仿宋"/>
          <w:sz w:val="28"/>
          <w:szCs w:val="28"/>
        </w:rPr>
        <w:t>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人民币    ，（小写）¥       </w:t>
      </w:r>
      <w:r>
        <w:rPr>
          <w:rFonts w:hint="eastAsia" w:ascii="仿宋" w:hAnsi="仿宋" w:eastAsia="仿宋" w:cs="仿宋"/>
          <w:sz w:val="28"/>
          <w:szCs w:val="28"/>
          <w:lang w:eastAsia="zh-CN"/>
        </w:rPr>
        <w:t>。</w:t>
      </w:r>
      <w:r>
        <w:rPr>
          <w:rFonts w:hint="eastAsia" w:ascii="仿宋" w:hAnsi="仿宋" w:eastAsia="仿宋" w:cs="仿宋"/>
          <w:sz w:val="28"/>
          <w:szCs w:val="28"/>
        </w:rPr>
        <w:t>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b/>
          <w:bCs/>
          <w:sz w:val="28"/>
          <w:szCs w:val="28"/>
          <w:lang w:val="en-US" w:eastAsia="zh-CN"/>
        </w:rPr>
        <w:t>甲方磅秤设备年检维修费用，甲乙双方按实际发生数量结算。</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提供一年一次的代办年检服务（物流公司在册磅秤）。</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w:t>
      </w:r>
      <w:r>
        <w:rPr>
          <w:rFonts w:hint="eastAsia" w:ascii="仿宋" w:hAnsi="仿宋" w:eastAsia="仿宋" w:cs="仿宋"/>
          <w:b/>
          <w:bCs/>
          <w:sz w:val="28"/>
          <w:szCs w:val="28"/>
          <w:lang w:val="en-US" w:eastAsia="zh-CN"/>
        </w:rPr>
        <w:t>出具维保清单并按实际发生数量</w:t>
      </w:r>
      <w:r>
        <w:rPr>
          <w:rFonts w:hint="eastAsia" w:ascii="仿宋" w:hAnsi="仿宋" w:eastAsia="仿宋" w:cs="仿宋"/>
          <w:sz w:val="28"/>
          <w:szCs w:val="28"/>
          <w:lang w:val="en-US" w:eastAsia="zh-CN"/>
        </w:rPr>
        <w:t>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本合同期满后双方无异议自动顺延一年</w:t>
      </w:r>
      <w:r>
        <w:rPr>
          <w:rFonts w:hint="eastAsia" w:ascii="仿宋" w:hAnsi="仿宋" w:eastAsia="仿宋" w:cs="仿宋"/>
          <w:sz w:val="28"/>
          <w:szCs w:val="28"/>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w:t>
      </w:r>
      <w:r>
        <w:rPr>
          <w:rFonts w:hint="eastAsia" w:ascii="仿宋" w:hAnsi="仿宋" w:eastAsia="仿宋" w:cs="仿宋"/>
          <w:sz w:val="28"/>
          <w:szCs w:val="28"/>
          <w:lang w:val="en-US" w:eastAsia="zh-CN"/>
        </w:rPr>
        <w:t>民</w:t>
      </w:r>
      <w:r>
        <w:rPr>
          <w:rFonts w:hint="eastAsia" w:ascii="仿宋" w:hAnsi="仿宋" w:eastAsia="仿宋" w:cs="仿宋"/>
          <w:sz w:val="28"/>
          <w:szCs w:val="28"/>
        </w:rPr>
        <w:t>法</w:t>
      </w:r>
      <w:r>
        <w:rPr>
          <w:rFonts w:hint="eastAsia" w:ascii="仿宋" w:hAnsi="仿宋" w:eastAsia="仿宋" w:cs="仿宋"/>
          <w:sz w:val="28"/>
          <w:szCs w:val="28"/>
          <w:lang w:val="en-US" w:eastAsia="zh-CN"/>
        </w:rPr>
        <w:t>典</w:t>
      </w:r>
      <w:r>
        <w:rPr>
          <w:rFonts w:hint="eastAsia" w:ascii="仿宋" w:hAnsi="仿宋" w:eastAsia="仿宋" w:cs="仿宋"/>
          <w:sz w:val="28"/>
          <w:szCs w:val="28"/>
        </w:rPr>
        <w:t>》及有关法律法规执行。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9E6248E"/>
    <w:rsid w:val="0A9C31A9"/>
    <w:rsid w:val="0BF46360"/>
    <w:rsid w:val="0D7F092B"/>
    <w:rsid w:val="0D973175"/>
    <w:rsid w:val="0DBE5CDC"/>
    <w:rsid w:val="0FE24E91"/>
    <w:rsid w:val="12C612F2"/>
    <w:rsid w:val="153109EC"/>
    <w:rsid w:val="15E30877"/>
    <w:rsid w:val="15F769BC"/>
    <w:rsid w:val="16B850C2"/>
    <w:rsid w:val="17194297"/>
    <w:rsid w:val="186E011E"/>
    <w:rsid w:val="18B1393C"/>
    <w:rsid w:val="19666B6F"/>
    <w:rsid w:val="1A6A2EE7"/>
    <w:rsid w:val="1A6D6442"/>
    <w:rsid w:val="1A9A4D52"/>
    <w:rsid w:val="1ADB2FC2"/>
    <w:rsid w:val="1D0D10CE"/>
    <w:rsid w:val="1FB11AAA"/>
    <w:rsid w:val="22B46179"/>
    <w:rsid w:val="24970EBB"/>
    <w:rsid w:val="24C869BE"/>
    <w:rsid w:val="284A05B2"/>
    <w:rsid w:val="29EC59D1"/>
    <w:rsid w:val="2B6A1D00"/>
    <w:rsid w:val="2F606974"/>
    <w:rsid w:val="2FDE74CA"/>
    <w:rsid w:val="30232CF5"/>
    <w:rsid w:val="33286045"/>
    <w:rsid w:val="33692F01"/>
    <w:rsid w:val="349C08A5"/>
    <w:rsid w:val="361B0AFB"/>
    <w:rsid w:val="367E260B"/>
    <w:rsid w:val="373500E6"/>
    <w:rsid w:val="389244CE"/>
    <w:rsid w:val="3A3942E3"/>
    <w:rsid w:val="3E490FDD"/>
    <w:rsid w:val="3F3305AA"/>
    <w:rsid w:val="3F7A3181"/>
    <w:rsid w:val="42367794"/>
    <w:rsid w:val="4258041D"/>
    <w:rsid w:val="4435725A"/>
    <w:rsid w:val="48884197"/>
    <w:rsid w:val="495F104A"/>
    <w:rsid w:val="4B4B7CE3"/>
    <w:rsid w:val="4BD55DB5"/>
    <w:rsid w:val="4C967851"/>
    <w:rsid w:val="4EE16765"/>
    <w:rsid w:val="50D146C2"/>
    <w:rsid w:val="511571DC"/>
    <w:rsid w:val="52402607"/>
    <w:rsid w:val="53B40E56"/>
    <w:rsid w:val="53C83827"/>
    <w:rsid w:val="55FE3816"/>
    <w:rsid w:val="570B36D3"/>
    <w:rsid w:val="5B28575B"/>
    <w:rsid w:val="602B0441"/>
    <w:rsid w:val="624845BF"/>
    <w:rsid w:val="62520E83"/>
    <w:rsid w:val="626F5621"/>
    <w:rsid w:val="6951581B"/>
    <w:rsid w:val="6C2415CD"/>
    <w:rsid w:val="72124BA0"/>
    <w:rsid w:val="72D70F2F"/>
    <w:rsid w:val="775E5A6A"/>
    <w:rsid w:val="78203ACA"/>
    <w:rsid w:val="78583FAC"/>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2021-01-12T02:23:00Z</cp:lastPrinted>
  <dcterms:modified xsi:type="dcterms:W3CDTF">2023-07-04T09:24:18Z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