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utoSpaceDE w:val="0"/>
        <w:autoSpaceDN w:val="0"/>
        <w:spacing w:line="360" w:lineRule="auto"/>
        <w:jc w:val="center"/>
        <w:textAlignment w:val="bottom"/>
        <w:rPr>
          <w:rFonts w:hint="eastAsia" w:ascii="黑体" w:hAnsi="黑体" w:eastAsia="黑体"/>
          <w:b/>
          <w:sz w:val="52"/>
          <w:szCs w:val="52"/>
          <w:highlight w:val="none"/>
        </w:rPr>
      </w:pPr>
    </w:p>
    <w:p>
      <w:pPr>
        <w:widowControl/>
        <w:autoSpaceDE w:val="0"/>
        <w:autoSpaceDN w:val="0"/>
        <w:spacing w:line="360" w:lineRule="auto"/>
        <w:jc w:val="center"/>
        <w:textAlignment w:val="bottom"/>
        <w:rPr>
          <w:rFonts w:hint="eastAsia" w:ascii="黑体" w:hAnsi="黑体" w:eastAsia="黑体"/>
          <w:b/>
          <w:sz w:val="52"/>
          <w:szCs w:val="52"/>
          <w:highlight w:val="none"/>
        </w:rPr>
      </w:pPr>
    </w:p>
    <w:p>
      <w:pPr>
        <w:widowControl/>
        <w:autoSpaceDE w:val="0"/>
        <w:autoSpaceDN w:val="0"/>
        <w:spacing w:line="360" w:lineRule="auto"/>
        <w:jc w:val="center"/>
        <w:textAlignment w:val="bottom"/>
        <w:rPr>
          <w:rFonts w:hint="eastAsia" w:ascii="黑体" w:hAnsi="黑体" w:eastAsia="黑体"/>
          <w:b/>
          <w:sz w:val="52"/>
          <w:szCs w:val="52"/>
          <w:highlight w:val="none"/>
        </w:rPr>
      </w:pPr>
    </w:p>
    <w:p>
      <w:pPr>
        <w:widowControl/>
        <w:autoSpaceDE w:val="0"/>
        <w:autoSpaceDN w:val="0"/>
        <w:spacing w:line="360" w:lineRule="auto"/>
        <w:jc w:val="center"/>
        <w:textAlignment w:val="bottom"/>
        <w:rPr>
          <w:rFonts w:ascii="黑体" w:hAnsi="黑体" w:eastAsia="黑体"/>
          <w:sz w:val="52"/>
          <w:szCs w:val="52"/>
          <w:highlight w:val="none"/>
        </w:rPr>
      </w:pPr>
      <w:r>
        <w:rPr>
          <w:rFonts w:hint="eastAsia" w:ascii="黑体" w:hAnsi="黑体" w:eastAsia="黑体"/>
          <w:b/>
          <w:sz w:val="52"/>
          <w:szCs w:val="52"/>
          <w:highlight w:val="none"/>
        </w:rPr>
        <w:t>杭州萧山国际机场</w:t>
      </w:r>
      <w:r>
        <w:rPr>
          <w:rFonts w:hint="eastAsia" w:ascii="黑体" w:hAnsi="黑体" w:eastAsia="黑体"/>
          <w:b/>
          <w:sz w:val="52"/>
          <w:szCs w:val="52"/>
          <w:highlight w:val="none"/>
          <w:lang w:eastAsia="zh-CN"/>
        </w:rPr>
        <w:t>T3航站楼值机岛开包间后端增加隔断项目</w:t>
      </w:r>
      <w:r>
        <w:rPr>
          <w:rFonts w:ascii="黑体" w:hAnsi="黑体" w:eastAsia="黑体"/>
          <w:b/>
          <w:sz w:val="52"/>
          <w:szCs w:val="52"/>
          <w:highlight w:val="none"/>
        </w:rPr>
        <w:t>招标文件</w:t>
      </w:r>
    </w:p>
    <w:p>
      <w:pPr>
        <w:widowControl/>
        <w:autoSpaceDE w:val="0"/>
        <w:autoSpaceDN w:val="0"/>
        <w:snapToGrid w:val="0"/>
        <w:spacing w:line="560" w:lineRule="exact"/>
        <w:jc w:val="center"/>
        <w:textAlignment w:val="bottom"/>
        <w:rPr>
          <w:rFonts w:ascii="宋体" w:hAnsi="宋体"/>
          <w:b/>
          <w:sz w:val="44"/>
          <w:szCs w:val="44"/>
          <w:highlight w:val="none"/>
        </w:rPr>
      </w:pPr>
    </w:p>
    <w:p>
      <w:pPr>
        <w:widowControl/>
        <w:autoSpaceDE w:val="0"/>
        <w:autoSpaceDN w:val="0"/>
        <w:snapToGrid w:val="0"/>
        <w:spacing w:line="560" w:lineRule="exact"/>
        <w:jc w:val="center"/>
        <w:textAlignment w:val="bottom"/>
        <w:rPr>
          <w:rFonts w:ascii="宋体" w:hAnsi="宋体"/>
          <w:b/>
          <w:sz w:val="44"/>
          <w:szCs w:val="44"/>
          <w:highlight w:val="none"/>
        </w:rPr>
      </w:pPr>
    </w:p>
    <w:p>
      <w:pPr>
        <w:widowControl/>
        <w:autoSpaceDE w:val="0"/>
        <w:autoSpaceDN w:val="0"/>
        <w:snapToGrid w:val="0"/>
        <w:spacing w:line="560" w:lineRule="exact"/>
        <w:jc w:val="center"/>
        <w:textAlignment w:val="bottom"/>
        <w:rPr>
          <w:rFonts w:ascii="宋体" w:hAnsi="宋体"/>
          <w:b/>
          <w:sz w:val="44"/>
          <w:szCs w:val="44"/>
          <w:highlight w:val="none"/>
        </w:rPr>
      </w:pPr>
    </w:p>
    <w:p>
      <w:pPr>
        <w:widowControl/>
        <w:autoSpaceDE w:val="0"/>
        <w:autoSpaceDN w:val="0"/>
        <w:snapToGrid w:val="0"/>
        <w:spacing w:line="560" w:lineRule="exact"/>
        <w:jc w:val="center"/>
        <w:textAlignment w:val="bottom"/>
        <w:rPr>
          <w:rFonts w:ascii="宋体" w:hAnsi="宋体"/>
          <w:b/>
          <w:sz w:val="44"/>
          <w:szCs w:val="44"/>
          <w:highlight w:val="none"/>
        </w:rPr>
      </w:pPr>
    </w:p>
    <w:p>
      <w:pPr>
        <w:widowControl/>
        <w:autoSpaceDE w:val="0"/>
        <w:autoSpaceDN w:val="0"/>
        <w:snapToGrid w:val="0"/>
        <w:spacing w:line="560" w:lineRule="exact"/>
        <w:jc w:val="center"/>
        <w:textAlignment w:val="bottom"/>
        <w:rPr>
          <w:rFonts w:ascii="宋体" w:hAnsi="宋体"/>
          <w:b/>
          <w:sz w:val="44"/>
          <w:szCs w:val="44"/>
          <w:highlight w:val="none"/>
        </w:rPr>
      </w:pPr>
    </w:p>
    <w:p>
      <w:pPr>
        <w:widowControl/>
        <w:autoSpaceDE w:val="0"/>
        <w:autoSpaceDN w:val="0"/>
        <w:snapToGrid w:val="0"/>
        <w:spacing w:line="560" w:lineRule="exact"/>
        <w:jc w:val="center"/>
        <w:textAlignment w:val="bottom"/>
        <w:rPr>
          <w:rFonts w:ascii="宋体" w:hAnsi="宋体"/>
          <w:b/>
          <w:sz w:val="44"/>
          <w:szCs w:val="44"/>
          <w:highlight w:val="none"/>
        </w:rPr>
      </w:pPr>
    </w:p>
    <w:p>
      <w:pPr>
        <w:widowControl/>
        <w:autoSpaceDE w:val="0"/>
        <w:autoSpaceDN w:val="0"/>
        <w:snapToGrid w:val="0"/>
        <w:spacing w:line="560" w:lineRule="exact"/>
        <w:jc w:val="center"/>
        <w:textAlignment w:val="bottom"/>
        <w:rPr>
          <w:rFonts w:ascii="宋体" w:hAnsi="宋体"/>
          <w:b/>
          <w:sz w:val="44"/>
          <w:szCs w:val="44"/>
          <w:highlight w:val="none"/>
        </w:rPr>
      </w:pPr>
    </w:p>
    <w:p>
      <w:pPr>
        <w:widowControl/>
        <w:autoSpaceDE w:val="0"/>
        <w:autoSpaceDN w:val="0"/>
        <w:snapToGrid w:val="0"/>
        <w:spacing w:line="560" w:lineRule="exact"/>
        <w:jc w:val="center"/>
        <w:textAlignment w:val="bottom"/>
        <w:rPr>
          <w:rFonts w:ascii="宋体" w:hAnsi="宋体"/>
          <w:b/>
          <w:sz w:val="44"/>
          <w:szCs w:val="44"/>
          <w:highlight w:val="none"/>
        </w:rPr>
      </w:pPr>
    </w:p>
    <w:p>
      <w:pPr>
        <w:widowControl/>
        <w:autoSpaceDE w:val="0"/>
        <w:autoSpaceDN w:val="0"/>
        <w:snapToGrid w:val="0"/>
        <w:spacing w:line="560" w:lineRule="exact"/>
        <w:jc w:val="center"/>
        <w:textAlignment w:val="bottom"/>
        <w:rPr>
          <w:rFonts w:ascii="宋体" w:hAnsi="宋体"/>
          <w:b/>
          <w:sz w:val="44"/>
          <w:szCs w:val="44"/>
          <w:highlight w:val="none"/>
        </w:rPr>
      </w:pPr>
    </w:p>
    <w:p>
      <w:pPr>
        <w:widowControl/>
        <w:autoSpaceDE w:val="0"/>
        <w:autoSpaceDN w:val="0"/>
        <w:snapToGrid w:val="0"/>
        <w:spacing w:line="560" w:lineRule="exact"/>
        <w:jc w:val="center"/>
        <w:textAlignment w:val="bottom"/>
        <w:rPr>
          <w:rFonts w:ascii="宋体" w:hAnsi="宋体"/>
          <w:b/>
          <w:sz w:val="44"/>
          <w:szCs w:val="44"/>
          <w:highlight w:val="none"/>
        </w:rPr>
      </w:pPr>
    </w:p>
    <w:p>
      <w:pPr>
        <w:widowControl/>
        <w:autoSpaceDE w:val="0"/>
        <w:autoSpaceDN w:val="0"/>
        <w:snapToGrid w:val="0"/>
        <w:spacing w:line="560" w:lineRule="exact"/>
        <w:jc w:val="center"/>
        <w:textAlignment w:val="bottom"/>
        <w:rPr>
          <w:rFonts w:ascii="宋体" w:hAnsi="宋体"/>
          <w:b/>
          <w:sz w:val="44"/>
          <w:szCs w:val="44"/>
          <w:highlight w:val="none"/>
        </w:rPr>
      </w:pPr>
    </w:p>
    <w:p>
      <w:pPr>
        <w:spacing w:line="560" w:lineRule="exact"/>
        <w:jc w:val="center"/>
        <w:rPr>
          <w:rFonts w:eastAsia="黑体" w:cs="Calibri"/>
          <w:sz w:val="32"/>
          <w:szCs w:val="32"/>
          <w:highlight w:val="none"/>
        </w:rPr>
      </w:pPr>
      <w:r>
        <w:rPr>
          <w:rFonts w:hint="eastAsia" w:eastAsia="黑体" w:cs="Calibri"/>
          <w:sz w:val="32"/>
          <w:szCs w:val="32"/>
          <w:highlight w:val="none"/>
        </w:rPr>
        <w:t>杭州萧山国际机场有限公司</w:t>
      </w:r>
    </w:p>
    <w:p>
      <w:pPr>
        <w:pStyle w:val="9"/>
        <w:spacing w:line="560" w:lineRule="exact"/>
        <w:jc w:val="center"/>
        <w:rPr>
          <w:rFonts w:ascii="Calibri" w:hAnsi="Calibri" w:eastAsia="楷体_GB2312" w:cs="Calibri"/>
          <w:sz w:val="24"/>
          <w:szCs w:val="24"/>
          <w:highlight w:val="none"/>
          <w:u w:val="single"/>
        </w:rPr>
      </w:pPr>
      <w:r>
        <w:rPr>
          <w:rFonts w:hint="eastAsia" w:ascii="Calibri" w:hAnsi="Calibri" w:eastAsia="黑体" w:cs="Calibri"/>
          <w:sz w:val="32"/>
          <w:szCs w:val="32"/>
          <w:highlight w:val="none"/>
        </w:rPr>
        <w:t>二</w:t>
      </w:r>
      <w:r>
        <w:rPr>
          <w:rFonts w:hint="eastAsia" w:ascii="黑体" w:hAnsi="黑体" w:eastAsia="黑体" w:cs="Calibri"/>
          <w:sz w:val="32"/>
          <w:szCs w:val="32"/>
          <w:highlight w:val="none"/>
        </w:rPr>
        <w:t>Ο</w:t>
      </w:r>
      <w:r>
        <w:rPr>
          <w:rFonts w:hint="eastAsia" w:ascii="Calibri" w:hAnsi="Calibri" w:eastAsia="黑体" w:cs="Calibri"/>
          <w:sz w:val="32"/>
          <w:szCs w:val="32"/>
          <w:highlight w:val="none"/>
        </w:rPr>
        <w:t>二</w:t>
      </w:r>
      <w:r>
        <w:rPr>
          <w:rFonts w:hint="eastAsia" w:ascii="Calibri" w:hAnsi="Calibri" w:eastAsia="黑体" w:cs="Calibri"/>
          <w:sz w:val="32"/>
          <w:szCs w:val="32"/>
          <w:highlight w:val="none"/>
          <w:lang w:val="en-US" w:eastAsia="zh-CN"/>
        </w:rPr>
        <w:t>四</w:t>
      </w:r>
      <w:r>
        <w:rPr>
          <w:rFonts w:hint="eastAsia" w:ascii="Calibri" w:hAnsi="Calibri" w:eastAsia="黑体" w:cs="Calibri"/>
          <w:sz w:val="32"/>
          <w:szCs w:val="32"/>
          <w:highlight w:val="none"/>
        </w:rPr>
        <w:t>年</w:t>
      </w:r>
      <w:r>
        <w:rPr>
          <w:rFonts w:hint="eastAsia" w:ascii="Calibri" w:hAnsi="Calibri" w:eastAsia="黑体" w:cs="Calibri"/>
          <w:sz w:val="32"/>
          <w:szCs w:val="32"/>
          <w:highlight w:val="none"/>
          <w:u w:val="single"/>
        </w:rPr>
        <w:t xml:space="preserve"> </w:t>
      </w:r>
      <w:r>
        <w:rPr>
          <w:rFonts w:hint="eastAsia" w:ascii="Calibri" w:hAnsi="Calibri" w:eastAsia="黑体" w:cs="Calibri"/>
          <w:sz w:val="32"/>
          <w:szCs w:val="32"/>
          <w:highlight w:val="none"/>
          <w:u w:val="single"/>
          <w:lang w:val="en-US" w:eastAsia="zh-CN"/>
        </w:rPr>
        <w:t>一</w:t>
      </w:r>
      <w:r>
        <w:rPr>
          <w:rFonts w:hint="eastAsia" w:ascii="Calibri" w:hAnsi="Calibri" w:eastAsia="黑体" w:cs="Calibri"/>
          <w:sz w:val="32"/>
          <w:szCs w:val="32"/>
          <w:highlight w:val="none"/>
          <w:u w:val="single"/>
        </w:rPr>
        <w:t xml:space="preserve"> </w:t>
      </w:r>
      <w:r>
        <w:rPr>
          <w:rFonts w:ascii="Calibri" w:hAnsi="Calibri" w:eastAsia="黑体" w:cs="Calibri"/>
          <w:sz w:val="32"/>
          <w:szCs w:val="32"/>
          <w:highlight w:val="none"/>
        </w:rPr>
        <w:t>月</w:t>
      </w:r>
    </w:p>
    <w:p>
      <w:pPr>
        <w:snapToGrid w:val="0"/>
        <w:spacing w:line="560" w:lineRule="exact"/>
        <w:jc w:val="center"/>
        <w:rPr>
          <w:rFonts w:ascii="宋体" w:hAnsi="宋体"/>
          <w:b/>
          <w:bCs/>
          <w:sz w:val="32"/>
          <w:szCs w:val="32"/>
          <w:highlight w:val="none"/>
        </w:rPr>
      </w:pPr>
    </w:p>
    <w:p>
      <w:pPr>
        <w:spacing w:line="560" w:lineRule="exact"/>
        <w:jc w:val="center"/>
        <w:rPr>
          <w:b/>
          <w:highlight w:val="none"/>
        </w:rPr>
      </w:pPr>
    </w:p>
    <w:p>
      <w:pPr>
        <w:spacing w:line="560" w:lineRule="exact"/>
        <w:jc w:val="center"/>
        <w:rPr>
          <w:b/>
          <w:bCs/>
          <w:sz w:val="44"/>
          <w:szCs w:val="44"/>
          <w:highlight w:val="none"/>
        </w:rPr>
        <w:sectPr>
          <w:headerReference r:id="rId3" w:type="default"/>
          <w:footerReference r:id="rId4" w:type="default"/>
          <w:footerReference r:id="rId5" w:type="even"/>
          <w:pgSz w:w="11907" w:h="16840"/>
          <w:pgMar w:top="1440" w:right="1080" w:bottom="1440" w:left="1080" w:header="567" w:footer="567" w:gutter="0"/>
          <w:pgNumType w:fmt="decimal"/>
          <w:cols w:space="720" w:num="1"/>
        </w:sectPr>
      </w:pPr>
    </w:p>
    <w:sdt>
      <w:sdtPr>
        <w:rPr>
          <w:rFonts w:ascii="宋体" w:hAnsi="宋体" w:eastAsia="宋体"/>
          <w:highlight w:val="none"/>
        </w:rPr>
        <w:id w:val="147480402"/>
        <w15:color w:val="DBDBDB"/>
      </w:sdtPr>
      <w:sdtEndPr>
        <w:rPr>
          <w:rFonts w:asciiTheme="minorHAnsi" w:hAnsiTheme="minorHAnsi" w:eastAsiaTheme="minorEastAsia"/>
          <w:bCs/>
          <w:szCs w:val="44"/>
          <w:highlight w:val="none"/>
        </w:rPr>
      </w:sdtEndPr>
      <w:sdtContent>
        <w:p>
          <w:pPr>
            <w:spacing w:line="560" w:lineRule="exact"/>
            <w:jc w:val="center"/>
            <w:rPr>
              <w:rFonts w:ascii="仿宋_GB2312" w:hAnsi="仿宋_GB2312" w:eastAsia="仿宋_GB2312" w:cs="仿宋_GB2312"/>
              <w:sz w:val="36"/>
              <w:szCs w:val="40"/>
              <w:highlight w:val="none"/>
            </w:rPr>
          </w:pPr>
          <w:r>
            <w:rPr>
              <w:rFonts w:hint="eastAsia" w:ascii="仿宋_GB2312" w:hAnsi="仿宋_GB2312" w:eastAsia="仿宋_GB2312" w:cs="仿宋_GB2312"/>
              <w:b/>
              <w:bCs/>
              <w:sz w:val="44"/>
              <w:szCs w:val="44"/>
              <w:highlight w:val="none"/>
            </w:rPr>
            <w:t>目录</w:t>
          </w:r>
        </w:p>
        <w:p>
          <w:pPr>
            <w:pStyle w:val="12"/>
            <w:keepNext w:val="0"/>
            <w:keepLines w:val="0"/>
            <w:pageBreakBefore w:val="0"/>
            <w:widowControl w:val="0"/>
            <w:tabs>
              <w:tab w:val="right" w:leader="dot" w:pos="9639"/>
            </w:tabs>
            <w:kinsoku/>
            <w:wordWrap/>
            <w:overflowPunct/>
            <w:topLinePunct w:val="0"/>
            <w:autoSpaceDE/>
            <w:autoSpaceDN/>
            <w:bidi w:val="0"/>
            <w:spacing w:line="560" w:lineRule="exact"/>
            <w:ind w:left="0" w:leftChars="0" w:right="0" w:rightChars="0" w:firstLine="0" w:firstLineChars="0"/>
            <w:jc w:val="both"/>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b/>
              <w:bCs/>
              <w:sz w:val="28"/>
              <w:szCs w:val="28"/>
              <w:highlight w:val="none"/>
            </w:rPr>
            <w:fldChar w:fldCharType="begin"/>
          </w:r>
          <w:r>
            <w:rPr>
              <w:rFonts w:hint="eastAsia" w:ascii="仿宋_GB2312" w:hAnsi="仿宋_GB2312" w:eastAsia="仿宋_GB2312" w:cs="仿宋_GB2312"/>
              <w:b/>
              <w:bCs/>
              <w:sz w:val="28"/>
              <w:szCs w:val="28"/>
              <w:highlight w:val="none"/>
            </w:rPr>
            <w:instrText xml:space="preserve">TOC \o "1-3" \h \u </w:instrText>
          </w:r>
          <w:r>
            <w:rPr>
              <w:rFonts w:hint="eastAsia" w:ascii="仿宋_GB2312" w:hAnsi="仿宋_GB2312" w:eastAsia="仿宋_GB2312" w:cs="仿宋_GB2312"/>
              <w:b/>
              <w:bCs/>
              <w:sz w:val="28"/>
              <w:szCs w:val="28"/>
              <w:highlight w:val="none"/>
            </w:rPr>
            <w:fldChar w:fldCharType="separate"/>
          </w:r>
          <w:r>
            <w:rPr>
              <w:rFonts w:hint="eastAsia" w:ascii="仿宋_GB2312" w:hAnsi="仿宋_GB2312" w:eastAsia="仿宋_GB2312" w:cs="仿宋_GB2312"/>
              <w:bCs/>
              <w:kern w:val="2"/>
              <w:sz w:val="28"/>
              <w:szCs w:val="28"/>
              <w:highlight w:val="none"/>
              <w:lang w:val="en-US" w:eastAsia="zh-CN" w:bidi="ar-SA"/>
            </w:rPr>
            <w:fldChar w:fldCharType="begin"/>
          </w:r>
          <w:r>
            <w:rPr>
              <w:rFonts w:hint="eastAsia" w:ascii="仿宋_GB2312" w:hAnsi="仿宋_GB2312" w:eastAsia="仿宋_GB2312" w:cs="仿宋_GB2312"/>
              <w:bCs/>
              <w:kern w:val="2"/>
              <w:sz w:val="28"/>
              <w:szCs w:val="28"/>
              <w:highlight w:val="none"/>
              <w:lang w:val="en-US" w:eastAsia="zh-CN" w:bidi="ar-SA"/>
            </w:rPr>
            <w:instrText xml:space="preserve"> HYPERLINK \l _Toc5714 </w:instrText>
          </w:r>
          <w:r>
            <w:rPr>
              <w:rFonts w:hint="eastAsia" w:ascii="仿宋_GB2312" w:hAnsi="仿宋_GB2312" w:eastAsia="仿宋_GB2312" w:cs="仿宋_GB2312"/>
              <w:bCs/>
              <w:kern w:val="2"/>
              <w:sz w:val="28"/>
              <w:szCs w:val="28"/>
              <w:highlight w:val="none"/>
              <w:lang w:val="en-US" w:eastAsia="zh-CN" w:bidi="ar-SA"/>
            </w:rPr>
            <w:fldChar w:fldCharType="separate"/>
          </w:r>
          <w:r>
            <w:rPr>
              <w:rFonts w:hint="eastAsia" w:ascii="仿宋_GB2312" w:hAnsi="仿宋_GB2312" w:eastAsia="仿宋_GB2312" w:cs="仿宋_GB2312"/>
              <w:kern w:val="2"/>
              <w:sz w:val="28"/>
              <w:szCs w:val="28"/>
              <w:highlight w:val="none"/>
              <w:lang w:val="en-US" w:eastAsia="zh-CN" w:bidi="ar-SA"/>
            </w:rPr>
            <w:t>第一章 招标公告</w:t>
          </w:r>
          <w:r>
            <w:rPr>
              <w:rFonts w:hint="eastAsia" w:ascii="仿宋_GB2312" w:hAnsi="仿宋_GB2312" w:eastAsia="仿宋_GB2312" w:cs="仿宋_GB2312"/>
              <w:kern w:val="2"/>
              <w:sz w:val="28"/>
              <w:szCs w:val="28"/>
              <w:lang w:val="en-US" w:eastAsia="zh-CN" w:bidi="ar-SA"/>
            </w:rPr>
            <w:tab/>
          </w:r>
          <w:r>
            <w:rPr>
              <w:rFonts w:hint="eastAsia" w:ascii="仿宋_GB2312" w:hAnsi="仿宋_GB2312" w:eastAsia="仿宋_GB2312" w:cs="仿宋_GB2312"/>
              <w:kern w:val="2"/>
              <w:sz w:val="28"/>
              <w:szCs w:val="28"/>
              <w:lang w:val="en-US" w:eastAsia="zh-CN" w:bidi="ar-SA"/>
            </w:rPr>
            <w:fldChar w:fldCharType="begin"/>
          </w:r>
          <w:r>
            <w:rPr>
              <w:rFonts w:hint="eastAsia" w:ascii="仿宋_GB2312" w:hAnsi="仿宋_GB2312" w:eastAsia="仿宋_GB2312" w:cs="仿宋_GB2312"/>
              <w:kern w:val="2"/>
              <w:sz w:val="28"/>
              <w:szCs w:val="28"/>
              <w:lang w:val="en-US" w:eastAsia="zh-CN" w:bidi="ar-SA"/>
            </w:rPr>
            <w:instrText xml:space="preserve"> PAGEREF _Toc5714 </w:instrText>
          </w:r>
          <w:r>
            <w:rPr>
              <w:rFonts w:hint="eastAsia" w:ascii="仿宋_GB2312" w:hAnsi="仿宋_GB2312" w:eastAsia="仿宋_GB2312" w:cs="仿宋_GB2312"/>
              <w:kern w:val="2"/>
              <w:sz w:val="28"/>
              <w:szCs w:val="28"/>
              <w:lang w:val="en-US" w:eastAsia="zh-CN" w:bidi="ar-SA"/>
            </w:rPr>
            <w:fldChar w:fldCharType="separate"/>
          </w:r>
          <w:r>
            <w:rPr>
              <w:rFonts w:hint="eastAsia" w:ascii="仿宋_GB2312" w:hAnsi="仿宋_GB2312" w:eastAsia="仿宋_GB2312" w:cs="仿宋_GB2312"/>
              <w:kern w:val="2"/>
              <w:sz w:val="28"/>
              <w:szCs w:val="28"/>
              <w:lang w:val="en-US" w:eastAsia="zh-CN" w:bidi="ar-SA"/>
            </w:rPr>
            <w:t>1</w:t>
          </w:r>
          <w:r>
            <w:rPr>
              <w:rFonts w:hint="eastAsia" w:ascii="仿宋_GB2312" w:hAnsi="仿宋_GB2312" w:eastAsia="仿宋_GB2312" w:cs="仿宋_GB2312"/>
              <w:kern w:val="2"/>
              <w:sz w:val="28"/>
              <w:szCs w:val="28"/>
              <w:lang w:val="en-US" w:eastAsia="zh-CN" w:bidi="ar-SA"/>
            </w:rPr>
            <w:fldChar w:fldCharType="end"/>
          </w:r>
          <w:r>
            <w:rPr>
              <w:rFonts w:hint="eastAsia" w:ascii="仿宋_GB2312" w:hAnsi="仿宋_GB2312" w:eastAsia="仿宋_GB2312" w:cs="仿宋_GB2312"/>
              <w:bCs/>
              <w:kern w:val="2"/>
              <w:sz w:val="28"/>
              <w:szCs w:val="28"/>
              <w:highlight w:val="none"/>
              <w:lang w:val="en-US" w:eastAsia="zh-CN" w:bidi="ar-SA"/>
            </w:rPr>
            <w:fldChar w:fldCharType="end"/>
          </w:r>
        </w:p>
        <w:p>
          <w:pPr>
            <w:pStyle w:val="12"/>
            <w:keepNext w:val="0"/>
            <w:keepLines w:val="0"/>
            <w:pageBreakBefore w:val="0"/>
            <w:widowControl w:val="0"/>
            <w:tabs>
              <w:tab w:val="right" w:leader="dot" w:pos="9639"/>
            </w:tabs>
            <w:kinsoku/>
            <w:wordWrap/>
            <w:overflowPunct/>
            <w:topLinePunct w:val="0"/>
            <w:autoSpaceDE/>
            <w:autoSpaceDN/>
            <w:bidi w:val="0"/>
            <w:spacing w:line="560" w:lineRule="exact"/>
            <w:ind w:left="0" w:leftChars="0" w:right="0" w:rightChars="0" w:firstLine="0" w:firstLineChars="0"/>
            <w:jc w:val="both"/>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bCs/>
              <w:kern w:val="2"/>
              <w:sz w:val="28"/>
              <w:szCs w:val="28"/>
              <w:highlight w:val="none"/>
              <w:lang w:val="en-US" w:eastAsia="zh-CN" w:bidi="ar-SA"/>
            </w:rPr>
            <w:fldChar w:fldCharType="begin"/>
          </w:r>
          <w:r>
            <w:rPr>
              <w:rFonts w:hint="eastAsia" w:ascii="仿宋_GB2312" w:hAnsi="仿宋_GB2312" w:eastAsia="仿宋_GB2312" w:cs="仿宋_GB2312"/>
              <w:bCs/>
              <w:kern w:val="2"/>
              <w:sz w:val="28"/>
              <w:szCs w:val="28"/>
              <w:highlight w:val="none"/>
              <w:lang w:val="en-US" w:eastAsia="zh-CN" w:bidi="ar-SA"/>
            </w:rPr>
            <w:instrText xml:space="preserve"> HYPERLINK \l _Toc28761 </w:instrText>
          </w:r>
          <w:r>
            <w:rPr>
              <w:rFonts w:hint="eastAsia" w:ascii="仿宋_GB2312" w:hAnsi="仿宋_GB2312" w:eastAsia="仿宋_GB2312" w:cs="仿宋_GB2312"/>
              <w:bCs/>
              <w:kern w:val="2"/>
              <w:sz w:val="28"/>
              <w:szCs w:val="28"/>
              <w:highlight w:val="none"/>
              <w:lang w:val="en-US" w:eastAsia="zh-CN" w:bidi="ar-SA"/>
            </w:rPr>
            <w:fldChar w:fldCharType="separate"/>
          </w:r>
          <w:r>
            <w:rPr>
              <w:rFonts w:hint="eastAsia" w:ascii="仿宋_GB2312" w:hAnsi="仿宋_GB2312" w:eastAsia="仿宋_GB2312" w:cs="仿宋_GB2312"/>
              <w:kern w:val="2"/>
              <w:sz w:val="28"/>
              <w:szCs w:val="28"/>
              <w:highlight w:val="none"/>
              <w:lang w:val="en-US" w:eastAsia="zh-CN" w:bidi="ar-SA"/>
            </w:rPr>
            <w:t>第二章 评标办法</w:t>
          </w:r>
          <w:r>
            <w:rPr>
              <w:rFonts w:hint="eastAsia" w:ascii="仿宋_GB2312" w:hAnsi="仿宋_GB2312" w:eastAsia="仿宋_GB2312" w:cs="仿宋_GB2312"/>
              <w:kern w:val="2"/>
              <w:sz w:val="28"/>
              <w:szCs w:val="28"/>
              <w:lang w:val="en-US" w:eastAsia="zh-CN" w:bidi="ar-SA"/>
            </w:rPr>
            <w:tab/>
          </w:r>
          <w:r>
            <w:rPr>
              <w:rFonts w:hint="eastAsia" w:ascii="仿宋_GB2312" w:hAnsi="仿宋_GB2312" w:eastAsia="仿宋_GB2312" w:cs="仿宋_GB2312"/>
              <w:kern w:val="2"/>
              <w:sz w:val="28"/>
              <w:szCs w:val="28"/>
              <w:lang w:val="en-US" w:eastAsia="zh-CN" w:bidi="ar-SA"/>
            </w:rPr>
            <w:fldChar w:fldCharType="begin"/>
          </w:r>
          <w:r>
            <w:rPr>
              <w:rFonts w:hint="eastAsia" w:ascii="仿宋_GB2312" w:hAnsi="仿宋_GB2312" w:eastAsia="仿宋_GB2312" w:cs="仿宋_GB2312"/>
              <w:kern w:val="2"/>
              <w:sz w:val="28"/>
              <w:szCs w:val="28"/>
              <w:lang w:val="en-US" w:eastAsia="zh-CN" w:bidi="ar-SA"/>
            </w:rPr>
            <w:instrText xml:space="preserve"> PAGEREF _Toc28761 </w:instrText>
          </w:r>
          <w:r>
            <w:rPr>
              <w:rFonts w:hint="eastAsia" w:ascii="仿宋_GB2312" w:hAnsi="仿宋_GB2312" w:eastAsia="仿宋_GB2312" w:cs="仿宋_GB2312"/>
              <w:kern w:val="2"/>
              <w:sz w:val="28"/>
              <w:szCs w:val="28"/>
              <w:lang w:val="en-US" w:eastAsia="zh-CN" w:bidi="ar-SA"/>
            </w:rPr>
            <w:fldChar w:fldCharType="separate"/>
          </w:r>
          <w:r>
            <w:rPr>
              <w:rFonts w:hint="eastAsia" w:ascii="仿宋_GB2312" w:hAnsi="仿宋_GB2312" w:eastAsia="仿宋_GB2312" w:cs="仿宋_GB2312"/>
              <w:kern w:val="2"/>
              <w:sz w:val="28"/>
              <w:szCs w:val="28"/>
              <w:lang w:val="en-US" w:eastAsia="zh-CN" w:bidi="ar-SA"/>
            </w:rPr>
            <w:t>4</w:t>
          </w:r>
          <w:r>
            <w:rPr>
              <w:rFonts w:hint="eastAsia" w:ascii="仿宋_GB2312" w:hAnsi="仿宋_GB2312" w:eastAsia="仿宋_GB2312" w:cs="仿宋_GB2312"/>
              <w:kern w:val="2"/>
              <w:sz w:val="28"/>
              <w:szCs w:val="28"/>
              <w:lang w:val="en-US" w:eastAsia="zh-CN" w:bidi="ar-SA"/>
            </w:rPr>
            <w:fldChar w:fldCharType="end"/>
          </w:r>
          <w:r>
            <w:rPr>
              <w:rFonts w:hint="eastAsia" w:ascii="仿宋_GB2312" w:hAnsi="仿宋_GB2312" w:eastAsia="仿宋_GB2312" w:cs="仿宋_GB2312"/>
              <w:bCs/>
              <w:kern w:val="2"/>
              <w:sz w:val="28"/>
              <w:szCs w:val="28"/>
              <w:highlight w:val="none"/>
              <w:lang w:val="en-US" w:eastAsia="zh-CN" w:bidi="ar-SA"/>
            </w:rPr>
            <w:fldChar w:fldCharType="end"/>
          </w:r>
        </w:p>
        <w:p>
          <w:pPr>
            <w:pStyle w:val="12"/>
            <w:keepNext w:val="0"/>
            <w:keepLines w:val="0"/>
            <w:pageBreakBefore w:val="0"/>
            <w:widowControl w:val="0"/>
            <w:tabs>
              <w:tab w:val="right" w:leader="dot" w:pos="9639"/>
            </w:tabs>
            <w:kinsoku/>
            <w:wordWrap/>
            <w:overflowPunct/>
            <w:topLinePunct w:val="0"/>
            <w:autoSpaceDE/>
            <w:autoSpaceDN/>
            <w:bidi w:val="0"/>
            <w:spacing w:line="560" w:lineRule="exact"/>
            <w:ind w:left="0" w:leftChars="0" w:right="0" w:rightChars="0" w:firstLine="0" w:firstLineChars="0"/>
            <w:jc w:val="both"/>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bCs/>
              <w:kern w:val="2"/>
              <w:sz w:val="28"/>
              <w:szCs w:val="28"/>
              <w:highlight w:val="none"/>
              <w:lang w:val="en-US" w:eastAsia="zh-CN" w:bidi="ar-SA"/>
            </w:rPr>
            <w:fldChar w:fldCharType="begin"/>
          </w:r>
          <w:r>
            <w:rPr>
              <w:rFonts w:hint="eastAsia" w:ascii="仿宋_GB2312" w:hAnsi="仿宋_GB2312" w:eastAsia="仿宋_GB2312" w:cs="仿宋_GB2312"/>
              <w:bCs/>
              <w:kern w:val="2"/>
              <w:sz w:val="28"/>
              <w:szCs w:val="28"/>
              <w:highlight w:val="none"/>
              <w:lang w:val="en-US" w:eastAsia="zh-CN" w:bidi="ar-SA"/>
            </w:rPr>
            <w:instrText xml:space="preserve"> HYPERLINK \l _Toc20910 </w:instrText>
          </w:r>
          <w:r>
            <w:rPr>
              <w:rFonts w:hint="eastAsia" w:ascii="仿宋_GB2312" w:hAnsi="仿宋_GB2312" w:eastAsia="仿宋_GB2312" w:cs="仿宋_GB2312"/>
              <w:bCs/>
              <w:kern w:val="2"/>
              <w:sz w:val="28"/>
              <w:szCs w:val="28"/>
              <w:highlight w:val="none"/>
              <w:lang w:val="en-US" w:eastAsia="zh-CN" w:bidi="ar-SA"/>
            </w:rPr>
            <w:fldChar w:fldCharType="separate"/>
          </w:r>
          <w:r>
            <w:rPr>
              <w:rFonts w:hint="eastAsia" w:ascii="仿宋_GB2312" w:hAnsi="仿宋_GB2312" w:eastAsia="仿宋_GB2312" w:cs="仿宋_GB2312"/>
              <w:kern w:val="2"/>
              <w:sz w:val="28"/>
              <w:szCs w:val="28"/>
              <w:lang w:val="en-US" w:eastAsia="zh-CN" w:bidi="ar-SA"/>
            </w:rPr>
            <w:t>第三章 合同条款及格式</w:t>
          </w:r>
          <w:r>
            <w:rPr>
              <w:rFonts w:hint="eastAsia" w:ascii="仿宋_GB2312" w:hAnsi="仿宋_GB2312" w:eastAsia="仿宋_GB2312" w:cs="仿宋_GB2312"/>
              <w:kern w:val="2"/>
              <w:sz w:val="28"/>
              <w:szCs w:val="28"/>
              <w:lang w:val="en-US" w:eastAsia="zh-CN" w:bidi="ar-SA"/>
            </w:rPr>
            <w:tab/>
          </w:r>
          <w:r>
            <w:rPr>
              <w:rFonts w:hint="eastAsia" w:ascii="仿宋_GB2312" w:hAnsi="仿宋_GB2312" w:eastAsia="仿宋_GB2312" w:cs="仿宋_GB2312"/>
              <w:kern w:val="2"/>
              <w:sz w:val="28"/>
              <w:szCs w:val="28"/>
              <w:lang w:val="en-US" w:eastAsia="zh-CN" w:bidi="ar-SA"/>
            </w:rPr>
            <w:fldChar w:fldCharType="begin"/>
          </w:r>
          <w:r>
            <w:rPr>
              <w:rFonts w:hint="eastAsia" w:ascii="仿宋_GB2312" w:hAnsi="仿宋_GB2312" w:eastAsia="仿宋_GB2312" w:cs="仿宋_GB2312"/>
              <w:kern w:val="2"/>
              <w:sz w:val="28"/>
              <w:szCs w:val="28"/>
              <w:lang w:val="en-US" w:eastAsia="zh-CN" w:bidi="ar-SA"/>
            </w:rPr>
            <w:instrText xml:space="preserve"> PAGEREF _Toc20910 </w:instrText>
          </w:r>
          <w:r>
            <w:rPr>
              <w:rFonts w:hint="eastAsia" w:ascii="仿宋_GB2312" w:hAnsi="仿宋_GB2312" w:eastAsia="仿宋_GB2312" w:cs="仿宋_GB2312"/>
              <w:kern w:val="2"/>
              <w:sz w:val="28"/>
              <w:szCs w:val="28"/>
              <w:lang w:val="en-US" w:eastAsia="zh-CN" w:bidi="ar-SA"/>
            </w:rPr>
            <w:fldChar w:fldCharType="separate"/>
          </w:r>
          <w:r>
            <w:rPr>
              <w:rFonts w:hint="eastAsia" w:ascii="仿宋_GB2312" w:hAnsi="仿宋_GB2312" w:eastAsia="仿宋_GB2312" w:cs="仿宋_GB2312"/>
              <w:kern w:val="2"/>
              <w:sz w:val="28"/>
              <w:szCs w:val="28"/>
              <w:lang w:val="en-US" w:eastAsia="zh-CN" w:bidi="ar-SA"/>
            </w:rPr>
            <w:t>10</w:t>
          </w:r>
          <w:r>
            <w:rPr>
              <w:rFonts w:hint="eastAsia" w:ascii="仿宋_GB2312" w:hAnsi="仿宋_GB2312" w:eastAsia="仿宋_GB2312" w:cs="仿宋_GB2312"/>
              <w:kern w:val="2"/>
              <w:sz w:val="28"/>
              <w:szCs w:val="28"/>
              <w:lang w:val="en-US" w:eastAsia="zh-CN" w:bidi="ar-SA"/>
            </w:rPr>
            <w:fldChar w:fldCharType="end"/>
          </w:r>
          <w:r>
            <w:rPr>
              <w:rFonts w:hint="eastAsia" w:ascii="仿宋_GB2312" w:hAnsi="仿宋_GB2312" w:eastAsia="仿宋_GB2312" w:cs="仿宋_GB2312"/>
              <w:bCs/>
              <w:kern w:val="2"/>
              <w:sz w:val="28"/>
              <w:szCs w:val="28"/>
              <w:highlight w:val="none"/>
              <w:lang w:val="en-US" w:eastAsia="zh-CN" w:bidi="ar-SA"/>
            </w:rPr>
            <w:fldChar w:fldCharType="end"/>
          </w:r>
        </w:p>
        <w:p>
          <w:pPr>
            <w:pStyle w:val="12"/>
            <w:keepNext w:val="0"/>
            <w:keepLines w:val="0"/>
            <w:pageBreakBefore w:val="0"/>
            <w:widowControl w:val="0"/>
            <w:tabs>
              <w:tab w:val="right" w:leader="dot" w:pos="9639"/>
            </w:tabs>
            <w:kinsoku/>
            <w:wordWrap/>
            <w:overflowPunct/>
            <w:topLinePunct w:val="0"/>
            <w:autoSpaceDE/>
            <w:autoSpaceDN/>
            <w:bidi w:val="0"/>
            <w:spacing w:line="560" w:lineRule="exact"/>
            <w:ind w:left="0" w:leftChars="0" w:right="0" w:rightChars="0" w:firstLine="0" w:firstLineChars="0"/>
            <w:jc w:val="both"/>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bCs/>
              <w:kern w:val="2"/>
              <w:sz w:val="28"/>
              <w:szCs w:val="28"/>
              <w:highlight w:val="none"/>
              <w:lang w:val="en-US" w:eastAsia="zh-CN" w:bidi="ar-SA"/>
            </w:rPr>
            <w:fldChar w:fldCharType="begin"/>
          </w:r>
          <w:r>
            <w:rPr>
              <w:rFonts w:hint="eastAsia" w:ascii="仿宋_GB2312" w:hAnsi="仿宋_GB2312" w:eastAsia="仿宋_GB2312" w:cs="仿宋_GB2312"/>
              <w:bCs/>
              <w:kern w:val="2"/>
              <w:sz w:val="28"/>
              <w:szCs w:val="28"/>
              <w:highlight w:val="none"/>
              <w:lang w:val="en-US" w:eastAsia="zh-CN" w:bidi="ar-SA"/>
            </w:rPr>
            <w:instrText xml:space="preserve"> HYPERLINK \l _Toc21282 </w:instrText>
          </w:r>
          <w:r>
            <w:rPr>
              <w:rFonts w:hint="eastAsia" w:ascii="仿宋_GB2312" w:hAnsi="仿宋_GB2312" w:eastAsia="仿宋_GB2312" w:cs="仿宋_GB2312"/>
              <w:bCs/>
              <w:kern w:val="2"/>
              <w:sz w:val="28"/>
              <w:szCs w:val="28"/>
              <w:highlight w:val="none"/>
              <w:lang w:val="en-US" w:eastAsia="zh-CN" w:bidi="ar-SA"/>
            </w:rPr>
            <w:fldChar w:fldCharType="separate"/>
          </w:r>
          <w:r>
            <w:rPr>
              <w:rFonts w:hint="eastAsia" w:ascii="仿宋_GB2312" w:hAnsi="仿宋_GB2312" w:eastAsia="仿宋_GB2312" w:cs="仿宋_GB2312"/>
              <w:kern w:val="2"/>
              <w:sz w:val="28"/>
              <w:szCs w:val="28"/>
              <w:lang w:val="en-US" w:eastAsia="zh-CN" w:bidi="ar-SA"/>
            </w:rPr>
            <w:t>第四章 工程量清单</w:t>
          </w:r>
          <w:r>
            <w:rPr>
              <w:rFonts w:hint="eastAsia" w:ascii="仿宋_GB2312" w:hAnsi="仿宋_GB2312" w:eastAsia="仿宋_GB2312" w:cs="仿宋_GB2312"/>
              <w:kern w:val="2"/>
              <w:sz w:val="28"/>
              <w:szCs w:val="28"/>
              <w:lang w:val="en-US" w:eastAsia="zh-CN" w:bidi="ar-SA"/>
            </w:rPr>
            <w:tab/>
          </w:r>
          <w:r>
            <w:rPr>
              <w:rFonts w:hint="eastAsia" w:ascii="仿宋_GB2312" w:hAnsi="仿宋_GB2312" w:eastAsia="仿宋_GB2312" w:cs="仿宋_GB2312"/>
              <w:kern w:val="2"/>
              <w:sz w:val="28"/>
              <w:szCs w:val="28"/>
              <w:lang w:val="en-US" w:eastAsia="zh-CN" w:bidi="ar-SA"/>
            </w:rPr>
            <w:fldChar w:fldCharType="begin"/>
          </w:r>
          <w:r>
            <w:rPr>
              <w:rFonts w:hint="eastAsia" w:ascii="仿宋_GB2312" w:hAnsi="仿宋_GB2312" w:eastAsia="仿宋_GB2312" w:cs="仿宋_GB2312"/>
              <w:kern w:val="2"/>
              <w:sz w:val="28"/>
              <w:szCs w:val="28"/>
              <w:lang w:val="en-US" w:eastAsia="zh-CN" w:bidi="ar-SA"/>
            </w:rPr>
            <w:instrText xml:space="preserve"> PAGEREF _Toc21282 </w:instrText>
          </w:r>
          <w:r>
            <w:rPr>
              <w:rFonts w:hint="eastAsia" w:ascii="仿宋_GB2312" w:hAnsi="仿宋_GB2312" w:eastAsia="仿宋_GB2312" w:cs="仿宋_GB2312"/>
              <w:kern w:val="2"/>
              <w:sz w:val="28"/>
              <w:szCs w:val="28"/>
              <w:lang w:val="en-US" w:eastAsia="zh-CN" w:bidi="ar-SA"/>
            </w:rPr>
            <w:fldChar w:fldCharType="separate"/>
          </w:r>
          <w:r>
            <w:rPr>
              <w:rFonts w:hint="eastAsia" w:ascii="仿宋_GB2312" w:hAnsi="仿宋_GB2312" w:eastAsia="仿宋_GB2312" w:cs="仿宋_GB2312"/>
              <w:kern w:val="2"/>
              <w:sz w:val="28"/>
              <w:szCs w:val="28"/>
              <w:lang w:val="en-US" w:eastAsia="zh-CN" w:bidi="ar-SA"/>
            </w:rPr>
            <w:t>55</w:t>
          </w:r>
          <w:r>
            <w:rPr>
              <w:rFonts w:hint="eastAsia" w:ascii="仿宋_GB2312" w:hAnsi="仿宋_GB2312" w:eastAsia="仿宋_GB2312" w:cs="仿宋_GB2312"/>
              <w:kern w:val="2"/>
              <w:sz w:val="28"/>
              <w:szCs w:val="28"/>
              <w:lang w:val="en-US" w:eastAsia="zh-CN" w:bidi="ar-SA"/>
            </w:rPr>
            <w:fldChar w:fldCharType="end"/>
          </w:r>
          <w:r>
            <w:rPr>
              <w:rFonts w:hint="eastAsia" w:ascii="仿宋_GB2312" w:hAnsi="仿宋_GB2312" w:eastAsia="仿宋_GB2312" w:cs="仿宋_GB2312"/>
              <w:bCs/>
              <w:kern w:val="2"/>
              <w:sz w:val="28"/>
              <w:szCs w:val="28"/>
              <w:highlight w:val="none"/>
              <w:lang w:val="en-US" w:eastAsia="zh-CN" w:bidi="ar-SA"/>
            </w:rPr>
            <w:fldChar w:fldCharType="end"/>
          </w:r>
        </w:p>
        <w:p>
          <w:pPr>
            <w:pStyle w:val="12"/>
            <w:keepNext w:val="0"/>
            <w:keepLines w:val="0"/>
            <w:pageBreakBefore w:val="0"/>
            <w:widowControl w:val="0"/>
            <w:tabs>
              <w:tab w:val="right" w:leader="dot" w:pos="9639"/>
            </w:tabs>
            <w:kinsoku/>
            <w:wordWrap/>
            <w:overflowPunct/>
            <w:topLinePunct w:val="0"/>
            <w:autoSpaceDE/>
            <w:autoSpaceDN/>
            <w:bidi w:val="0"/>
            <w:spacing w:line="560" w:lineRule="exact"/>
            <w:ind w:left="0" w:leftChars="0" w:right="0" w:rightChars="0" w:firstLine="0" w:firstLineChars="0"/>
            <w:jc w:val="both"/>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bCs/>
              <w:kern w:val="2"/>
              <w:sz w:val="28"/>
              <w:szCs w:val="28"/>
              <w:highlight w:val="none"/>
              <w:lang w:val="en-US" w:eastAsia="zh-CN" w:bidi="ar-SA"/>
            </w:rPr>
            <w:fldChar w:fldCharType="begin"/>
          </w:r>
          <w:r>
            <w:rPr>
              <w:rFonts w:hint="eastAsia" w:ascii="仿宋_GB2312" w:hAnsi="仿宋_GB2312" w:eastAsia="仿宋_GB2312" w:cs="仿宋_GB2312"/>
              <w:bCs/>
              <w:kern w:val="2"/>
              <w:sz w:val="28"/>
              <w:szCs w:val="28"/>
              <w:highlight w:val="none"/>
              <w:lang w:val="en-US" w:eastAsia="zh-CN" w:bidi="ar-SA"/>
            </w:rPr>
            <w:instrText xml:space="preserve"> HYPERLINK \l _Toc17241 </w:instrText>
          </w:r>
          <w:r>
            <w:rPr>
              <w:rFonts w:hint="eastAsia" w:ascii="仿宋_GB2312" w:hAnsi="仿宋_GB2312" w:eastAsia="仿宋_GB2312" w:cs="仿宋_GB2312"/>
              <w:bCs/>
              <w:kern w:val="2"/>
              <w:sz w:val="28"/>
              <w:szCs w:val="28"/>
              <w:highlight w:val="none"/>
              <w:lang w:val="en-US" w:eastAsia="zh-CN" w:bidi="ar-SA"/>
            </w:rPr>
            <w:fldChar w:fldCharType="separate"/>
          </w:r>
          <w:r>
            <w:rPr>
              <w:rFonts w:hint="eastAsia" w:ascii="仿宋_GB2312" w:hAnsi="仿宋_GB2312" w:eastAsia="仿宋_GB2312" w:cs="仿宋_GB2312"/>
              <w:kern w:val="2"/>
              <w:sz w:val="28"/>
              <w:szCs w:val="28"/>
              <w:lang w:val="en-US" w:eastAsia="zh-CN" w:bidi="ar-SA"/>
            </w:rPr>
            <w:t>第五章 图纸</w:t>
          </w:r>
          <w:r>
            <w:rPr>
              <w:rFonts w:hint="eastAsia" w:ascii="仿宋_GB2312" w:hAnsi="仿宋_GB2312" w:eastAsia="仿宋_GB2312" w:cs="仿宋_GB2312"/>
              <w:kern w:val="2"/>
              <w:sz w:val="28"/>
              <w:szCs w:val="28"/>
              <w:lang w:val="en-US" w:eastAsia="zh-CN" w:bidi="ar-SA"/>
            </w:rPr>
            <w:tab/>
          </w:r>
          <w:r>
            <w:rPr>
              <w:rFonts w:hint="eastAsia" w:ascii="仿宋_GB2312" w:hAnsi="仿宋_GB2312" w:eastAsia="仿宋_GB2312" w:cs="仿宋_GB2312"/>
              <w:kern w:val="2"/>
              <w:sz w:val="28"/>
              <w:szCs w:val="28"/>
              <w:lang w:val="en-US" w:eastAsia="zh-CN" w:bidi="ar-SA"/>
            </w:rPr>
            <w:fldChar w:fldCharType="begin"/>
          </w:r>
          <w:r>
            <w:rPr>
              <w:rFonts w:hint="eastAsia" w:ascii="仿宋_GB2312" w:hAnsi="仿宋_GB2312" w:eastAsia="仿宋_GB2312" w:cs="仿宋_GB2312"/>
              <w:kern w:val="2"/>
              <w:sz w:val="28"/>
              <w:szCs w:val="28"/>
              <w:lang w:val="en-US" w:eastAsia="zh-CN" w:bidi="ar-SA"/>
            </w:rPr>
            <w:instrText xml:space="preserve"> PAGEREF _Toc17241 </w:instrText>
          </w:r>
          <w:r>
            <w:rPr>
              <w:rFonts w:hint="eastAsia" w:ascii="仿宋_GB2312" w:hAnsi="仿宋_GB2312" w:eastAsia="仿宋_GB2312" w:cs="仿宋_GB2312"/>
              <w:kern w:val="2"/>
              <w:sz w:val="28"/>
              <w:szCs w:val="28"/>
              <w:lang w:val="en-US" w:eastAsia="zh-CN" w:bidi="ar-SA"/>
            </w:rPr>
            <w:fldChar w:fldCharType="separate"/>
          </w:r>
          <w:r>
            <w:rPr>
              <w:rFonts w:hint="eastAsia" w:ascii="仿宋_GB2312" w:hAnsi="仿宋_GB2312" w:eastAsia="仿宋_GB2312" w:cs="仿宋_GB2312"/>
              <w:kern w:val="2"/>
              <w:sz w:val="28"/>
              <w:szCs w:val="28"/>
              <w:lang w:val="en-US" w:eastAsia="zh-CN" w:bidi="ar-SA"/>
            </w:rPr>
            <w:t>56</w:t>
          </w:r>
          <w:r>
            <w:rPr>
              <w:rFonts w:hint="eastAsia" w:ascii="仿宋_GB2312" w:hAnsi="仿宋_GB2312" w:eastAsia="仿宋_GB2312" w:cs="仿宋_GB2312"/>
              <w:kern w:val="2"/>
              <w:sz w:val="28"/>
              <w:szCs w:val="28"/>
              <w:lang w:val="en-US" w:eastAsia="zh-CN" w:bidi="ar-SA"/>
            </w:rPr>
            <w:fldChar w:fldCharType="end"/>
          </w:r>
          <w:r>
            <w:rPr>
              <w:rFonts w:hint="eastAsia" w:ascii="仿宋_GB2312" w:hAnsi="仿宋_GB2312" w:eastAsia="仿宋_GB2312" w:cs="仿宋_GB2312"/>
              <w:bCs/>
              <w:kern w:val="2"/>
              <w:sz w:val="28"/>
              <w:szCs w:val="28"/>
              <w:highlight w:val="none"/>
              <w:lang w:val="en-US" w:eastAsia="zh-CN" w:bidi="ar-SA"/>
            </w:rPr>
            <w:fldChar w:fldCharType="end"/>
          </w:r>
        </w:p>
        <w:p>
          <w:pPr>
            <w:pStyle w:val="12"/>
            <w:keepNext w:val="0"/>
            <w:keepLines w:val="0"/>
            <w:pageBreakBefore w:val="0"/>
            <w:widowControl w:val="0"/>
            <w:tabs>
              <w:tab w:val="right" w:leader="dot" w:pos="9639"/>
            </w:tabs>
            <w:kinsoku/>
            <w:wordWrap/>
            <w:overflowPunct/>
            <w:topLinePunct w:val="0"/>
            <w:autoSpaceDE/>
            <w:autoSpaceDN/>
            <w:bidi w:val="0"/>
            <w:spacing w:line="560" w:lineRule="exact"/>
            <w:ind w:left="0" w:leftChars="0" w:right="0" w:rightChars="0" w:firstLine="0" w:firstLineChars="0"/>
            <w:jc w:val="both"/>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bCs/>
              <w:kern w:val="2"/>
              <w:sz w:val="28"/>
              <w:szCs w:val="28"/>
              <w:highlight w:val="none"/>
              <w:lang w:val="en-US" w:eastAsia="zh-CN" w:bidi="ar-SA"/>
            </w:rPr>
            <w:fldChar w:fldCharType="begin"/>
          </w:r>
          <w:r>
            <w:rPr>
              <w:rFonts w:hint="eastAsia" w:ascii="仿宋_GB2312" w:hAnsi="仿宋_GB2312" w:eastAsia="仿宋_GB2312" w:cs="仿宋_GB2312"/>
              <w:bCs/>
              <w:kern w:val="2"/>
              <w:sz w:val="28"/>
              <w:szCs w:val="28"/>
              <w:highlight w:val="none"/>
              <w:lang w:val="en-US" w:eastAsia="zh-CN" w:bidi="ar-SA"/>
            </w:rPr>
            <w:instrText xml:space="preserve"> HYPERLINK \l _Toc9774 </w:instrText>
          </w:r>
          <w:r>
            <w:rPr>
              <w:rFonts w:hint="eastAsia" w:ascii="仿宋_GB2312" w:hAnsi="仿宋_GB2312" w:eastAsia="仿宋_GB2312" w:cs="仿宋_GB2312"/>
              <w:bCs/>
              <w:kern w:val="2"/>
              <w:sz w:val="28"/>
              <w:szCs w:val="28"/>
              <w:highlight w:val="none"/>
              <w:lang w:val="en-US" w:eastAsia="zh-CN" w:bidi="ar-SA"/>
            </w:rPr>
            <w:fldChar w:fldCharType="separate"/>
          </w:r>
          <w:r>
            <w:rPr>
              <w:rFonts w:hint="eastAsia" w:ascii="仿宋_GB2312" w:hAnsi="仿宋_GB2312" w:eastAsia="仿宋_GB2312" w:cs="仿宋_GB2312"/>
              <w:kern w:val="2"/>
              <w:sz w:val="28"/>
              <w:szCs w:val="28"/>
              <w:lang w:val="en-US" w:eastAsia="zh-CN" w:bidi="ar-SA"/>
            </w:rPr>
            <w:t>第六章 技术标准及要求</w:t>
          </w:r>
          <w:r>
            <w:rPr>
              <w:rFonts w:hint="eastAsia" w:ascii="仿宋_GB2312" w:hAnsi="仿宋_GB2312" w:eastAsia="仿宋_GB2312" w:cs="仿宋_GB2312"/>
              <w:kern w:val="2"/>
              <w:sz w:val="28"/>
              <w:szCs w:val="28"/>
              <w:lang w:val="en-US" w:eastAsia="zh-CN" w:bidi="ar-SA"/>
            </w:rPr>
            <w:tab/>
          </w:r>
          <w:r>
            <w:rPr>
              <w:rFonts w:hint="eastAsia" w:ascii="仿宋_GB2312" w:hAnsi="仿宋_GB2312" w:eastAsia="仿宋_GB2312" w:cs="仿宋_GB2312"/>
              <w:kern w:val="2"/>
              <w:sz w:val="28"/>
              <w:szCs w:val="28"/>
              <w:lang w:val="en-US" w:eastAsia="zh-CN" w:bidi="ar-SA"/>
            </w:rPr>
            <w:fldChar w:fldCharType="begin"/>
          </w:r>
          <w:r>
            <w:rPr>
              <w:rFonts w:hint="eastAsia" w:ascii="仿宋_GB2312" w:hAnsi="仿宋_GB2312" w:eastAsia="仿宋_GB2312" w:cs="仿宋_GB2312"/>
              <w:kern w:val="2"/>
              <w:sz w:val="28"/>
              <w:szCs w:val="28"/>
              <w:lang w:val="en-US" w:eastAsia="zh-CN" w:bidi="ar-SA"/>
            </w:rPr>
            <w:instrText xml:space="preserve"> PAGEREF _Toc9774 </w:instrText>
          </w:r>
          <w:r>
            <w:rPr>
              <w:rFonts w:hint="eastAsia" w:ascii="仿宋_GB2312" w:hAnsi="仿宋_GB2312" w:eastAsia="仿宋_GB2312" w:cs="仿宋_GB2312"/>
              <w:kern w:val="2"/>
              <w:sz w:val="28"/>
              <w:szCs w:val="28"/>
              <w:lang w:val="en-US" w:eastAsia="zh-CN" w:bidi="ar-SA"/>
            </w:rPr>
            <w:fldChar w:fldCharType="separate"/>
          </w:r>
          <w:r>
            <w:rPr>
              <w:rFonts w:hint="eastAsia" w:ascii="仿宋_GB2312" w:hAnsi="仿宋_GB2312" w:eastAsia="仿宋_GB2312" w:cs="仿宋_GB2312"/>
              <w:kern w:val="2"/>
              <w:sz w:val="28"/>
              <w:szCs w:val="28"/>
              <w:lang w:val="en-US" w:eastAsia="zh-CN" w:bidi="ar-SA"/>
            </w:rPr>
            <w:t>57</w:t>
          </w:r>
          <w:r>
            <w:rPr>
              <w:rFonts w:hint="eastAsia" w:ascii="仿宋_GB2312" w:hAnsi="仿宋_GB2312" w:eastAsia="仿宋_GB2312" w:cs="仿宋_GB2312"/>
              <w:kern w:val="2"/>
              <w:sz w:val="28"/>
              <w:szCs w:val="28"/>
              <w:lang w:val="en-US" w:eastAsia="zh-CN" w:bidi="ar-SA"/>
            </w:rPr>
            <w:fldChar w:fldCharType="end"/>
          </w:r>
          <w:r>
            <w:rPr>
              <w:rFonts w:hint="eastAsia" w:ascii="仿宋_GB2312" w:hAnsi="仿宋_GB2312" w:eastAsia="仿宋_GB2312" w:cs="仿宋_GB2312"/>
              <w:bCs/>
              <w:kern w:val="2"/>
              <w:sz w:val="28"/>
              <w:szCs w:val="28"/>
              <w:highlight w:val="none"/>
              <w:lang w:val="en-US" w:eastAsia="zh-CN" w:bidi="ar-SA"/>
            </w:rPr>
            <w:fldChar w:fldCharType="end"/>
          </w:r>
        </w:p>
        <w:p>
          <w:pPr>
            <w:pStyle w:val="12"/>
            <w:keepNext w:val="0"/>
            <w:keepLines w:val="0"/>
            <w:pageBreakBefore w:val="0"/>
            <w:widowControl w:val="0"/>
            <w:tabs>
              <w:tab w:val="right" w:leader="dot" w:pos="9639"/>
            </w:tabs>
            <w:kinsoku/>
            <w:wordWrap/>
            <w:overflowPunct/>
            <w:topLinePunct w:val="0"/>
            <w:autoSpaceDE/>
            <w:autoSpaceDN/>
            <w:bidi w:val="0"/>
            <w:spacing w:line="560" w:lineRule="exact"/>
            <w:ind w:left="0" w:leftChars="0" w:right="0" w:rightChars="0" w:firstLine="0" w:firstLineChars="0"/>
            <w:jc w:val="both"/>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bCs/>
              <w:kern w:val="2"/>
              <w:sz w:val="28"/>
              <w:szCs w:val="28"/>
              <w:highlight w:val="none"/>
              <w:lang w:val="en-US" w:eastAsia="zh-CN" w:bidi="ar-SA"/>
            </w:rPr>
            <w:fldChar w:fldCharType="begin"/>
          </w:r>
          <w:r>
            <w:rPr>
              <w:rFonts w:hint="eastAsia" w:ascii="仿宋_GB2312" w:hAnsi="仿宋_GB2312" w:eastAsia="仿宋_GB2312" w:cs="仿宋_GB2312"/>
              <w:bCs/>
              <w:kern w:val="2"/>
              <w:sz w:val="28"/>
              <w:szCs w:val="28"/>
              <w:highlight w:val="none"/>
              <w:lang w:val="en-US" w:eastAsia="zh-CN" w:bidi="ar-SA"/>
            </w:rPr>
            <w:instrText xml:space="preserve"> HYPERLINK \l _Toc28597 </w:instrText>
          </w:r>
          <w:r>
            <w:rPr>
              <w:rFonts w:hint="eastAsia" w:ascii="仿宋_GB2312" w:hAnsi="仿宋_GB2312" w:eastAsia="仿宋_GB2312" w:cs="仿宋_GB2312"/>
              <w:bCs/>
              <w:kern w:val="2"/>
              <w:sz w:val="28"/>
              <w:szCs w:val="28"/>
              <w:highlight w:val="none"/>
              <w:lang w:val="en-US" w:eastAsia="zh-CN" w:bidi="ar-SA"/>
            </w:rPr>
            <w:fldChar w:fldCharType="separate"/>
          </w:r>
          <w:r>
            <w:rPr>
              <w:rFonts w:hint="eastAsia" w:ascii="仿宋_GB2312" w:hAnsi="仿宋_GB2312" w:eastAsia="仿宋_GB2312" w:cs="仿宋_GB2312"/>
              <w:kern w:val="2"/>
              <w:sz w:val="28"/>
              <w:szCs w:val="28"/>
              <w:lang w:val="en-US" w:eastAsia="zh-CN" w:bidi="ar-SA"/>
            </w:rPr>
            <w:t>第七章 投标文件格式</w:t>
          </w:r>
          <w:r>
            <w:rPr>
              <w:rFonts w:hint="eastAsia" w:ascii="仿宋_GB2312" w:hAnsi="仿宋_GB2312" w:eastAsia="仿宋_GB2312" w:cs="仿宋_GB2312"/>
              <w:kern w:val="2"/>
              <w:sz w:val="28"/>
              <w:szCs w:val="28"/>
              <w:lang w:val="en-US" w:eastAsia="zh-CN" w:bidi="ar-SA"/>
            </w:rPr>
            <w:tab/>
          </w:r>
          <w:r>
            <w:rPr>
              <w:rFonts w:hint="eastAsia" w:ascii="仿宋_GB2312" w:hAnsi="仿宋_GB2312" w:eastAsia="仿宋_GB2312" w:cs="仿宋_GB2312"/>
              <w:kern w:val="2"/>
              <w:sz w:val="28"/>
              <w:szCs w:val="28"/>
              <w:lang w:val="en-US" w:eastAsia="zh-CN" w:bidi="ar-SA"/>
            </w:rPr>
            <w:fldChar w:fldCharType="begin"/>
          </w:r>
          <w:r>
            <w:rPr>
              <w:rFonts w:hint="eastAsia" w:ascii="仿宋_GB2312" w:hAnsi="仿宋_GB2312" w:eastAsia="仿宋_GB2312" w:cs="仿宋_GB2312"/>
              <w:kern w:val="2"/>
              <w:sz w:val="28"/>
              <w:szCs w:val="28"/>
              <w:lang w:val="en-US" w:eastAsia="zh-CN" w:bidi="ar-SA"/>
            </w:rPr>
            <w:instrText xml:space="preserve"> PAGEREF _Toc28597 </w:instrText>
          </w:r>
          <w:r>
            <w:rPr>
              <w:rFonts w:hint="eastAsia" w:ascii="仿宋_GB2312" w:hAnsi="仿宋_GB2312" w:eastAsia="仿宋_GB2312" w:cs="仿宋_GB2312"/>
              <w:kern w:val="2"/>
              <w:sz w:val="28"/>
              <w:szCs w:val="28"/>
              <w:lang w:val="en-US" w:eastAsia="zh-CN" w:bidi="ar-SA"/>
            </w:rPr>
            <w:fldChar w:fldCharType="separate"/>
          </w:r>
          <w:r>
            <w:rPr>
              <w:rFonts w:hint="eastAsia" w:ascii="仿宋_GB2312" w:hAnsi="仿宋_GB2312" w:eastAsia="仿宋_GB2312" w:cs="仿宋_GB2312"/>
              <w:kern w:val="2"/>
              <w:sz w:val="28"/>
              <w:szCs w:val="28"/>
              <w:lang w:val="en-US" w:eastAsia="zh-CN" w:bidi="ar-SA"/>
            </w:rPr>
            <w:t>64</w:t>
          </w:r>
          <w:r>
            <w:rPr>
              <w:rFonts w:hint="eastAsia" w:ascii="仿宋_GB2312" w:hAnsi="仿宋_GB2312" w:eastAsia="仿宋_GB2312" w:cs="仿宋_GB2312"/>
              <w:kern w:val="2"/>
              <w:sz w:val="28"/>
              <w:szCs w:val="28"/>
              <w:lang w:val="en-US" w:eastAsia="zh-CN" w:bidi="ar-SA"/>
            </w:rPr>
            <w:fldChar w:fldCharType="end"/>
          </w:r>
          <w:r>
            <w:rPr>
              <w:rFonts w:hint="eastAsia" w:ascii="仿宋_GB2312" w:hAnsi="仿宋_GB2312" w:eastAsia="仿宋_GB2312" w:cs="仿宋_GB2312"/>
              <w:bCs/>
              <w:kern w:val="2"/>
              <w:sz w:val="28"/>
              <w:szCs w:val="28"/>
              <w:highlight w:val="none"/>
              <w:lang w:val="en-US" w:eastAsia="zh-CN" w:bidi="ar-SA"/>
            </w:rPr>
            <w:fldChar w:fldCharType="end"/>
          </w:r>
        </w:p>
        <w:p>
          <w:pPr>
            <w:keepNext w:val="0"/>
            <w:keepLines w:val="0"/>
            <w:pageBreakBefore w:val="0"/>
            <w:widowControl w:val="0"/>
            <w:kinsoku/>
            <w:wordWrap/>
            <w:overflowPunct/>
            <w:topLinePunct w:val="0"/>
            <w:autoSpaceDE/>
            <w:autoSpaceDN/>
            <w:bidi w:val="0"/>
            <w:spacing w:line="560" w:lineRule="exact"/>
            <w:ind w:left="0" w:leftChars="0" w:right="0" w:rightChars="0" w:firstLine="0" w:firstLineChars="0"/>
            <w:jc w:val="both"/>
            <w:textAlignment w:val="auto"/>
            <w:outlineLvl w:val="9"/>
            <w:rPr>
              <w:rFonts w:asciiTheme="minorHAnsi" w:hAnsiTheme="minorHAnsi" w:eastAsiaTheme="minorEastAsia"/>
              <w:bCs/>
              <w:szCs w:val="44"/>
              <w:highlight w:val="none"/>
            </w:rPr>
          </w:pPr>
          <w:r>
            <w:rPr>
              <w:rFonts w:hint="eastAsia" w:ascii="仿宋_GB2312" w:hAnsi="仿宋_GB2312" w:eastAsia="仿宋_GB2312" w:cs="仿宋_GB2312"/>
              <w:bCs/>
              <w:kern w:val="2"/>
              <w:sz w:val="28"/>
              <w:szCs w:val="28"/>
              <w:highlight w:val="none"/>
              <w:lang w:val="en-US" w:eastAsia="zh-CN" w:bidi="ar-SA"/>
            </w:rPr>
            <w:fldChar w:fldCharType="end"/>
          </w:r>
        </w:p>
      </w:sdtContent>
    </w:sdt>
    <w:p>
      <w:pPr>
        <w:pStyle w:val="13"/>
        <w:pageBreakBefore/>
        <w:spacing w:before="0" w:after="0" w:line="560" w:lineRule="exact"/>
        <w:rPr>
          <w:rFonts w:hint="eastAsia"/>
          <w:highlight w:val="none"/>
        </w:rPr>
        <w:sectPr>
          <w:footerReference r:id="rId6" w:type="default"/>
          <w:pgSz w:w="11907" w:h="16840"/>
          <w:pgMar w:top="1134" w:right="1134" w:bottom="1134" w:left="1134" w:header="851" w:footer="992" w:gutter="0"/>
          <w:pgNumType w:fmt="decimal"/>
          <w:cols w:space="720" w:num="1"/>
          <w:docGrid w:linePitch="312" w:charSpace="0"/>
        </w:sectPr>
      </w:pPr>
      <w:bookmarkStart w:id="0" w:name="_Toc5714"/>
    </w:p>
    <w:p>
      <w:pPr>
        <w:pStyle w:val="13"/>
        <w:pageBreakBefore/>
        <w:spacing w:before="0" w:after="0" w:line="560" w:lineRule="exact"/>
        <w:rPr>
          <w:highlight w:val="none"/>
        </w:rPr>
      </w:pPr>
      <w:r>
        <w:rPr>
          <w:rFonts w:hint="eastAsia"/>
          <w:highlight w:val="none"/>
        </w:rPr>
        <w:t>第一章 招标公告</w:t>
      </w:r>
      <w:bookmarkEnd w:id="0"/>
    </w:p>
    <w:p>
      <w:pPr>
        <w:keepNext w:val="0"/>
        <w:keepLines w:val="0"/>
        <w:pageBreakBefore w:val="0"/>
        <w:widowControl/>
        <w:kinsoku/>
        <w:overflowPunct/>
        <w:topLinePunct w:val="0"/>
        <w:bidi w:val="0"/>
        <w:snapToGrid w:val="0"/>
        <w:spacing w:line="560" w:lineRule="exact"/>
        <w:ind w:right="0" w:rightChars="0" w:firstLine="562" w:firstLineChars="200"/>
        <w:jc w:val="left"/>
        <w:textAlignment w:val="auto"/>
        <w:outlineLvl w:val="9"/>
        <w:rPr>
          <w:rFonts w:ascii="仿宋_GB2312" w:hAnsi="仿宋_GB2312" w:eastAsia="仿宋_GB2312" w:cs="仿宋_GB2312"/>
          <w:kern w:val="0"/>
          <w:sz w:val="28"/>
          <w:szCs w:val="28"/>
          <w:highlight w:val="none"/>
        </w:rPr>
      </w:pPr>
      <w:r>
        <w:rPr>
          <w:rFonts w:hint="eastAsia" w:ascii="仿宋_GB2312" w:hAnsi="仿宋_GB2312" w:eastAsia="仿宋_GB2312" w:cs="仿宋_GB2312"/>
          <w:b/>
          <w:bCs/>
          <w:kern w:val="0"/>
          <w:sz w:val="28"/>
          <w:szCs w:val="28"/>
          <w:highlight w:val="none"/>
        </w:rPr>
        <w:t>一、招标内容</w:t>
      </w:r>
    </w:p>
    <w:p>
      <w:pPr>
        <w:keepNext w:val="0"/>
        <w:keepLines w:val="0"/>
        <w:pageBreakBefore w:val="0"/>
        <w:widowControl/>
        <w:numPr>
          <w:ilvl w:val="0"/>
          <w:numId w:val="1"/>
        </w:numPr>
        <w:kinsoku/>
        <w:overflowPunct/>
        <w:topLinePunct w:val="0"/>
        <w:bidi w:val="0"/>
        <w:adjustRightInd w:val="0"/>
        <w:snapToGrid w:val="0"/>
        <w:spacing w:line="560" w:lineRule="exact"/>
        <w:ind w:right="0" w:rightChars="0" w:firstLine="562" w:firstLineChars="200"/>
        <w:textAlignment w:val="auto"/>
        <w:outlineLvl w:val="9"/>
        <w:rPr>
          <w:rFonts w:ascii="仿宋_GB2312" w:hAnsi="仿宋_GB2312" w:eastAsia="仿宋_GB2312" w:cs="仿宋_GB2312"/>
          <w:b/>
          <w:bCs/>
          <w:kern w:val="0"/>
          <w:sz w:val="28"/>
          <w:szCs w:val="28"/>
          <w:highlight w:val="none"/>
        </w:rPr>
      </w:pPr>
      <w:r>
        <w:rPr>
          <w:rFonts w:hint="eastAsia" w:ascii="仿宋_GB2312" w:hAnsi="仿宋_GB2312" w:eastAsia="仿宋_GB2312" w:cs="仿宋_GB2312"/>
          <w:b/>
          <w:bCs/>
          <w:kern w:val="0"/>
          <w:sz w:val="28"/>
          <w:szCs w:val="28"/>
          <w:highlight w:val="none"/>
        </w:rPr>
        <w:t>项目概况：</w:t>
      </w:r>
      <w:r>
        <w:rPr>
          <w:rFonts w:hint="eastAsia" w:ascii="仿宋_GB2312" w:hAnsi="仿宋_GB2312" w:eastAsia="仿宋_GB2312" w:cs="仿宋_GB2312"/>
          <w:b/>
          <w:bCs/>
          <w:kern w:val="0"/>
          <w:sz w:val="28"/>
          <w:szCs w:val="28"/>
          <w:highlight w:val="none"/>
          <w:lang w:val="en-US" w:eastAsia="zh-CN"/>
        </w:rPr>
        <w:t>增加T3航站楼值机岛开包间后端隔断</w:t>
      </w:r>
      <w:r>
        <w:rPr>
          <w:rFonts w:hint="eastAsia" w:ascii="仿宋_GB2312" w:hAnsi="仿宋_GB2312" w:eastAsia="仿宋_GB2312" w:cs="仿宋_GB2312"/>
          <w:b/>
          <w:bCs/>
          <w:kern w:val="0"/>
          <w:sz w:val="28"/>
          <w:szCs w:val="28"/>
          <w:highlight w:val="none"/>
        </w:rPr>
        <w:t>。</w:t>
      </w:r>
    </w:p>
    <w:p>
      <w:pPr>
        <w:keepNext w:val="0"/>
        <w:keepLines w:val="0"/>
        <w:pageBreakBefore w:val="0"/>
        <w:widowControl/>
        <w:numPr>
          <w:ilvl w:val="0"/>
          <w:numId w:val="1"/>
        </w:numPr>
        <w:kinsoku/>
        <w:overflowPunct/>
        <w:topLinePunct w:val="0"/>
        <w:bidi w:val="0"/>
        <w:adjustRightInd w:val="0"/>
        <w:snapToGrid w:val="0"/>
        <w:spacing w:line="560" w:lineRule="exact"/>
        <w:ind w:right="0" w:rightChars="0" w:firstLine="560" w:firstLineChars="200"/>
        <w:textAlignment w:val="auto"/>
        <w:outlineLvl w:val="9"/>
        <w:rPr>
          <w:rFonts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实施内容：详见工程量清单</w:t>
      </w:r>
      <w:r>
        <w:rPr>
          <w:rFonts w:hint="eastAsia" w:ascii="仿宋_GB2312" w:hAnsi="仿宋_GB2312" w:eastAsia="仿宋_GB2312" w:cs="仿宋_GB2312"/>
          <w:kern w:val="0"/>
          <w:sz w:val="28"/>
          <w:szCs w:val="28"/>
          <w:highlight w:val="none"/>
          <w:lang w:eastAsia="zh-CN"/>
        </w:rPr>
        <w:t>、</w:t>
      </w:r>
      <w:r>
        <w:rPr>
          <w:rFonts w:hint="eastAsia" w:ascii="仿宋_GB2312" w:hAnsi="仿宋_GB2312" w:eastAsia="仿宋_GB2312" w:cs="仿宋_GB2312"/>
          <w:kern w:val="0"/>
          <w:sz w:val="28"/>
          <w:szCs w:val="28"/>
          <w:highlight w:val="none"/>
          <w:lang w:val="en-US" w:eastAsia="zh-CN"/>
        </w:rPr>
        <w:t>图纸</w:t>
      </w:r>
      <w:r>
        <w:rPr>
          <w:rFonts w:hint="eastAsia" w:ascii="仿宋_GB2312" w:hAnsi="仿宋_GB2312" w:eastAsia="仿宋_GB2312" w:cs="仿宋_GB2312"/>
          <w:kern w:val="0"/>
          <w:sz w:val="28"/>
          <w:szCs w:val="28"/>
          <w:highlight w:val="none"/>
        </w:rPr>
        <w:t>和技术标准及要求。</w:t>
      </w:r>
    </w:p>
    <w:p>
      <w:pPr>
        <w:keepNext w:val="0"/>
        <w:keepLines w:val="0"/>
        <w:pageBreakBefore w:val="0"/>
        <w:widowControl/>
        <w:numPr>
          <w:ilvl w:val="0"/>
          <w:numId w:val="1"/>
        </w:numPr>
        <w:kinsoku/>
        <w:overflowPunct/>
        <w:topLinePunct w:val="0"/>
        <w:bidi w:val="0"/>
        <w:adjustRightInd w:val="0"/>
        <w:snapToGrid w:val="0"/>
        <w:spacing w:line="560" w:lineRule="exact"/>
        <w:ind w:right="0" w:rightChars="0" w:firstLine="560" w:firstLineChars="200"/>
        <w:textAlignment w:val="auto"/>
        <w:outlineLvl w:val="9"/>
        <w:rPr>
          <w:rFonts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本项目设一个标段，要求甲方通知进场后</w:t>
      </w:r>
      <w:r>
        <w:rPr>
          <w:rFonts w:hint="eastAsia" w:ascii="仿宋_GB2312" w:hAnsi="仿宋_GB2312" w:eastAsia="仿宋_GB2312" w:cs="仿宋_GB2312"/>
          <w:kern w:val="0"/>
          <w:sz w:val="28"/>
          <w:szCs w:val="28"/>
          <w:highlight w:val="none"/>
          <w:lang w:val="en-US" w:eastAsia="zh-CN"/>
        </w:rPr>
        <w:t>7</w:t>
      </w:r>
      <w:r>
        <w:rPr>
          <w:rFonts w:hint="eastAsia" w:ascii="仿宋_GB2312" w:hAnsi="仿宋_GB2312" w:eastAsia="仿宋_GB2312" w:cs="仿宋_GB2312"/>
          <w:kern w:val="0"/>
          <w:sz w:val="28"/>
          <w:szCs w:val="28"/>
          <w:highlight w:val="none"/>
        </w:rPr>
        <w:t>日历天内完工。</w:t>
      </w:r>
    </w:p>
    <w:p>
      <w:pPr>
        <w:keepNext w:val="0"/>
        <w:keepLines w:val="0"/>
        <w:pageBreakBefore w:val="0"/>
        <w:widowControl/>
        <w:kinsoku/>
        <w:overflowPunct/>
        <w:topLinePunct w:val="0"/>
        <w:bidi w:val="0"/>
        <w:snapToGrid w:val="0"/>
        <w:spacing w:line="560" w:lineRule="exact"/>
        <w:ind w:right="0" w:rightChars="0" w:firstLine="562" w:firstLineChars="200"/>
        <w:jc w:val="left"/>
        <w:textAlignment w:val="auto"/>
        <w:outlineLvl w:val="9"/>
        <w:rPr>
          <w:rFonts w:ascii="仿宋_GB2312" w:hAnsi="仿宋_GB2312" w:eastAsia="仿宋_GB2312" w:cs="仿宋_GB2312"/>
          <w:b/>
          <w:bCs/>
          <w:kern w:val="0"/>
          <w:sz w:val="28"/>
          <w:szCs w:val="28"/>
          <w:highlight w:val="none"/>
        </w:rPr>
      </w:pPr>
      <w:r>
        <w:rPr>
          <w:rFonts w:hint="eastAsia" w:ascii="仿宋_GB2312" w:hAnsi="仿宋_GB2312" w:eastAsia="仿宋_GB2312" w:cs="仿宋_GB2312"/>
          <w:b/>
          <w:bCs/>
          <w:kern w:val="0"/>
          <w:sz w:val="28"/>
          <w:szCs w:val="28"/>
          <w:highlight w:val="none"/>
        </w:rPr>
        <w:t>二、资格要求 </w:t>
      </w:r>
    </w:p>
    <w:p>
      <w:pPr>
        <w:keepNext w:val="0"/>
        <w:keepLines w:val="0"/>
        <w:pageBreakBefore w:val="0"/>
        <w:widowControl/>
        <w:numPr>
          <w:ilvl w:val="0"/>
          <w:numId w:val="2"/>
        </w:numPr>
        <w:kinsoku/>
        <w:overflowPunct/>
        <w:topLinePunct w:val="0"/>
        <w:bidi w:val="0"/>
        <w:adjustRightInd w:val="0"/>
        <w:snapToGrid w:val="0"/>
        <w:spacing w:line="560" w:lineRule="exact"/>
        <w:ind w:left="70" w:leftChars="0" w:right="0" w:rightChars="0" w:firstLine="562" w:firstLineChars="200"/>
        <w:textAlignment w:val="auto"/>
        <w:outlineLvl w:val="9"/>
        <w:rPr>
          <w:rFonts w:ascii="仿宋_GB2312" w:hAnsi="仿宋_GB2312" w:eastAsia="仿宋_GB2312" w:cs="仿宋_GB2312"/>
          <w:b/>
          <w:bCs/>
          <w:sz w:val="28"/>
          <w:szCs w:val="28"/>
          <w:highlight w:val="none"/>
        </w:rPr>
      </w:pPr>
      <w:r>
        <w:rPr>
          <w:rFonts w:hint="eastAsia" w:ascii="仿宋_GB2312" w:hAnsi="仿宋_GB2312" w:eastAsia="仿宋_GB2312" w:cs="仿宋_GB2312"/>
          <w:b/>
          <w:bCs/>
          <w:kern w:val="0"/>
          <w:sz w:val="28"/>
          <w:szCs w:val="28"/>
          <w:highlight w:val="none"/>
        </w:rPr>
        <w:t>投标人具备</w:t>
      </w:r>
      <w:r>
        <w:rPr>
          <w:rFonts w:hint="eastAsia" w:ascii="仿宋_GB2312" w:hAnsi="仿宋_GB2312" w:eastAsia="仿宋_GB2312" w:cs="仿宋_GB2312"/>
          <w:b/>
          <w:bCs/>
          <w:kern w:val="0"/>
          <w:sz w:val="28"/>
          <w:szCs w:val="28"/>
          <w:highlight w:val="none"/>
          <w:u w:val="single"/>
        </w:rPr>
        <w:t>建筑工程施工总承包三级</w:t>
      </w:r>
      <w:r>
        <w:rPr>
          <w:rFonts w:hint="eastAsia" w:ascii="仿宋_GB2312" w:hAnsi="仿宋_GB2312" w:eastAsia="仿宋_GB2312" w:cs="仿宋_GB2312"/>
          <w:b/>
          <w:bCs/>
          <w:kern w:val="0"/>
          <w:sz w:val="28"/>
          <w:szCs w:val="28"/>
          <w:highlight w:val="none"/>
        </w:rPr>
        <w:t>或</w:t>
      </w:r>
      <w:r>
        <w:rPr>
          <w:rFonts w:hint="eastAsia" w:ascii="仿宋_GB2312" w:hAnsi="仿宋_GB2312" w:eastAsia="仿宋_GB2312" w:cs="仿宋_GB2312"/>
          <w:b/>
          <w:bCs/>
          <w:kern w:val="0"/>
          <w:sz w:val="28"/>
          <w:szCs w:val="28"/>
          <w:highlight w:val="none"/>
          <w:u w:val="single"/>
        </w:rPr>
        <w:t>建筑</w:t>
      </w:r>
      <w:r>
        <w:rPr>
          <w:rFonts w:hint="eastAsia" w:ascii="仿宋_GB2312" w:hAnsi="仿宋_GB2312" w:eastAsia="仿宋_GB2312" w:cs="仿宋_GB2312"/>
          <w:b/>
          <w:bCs/>
          <w:kern w:val="0"/>
          <w:sz w:val="28"/>
          <w:szCs w:val="28"/>
          <w:highlight w:val="none"/>
          <w:u w:val="single"/>
          <w:lang w:val="en-US" w:eastAsia="zh-CN"/>
        </w:rPr>
        <w:t>装修装饰工程专业承包二级</w:t>
      </w:r>
      <w:r>
        <w:rPr>
          <w:rFonts w:hint="eastAsia" w:ascii="仿宋_GB2312" w:hAnsi="仿宋_GB2312" w:eastAsia="仿宋_GB2312" w:cs="仿宋_GB2312"/>
          <w:b/>
          <w:bCs/>
          <w:kern w:val="0"/>
          <w:sz w:val="28"/>
          <w:szCs w:val="28"/>
          <w:highlight w:val="none"/>
        </w:rPr>
        <w:t>及以上资质。</w:t>
      </w:r>
    </w:p>
    <w:p>
      <w:pPr>
        <w:keepNext w:val="0"/>
        <w:keepLines w:val="0"/>
        <w:pageBreakBefore w:val="0"/>
        <w:widowControl/>
        <w:numPr>
          <w:ilvl w:val="0"/>
          <w:numId w:val="2"/>
        </w:numPr>
        <w:kinsoku/>
        <w:overflowPunct/>
        <w:topLinePunct w:val="0"/>
        <w:bidi w:val="0"/>
        <w:adjustRightInd w:val="0"/>
        <w:snapToGrid w:val="0"/>
        <w:spacing w:line="560" w:lineRule="exact"/>
        <w:ind w:left="70" w:leftChars="0" w:right="0" w:rightChars="0" w:firstLine="562" w:firstLineChars="200"/>
        <w:textAlignment w:val="auto"/>
        <w:outlineLvl w:val="9"/>
        <w:rPr>
          <w:rFonts w:ascii="仿宋_GB2312" w:hAnsi="仿宋_GB2312" w:eastAsia="仿宋_GB2312" w:cs="仿宋_GB2312"/>
          <w:b/>
          <w:bCs/>
          <w:kern w:val="0"/>
          <w:sz w:val="28"/>
          <w:szCs w:val="28"/>
          <w:highlight w:val="none"/>
        </w:rPr>
      </w:pPr>
      <w:r>
        <w:rPr>
          <w:rFonts w:hint="eastAsia" w:ascii="仿宋_GB2312" w:hAnsi="仿宋_GB2312" w:eastAsia="仿宋_GB2312" w:cs="仿宋_GB2312"/>
          <w:b/>
          <w:bCs/>
          <w:kern w:val="0"/>
          <w:sz w:val="28"/>
          <w:szCs w:val="28"/>
          <w:highlight w:val="none"/>
        </w:rPr>
        <w:t>投标人应具有有效的《安全生产许可证》。</w:t>
      </w:r>
    </w:p>
    <w:p>
      <w:pPr>
        <w:keepNext w:val="0"/>
        <w:keepLines w:val="0"/>
        <w:pageBreakBefore w:val="0"/>
        <w:widowControl/>
        <w:numPr>
          <w:ilvl w:val="0"/>
          <w:numId w:val="2"/>
        </w:numPr>
        <w:kinsoku/>
        <w:overflowPunct/>
        <w:topLinePunct w:val="0"/>
        <w:bidi w:val="0"/>
        <w:adjustRightInd w:val="0"/>
        <w:snapToGrid w:val="0"/>
        <w:spacing w:line="560" w:lineRule="exact"/>
        <w:ind w:left="70" w:leftChars="0" w:right="0" w:rightChars="0" w:firstLine="562" w:firstLineChars="200"/>
        <w:textAlignment w:val="auto"/>
        <w:outlineLvl w:val="9"/>
        <w:rPr>
          <w:rFonts w:ascii="仿宋_GB2312" w:hAnsi="仿宋_GB2312" w:eastAsia="仿宋_GB2312" w:cs="仿宋_GB2312"/>
          <w:b/>
          <w:bCs/>
          <w:kern w:val="0"/>
          <w:sz w:val="28"/>
          <w:szCs w:val="28"/>
          <w:highlight w:val="none"/>
        </w:rPr>
      </w:pPr>
      <w:r>
        <w:rPr>
          <w:rFonts w:hint="eastAsia" w:ascii="仿宋_GB2312" w:hAnsi="仿宋_GB2312" w:eastAsia="仿宋_GB2312" w:cs="仿宋_GB2312"/>
          <w:b/>
          <w:bCs/>
          <w:kern w:val="0"/>
          <w:sz w:val="28"/>
          <w:szCs w:val="28"/>
          <w:highlight w:val="none"/>
        </w:rPr>
        <w:t>项目经理资格要求：具有</w:t>
      </w:r>
      <w:r>
        <w:rPr>
          <w:rFonts w:hint="eastAsia" w:ascii="仿宋_GB2312" w:hAnsi="仿宋_GB2312" w:eastAsia="仿宋_GB2312" w:cs="仿宋_GB2312"/>
          <w:b/>
          <w:bCs/>
          <w:kern w:val="0"/>
          <w:sz w:val="28"/>
          <w:szCs w:val="28"/>
          <w:highlight w:val="none"/>
          <w:u w:val="single"/>
          <w:lang w:val="en-US" w:eastAsia="zh-CN"/>
        </w:rPr>
        <w:t>建筑专业</w:t>
      </w:r>
      <w:r>
        <w:rPr>
          <w:rFonts w:hint="eastAsia" w:ascii="仿宋_GB2312" w:hAnsi="仿宋_GB2312" w:eastAsia="仿宋_GB2312" w:cs="仿宋_GB2312"/>
          <w:b/>
          <w:bCs/>
          <w:kern w:val="0"/>
          <w:sz w:val="28"/>
          <w:szCs w:val="28"/>
          <w:highlight w:val="none"/>
        </w:rPr>
        <w:t>二级及以上注册建造师执业证书。</w:t>
      </w:r>
    </w:p>
    <w:p>
      <w:pPr>
        <w:keepNext w:val="0"/>
        <w:keepLines w:val="0"/>
        <w:pageBreakBefore w:val="0"/>
        <w:widowControl/>
        <w:numPr>
          <w:ilvl w:val="0"/>
          <w:numId w:val="2"/>
        </w:numPr>
        <w:kinsoku/>
        <w:overflowPunct/>
        <w:topLinePunct w:val="0"/>
        <w:bidi w:val="0"/>
        <w:adjustRightInd w:val="0"/>
        <w:snapToGrid w:val="0"/>
        <w:spacing w:line="560" w:lineRule="exact"/>
        <w:ind w:left="70" w:leftChars="0" w:right="0" w:rightChars="0" w:firstLine="562" w:firstLineChars="200"/>
        <w:textAlignment w:val="auto"/>
        <w:outlineLvl w:val="9"/>
        <w:rPr>
          <w:rFonts w:ascii="仿宋_GB2312" w:hAnsi="仿宋_GB2312" w:eastAsia="仿宋_GB2312" w:cs="仿宋_GB2312"/>
          <w:b/>
          <w:bCs/>
          <w:kern w:val="0"/>
          <w:sz w:val="28"/>
          <w:szCs w:val="28"/>
          <w:highlight w:val="none"/>
        </w:rPr>
      </w:pPr>
      <w:r>
        <w:rPr>
          <w:rFonts w:hint="eastAsia" w:ascii="仿宋_GB2312" w:hAnsi="仿宋_GB2312" w:eastAsia="仿宋_GB2312" w:cs="仿宋_GB2312"/>
          <w:b/>
          <w:bCs/>
          <w:kern w:val="0"/>
          <w:sz w:val="28"/>
          <w:szCs w:val="28"/>
          <w:highlight w:val="none"/>
        </w:rPr>
        <w:t>本项目不接受联合体投标。</w:t>
      </w:r>
    </w:p>
    <w:p>
      <w:pPr>
        <w:keepNext w:val="0"/>
        <w:keepLines w:val="0"/>
        <w:pageBreakBefore w:val="0"/>
        <w:widowControl/>
        <w:kinsoku/>
        <w:overflowPunct/>
        <w:topLinePunct w:val="0"/>
        <w:bidi w:val="0"/>
        <w:snapToGrid w:val="0"/>
        <w:spacing w:line="560" w:lineRule="exact"/>
        <w:ind w:right="0" w:rightChars="0" w:firstLine="562" w:firstLineChars="200"/>
        <w:jc w:val="left"/>
        <w:textAlignment w:val="auto"/>
        <w:outlineLvl w:val="9"/>
        <w:rPr>
          <w:rFonts w:ascii="仿宋_GB2312" w:hAnsi="仿宋_GB2312" w:eastAsia="仿宋_GB2312" w:cs="仿宋_GB2312"/>
          <w:b/>
          <w:bCs/>
          <w:kern w:val="0"/>
          <w:sz w:val="28"/>
          <w:szCs w:val="28"/>
          <w:highlight w:val="none"/>
        </w:rPr>
      </w:pPr>
      <w:bookmarkStart w:id="1" w:name="_Toc448097403"/>
      <w:bookmarkStart w:id="2" w:name="_Toc448097402"/>
      <w:r>
        <w:rPr>
          <w:rFonts w:hint="eastAsia" w:ascii="仿宋_GB2312" w:hAnsi="仿宋_GB2312" w:eastAsia="仿宋_GB2312" w:cs="仿宋_GB2312"/>
          <w:b/>
          <w:bCs/>
          <w:kern w:val="0"/>
          <w:sz w:val="28"/>
          <w:szCs w:val="28"/>
          <w:highlight w:val="none"/>
        </w:rPr>
        <w:t>三、招标文件获取</w:t>
      </w:r>
    </w:p>
    <w:p>
      <w:pPr>
        <w:keepNext w:val="0"/>
        <w:keepLines w:val="0"/>
        <w:pageBreakBefore w:val="0"/>
        <w:kinsoku/>
        <w:overflowPunct/>
        <w:topLinePunct w:val="0"/>
        <w:bidi w:val="0"/>
        <w:snapToGrid w:val="0"/>
        <w:spacing w:line="560" w:lineRule="exact"/>
        <w:ind w:right="0" w:rightChars="0" w:firstLine="560" w:firstLineChars="200"/>
        <w:textAlignment w:val="auto"/>
        <w:outlineLvl w:val="9"/>
        <w:rPr>
          <w:rFonts w:ascii="仿宋_GB2312" w:hAnsi="仿宋_GB2312" w:eastAsia="仿宋_GB2312" w:cs="仿宋_GB2312"/>
          <w:sz w:val="28"/>
          <w:szCs w:val="28"/>
          <w:highlight w:val="none"/>
        </w:rPr>
      </w:pPr>
      <w:r>
        <w:rPr>
          <w:rFonts w:hint="eastAsia" w:ascii="仿宋_GB2312" w:hAnsi="仿宋_GB2312" w:eastAsia="仿宋_GB2312" w:cs="仿宋_GB2312"/>
          <w:kern w:val="0"/>
          <w:sz w:val="28"/>
          <w:szCs w:val="28"/>
          <w:highlight w:val="none"/>
        </w:rPr>
        <w:t>凡符合资格条件并有投标意向的潜在投标人，请通过杭州萧山国际机场有限公司主页</w:t>
      </w:r>
      <w:r>
        <w:rPr>
          <w:rFonts w:ascii="仿宋_GB2312" w:hAnsi="仿宋_GB2312" w:eastAsia="仿宋_GB2312" w:cs="仿宋_GB2312"/>
          <w:sz w:val="28"/>
          <w:szCs w:val="28"/>
          <w:highlight w:val="none"/>
        </w:rPr>
        <w:t>http://www.hzairport.com/tender/index.html</w:t>
      </w:r>
      <w:r>
        <w:rPr>
          <w:rFonts w:hint="eastAsia" w:ascii="仿宋_GB2312" w:hAnsi="仿宋_GB2312" w:eastAsia="仿宋_GB2312" w:cs="仿宋_GB2312"/>
          <w:kern w:val="0"/>
          <w:sz w:val="28"/>
          <w:szCs w:val="28"/>
          <w:highlight w:val="none"/>
        </w:rPr>
        <w:t>自行下载招标文件</w:t>
      </w:r>
      <w:r>
        <w:rPr>
          <w:rFonts w:hint="eastAsia" w:ascii="仿宋_GB2312" w:hAnsi="仿宋_GB2312" w:eastAsia="仿宋_GB2312" w:cs="仿宋_GB2312"/>
          <w:sz w:val="28"/>
          <w:szCs w:val="28"/>
          <w:highlight w:val="none"/>
        </w:rPr>
        <w:t>。</w:t>
      </w:r>
    </w:p>
    <w:p>
      <w:pPr>
        <w:keepNext w:val="0"/>
        <w:keepLines w:val="0"/>
        <w:pageBreakBefore w:val="0"/>
        <w:kinsoku/>
        <w:overflowPunct/>
        <w:topLinePunct w:val="0"/>
        <w:bidi w:val="0"/>
        <w:snapToGrid w:val="0"/>
        <w:spacing w:line="560" w:lineRule="exact"/>
        <w:ind w:right="0" w:rightChars="0" w:firstLine="562" w:firstLineChars="200"/>
        <w:textAlignment w:val="auto"/>
        <w:outlineLvl w:val="9"/>
        <w:rPr>
          <w:rFonts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rPr>
        <w:t>四、踏勘现场</w:t>
      </w:r>
    </w:p>
    <w:p>
      <w:pPr>
        <w:keepNext w:val="0"/>
        <w:keepLines w:val="0"/>
        <w:pageBreakBefore w:val="0"/>
        <w:kinsoku/>
        <w:overflowPunct/>
        <w:topLinePunct w:val="0"/>
        <w:bidi w:val="0"/>
        <w:snapToGrid w:val="0"/>
        <w:spacing w:line="560" w:lineRule="exact"/>
        <w:ind w:right="0" w:rightChars="0" w:firstLine="560" w:firstLineChars="200"/>
        <w:textAlignment w:val="auto"/>
        <w:outlineLvl w:val="9"/>
        <w:rPr>
          <w:rFonts w:ascii="仿宋_GB2312" w:hAnsi="仿宋_GB2312" w:eastAsia="仿宋_GB2312" w:cs="仿宋_GB2312"/>
          <w:b/>
          <w:bCs/>
          <w:color w:val="auto"/>
          <w:kern w:val="0"/>
          <w:sz w:val="28"/>
          <w:szCs w:val="28"/>
          <w:highlight w:val="none"/>
        </w:rPr>
      </w:pPr>
      <w:r>
        <w:rPr>
          <w:rFonts w:hint="eastAsia" w:ascii="仿宋_GB2312" w:hAnsi="仿宋_GB2312" w:eastAsia="仿宋_GB2312" w:cs="仿宋_GB2312"/>
          <w:sz w:val="28"/>
          <w:szCs w:val="28"/>
          <w:highlight w:val="none"/>
        </w:rPr>
        <w:t>招标人组织踏勘现场，集</w:t>
      </w:r>
      <w:r>
        <w:rPr>
          <w:rFonts w:hint="eastAsia" w:ascii="仿宋_GB2312" w:hAnsi="仿宋_GB2312" w:eastAsia="仿宋_GB2312" w:cs="仿宋_GB2312"/>
          <w:color w:val="auto"/>
          <w:sz w:val="28"/>
          <w:szCs w:val="28"/>
          <w:highlight w:val="none"/>
        </w:rPr>
        <w:t>中踏勘时间为</w:t>
      </w:r>
      <w:r>
        <w:rPr>
          <w:rFonts w:hint="eastAsia" w:ascii="仿宋_GB2312" w:hAnsi="仿宋_GB2312" w:eastAsia="仿宋_GB2312" w:cs="仿宋_GB2312"/>
          <w:color w:val="auto"/>
          <w:kern w:val="0"/>
          <w:sz w:val="28"/>
          <w:szCs w:val="28"/>
          <w:highlight w:val="none"/>
          <w:lang w:val="en-US" w:eastAsia="zh-CN"/>
        </w:rPr>
        <w:t>2024</w:t>
      </w:r>
      <w:r>
        <w:rPr>
          <w:rFonts w:hint="eastAsia" w:ascii="仿宋_GB2312" w:hAnsi="仿宋_GB2312" w:eastAsia="仿宋_GB2312" w:cs="仿宋_GB2312"/>
          <w:color w:val="auto"/>
          <w:kern w:val="0"/>
          <w:sz w:val="28"/>
          <w:szCs w:val="28"/>
          <w:highlight w:val="none"/>
        </w:rPr>
        <w:t>年</w:t>
      </w:r>
      <w:r>
        <w:rPr>
          <w:rFonts w:hint="eastAsia" w:ascii="仿宋_GB2312" w:hAnsi="仿宋_GB2312" w:eastAsia="仿宋_GB2312" w:cs="仿宋_GB2312"/>
          <w:color w:val="auto"/>
          <w:kern w:val="0"/>
          <w:sz w:val="28"/>
          <w:szCs w:val="28"/>
          <w:highlight w:val="none"/>
          <w:lang w:val="en-US" w:eastAsia="zh-CN"/>
        </w:rPr>
        <w:t>1</w:t>
      </w:r>
      <w:r>
        <w:rPr>
          <w:rFonts w:hint="eastAsia" w:ascii="仿宋_GB2312" w:hAnsi="仿宋_GB2312" w:eastAsia="仿宋_GB2312" w:cs="仿宋_GB2312"/>
          <w:color w:val="auto"/>
          <w:kern w:val="0"/>
          <w:sz w:val="28"/>
          <w:szCs w:val="28"/>
          <w:highlight w:val="none"/>
        </w:rPr>
        <w:t>月</w:t>
      </w:r>
      <w:r>
        <w:rPr>
          <w:rFonts w:hint="eastAsia" w:ascii="仿宋_GB2312" w:hAnsi="仿宋_GB2312" w:eastAsia="仿宋_GB2312" w:cs="仿宋_GB2312"/>
          <w:color w:val="auto"/>
          <w:kern w:val="0"/>
          <w:sz w:val="28"/>
          <w:szCs w:val="28"/>
          <w:highlight w:val="none"/>
          <w:lang w:val="en-US" w:eastAsia="zh-CN"/>
        </w:rPr>
        <w:t>18</w:t>
      </w:r>
      <w:r>
        <w:rPr>
          <w:rFonts w:hint="eastAsia" w:ascii="仿宋_GB2312" w:hAnsi="仿宋_GB2312" w:eastAsia="仿宋_GB2312" w:cs="仿宋_GB2312"/>
          <w:color w:val="auto"/>
          <w:kern w:val="0"/>
          <w:sz w:val="28"/>
          <w:szCs w:val="28"/>
          <w:highlight w:val="none"/>
        </w:rPr>
        <w:t>日</w:t>
      </w:r>
      <w:r>
        <w:rPr>
          <w:rFonts w:hint="eastAsia" w:ascii="仿宋_GB2312" w:hAnsi="仿宋_GB2312" w:eastAsia="仿宋_GB2312" w:cs="仿宋_GB2312"/>
          <w:color w:val="auto"/>
          <w:kern w:val="0"/>
          <w:sz w:val="28"/>
          <w:szCs w:val="28"/>
          <w:highlight w:val="none"/>
          <w:lang w:val="en-US" w:eastAsia="zh-CN"/>
        </w:rPr>
        <w:t>9</w:t>
      </w:r>
      <w:r>
        <w:rPr>
          <w:rFonts w:hint="eastAsia" w:ascii="仿宋_GB2312" w:hAnsi="仿宋_GB2312" w:eastAsia="仿宋_GB2312" w:cs="仿宋_GB2312"/>
          <w:color w:val="auto"/>
          <w:kern w:val="0"/>
          <w:sz w:val="28"/>
          <w:szCs w:val="28"/>
          <w:highlight w:val="none"/>
        </w:rPr>
        <w:t>时</w:t>
      </w:r>
      <w:r>
        <w:rPr>
          <w:rFonts w:hint="eastAsia" w:ascii="仿宋_GB2312" w:hAnsi="仿宋_GB2312" w:eastAsia="仿宋_GB2312" w:cs="仿宋_GB2312"/>
          <w:color w:val="auto"/>
          <w:kern w:val="0"/>
          <w:sz w:val="28"/>
          <w:szCs w:val="28"/>
          <w:highlight w:val="none"/>
          <w:lang w:val="en-US" w:eastAsia="zh-CN"/>
        </w:rPr>
        <w:t>00</w:t>
      </w:r>
      <w:r>
        <w:rPr>
          <w:rFonts w:hint="eastAsia" w:ascii="仿宋_GB2312" w:hAnsi="仿宋_GB2312" w:eastAsia="仿宋_GB2312" w:cs="仿宋_GB2312"/>
          <w:color w:val="auto"/>
          <w:kern w:val="0"/>
          <w:sz w:val="28"/>
          <w:szCs w:val="28"/>
          <w:highlight w:val="none"/>
        </w:rPr>
        <w:t>分（北京时间）。踏勘集中地点为</w:t>
      </w:r>
      <w:r>
        <w:rPr>
          <w:rFonts w:hint="eastAsia" w:ascii="仿宋_GB2312" w:hAnsi="仿宋_GB2312" w:eastAsia="仿宋_GB2312" w:cs="仿宋_GB2312"/>
          <w:b/>
          <w:bCs/>
          <w:color w:val="auto"/>
          <w:kern w:val="0"/>
          <w:sz w:val="28"/>
          <w:szCs w:val="28"/>
          <w:highlight w:val="none"/>
        </w:rPr>
        <w:t>杭州萧山国际机场物业维修中心</w:t>
      </w:r>
      <w:r>
        <w:rPr>
          <w:rFonts w:hint="eastAsia" w:ascii="仿宋_GB2312" w:hAnsi="仿宋_GB2312" w:eastAsia="仿宋_GB2312" w:cs="仿宋_GB2312"/>
          <w:color w:val="auto"/>
          <w:kern w:val="0"/>
          <w:sz w:val="28"/>
          <w:szCs w:val="28"/>
          <w:highlight w:val="none"/>
        </w:rPr>
        <w:t>，</w:t>
      </w:r>
      <w:r>
        <w:rPr>
          <w:rFonts w:hint="eastAsia" w:ascii="仿宋_GB2312" w:hAnsi="仿宋_GB2312" w:eastAsia="仿宋_GB2312" w:cs="仿宋_GB2312"/>
          <w:b/>
          <w:bCs/>
          <w:color w:val="auto"/>
          <w:kern w:val="0"/>
          <w:sz w:val="28"/>
          <w:szCs w:val="28"/>
          <w:highlight w:val="none"/>
        </w:rPr>
        <w:t>由于未参加现场踏勘引起的报价失误等责任由投标人自负。</w:t>
      </w:r>
    </w:p>
    <w:p>
      <w:pPr>
        <w:keepNext w:val="0"/>
        <w:keepLines w:val="0"/>
        <w:pageBreakBefore w:val="0"/>
        <w:kinsoku/>
        <w:overflowPunct/>
        <w:topLinePunct w:val="0"/>
        <w:bidi w:val="0"/>
        <w:snapToGrid w:val="0"/>
        <w:spacing w:line="560" w:lineRule="exact"/>
        <w:ind w:right="0" w:rightChars="0" w:firstLine="562" w:firstLineChars="200"/>
        <w:textAlignment w:val="auto"/>
        <w:outlineLvl w:val="9"/>
        <w:rPr>
          <w:rFonts w:ascii="仿宋_GB2312" w:hAnsi="仿宋_GB2312" w:eastAsia="仿宋_GB2312" w:cs="仿宋_GB2312"/>
          <w:b/>
          <w:bCs/>
          <w:color w:val="auto"/>
          <w:kern w:val="0"/>
          <w:sz w:val="28"/>
          <w:szCs w:val="28"/>
          <w:highlight w:val="none"/>
        </w:rPr>
      </w:pPr>
      <w:r>
        <w:rPr>
          <w:rFonts w:hint="eastAsia" w:ascii="仿宋_GB2312" w:hAnsi="仿宋_GB2312" w:eastAsia="仿宋_GB2312" w:cs="仿宋_GB2312"/>
          <w:b/>
          <w:bCs/>
          <w:color w:val="auto"/>
          <w:kern w:val="0"/>
          <w:sz w:val="28"/>
          <w:szCs w:val="28"/>
          <w:highlight w:val="none"/>
        </w:rPr>
        <w:t>五、招标答疑</w:t>
      </w:r>
    </w:p>
    <w:p>
      <w:pPr>
        <w:keepNext w:val="0"/>
        <w:keepLines w:val="0"/>
        <w:pageBreakBefore w:val="0"/>
        <w:kinsoku/>
        <w:overflowPunct/>
        <w:topLinePunct w:val="0"/>
        <w:bidi w:val="0"/>
        <w:snapToGrid w:val="0"/>
        <w:spacing w:line="560" w:lineRule="exact"/>
        <w:ind w:right="0" w:rightChars="0" w:firstLine="560" w:firstLineChars="200"/>
        <w:textAlignment w:val="auto"/>
        <w:outlineLvl w:val="9"/>
        <w:rPr>
          <w:rFonts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lang w:val="en-US" w:eastAsia="zh-CN"/>
        </w:rPr>
        <w:t>2024</w:t>
      </w:r>
      <w:r>
        <w:rPr>
          <w:rFonts w:hint="eastAsia" w:ascii="仿宋_GB2312" w:hAnsi="仿宋_GB2312" w:eastAsia="仿宋_GB2312" w:cs="仿宋_GB2312"/>
          <w:color w:val="auto"/>
          <w:kern w:val="0"/>
          <w:sz w:val="28"/>
          <w:szCs w:val="28"/>
          <w:highlight w:val="none"/>
        </w:rPr>
        <w:t>年</w:t>
      </w:r>
      <w:r>
        <w:rPr>
          <w:rFonts w:hint="eastAsia" w:ascii="仿宋_GB2312" w:hAnsi="仿宋_GB2312" w:eastAsia="仿宋_GB2312" w:cs="仿宋_GB2312"/>
          <w:color w:val="auto"/>
          <w:kern w:val="0"/>
          <w:sz w:val="28"/>
          <w:szCs w:val="28"/>
          <w:highlight w:val="none"/>
          <w:lang w:val="en-US" w:eastAsia="zh-CN"/>
        </w:rPr>
        <w:t>1</w:t>
      </w:r>
      <w:r>
        <w:rPr>
          <w:rFonts w:hint="eastAsia" w:ascii="仿宋_GB2312" w:hAnsi="仿宋_GB2312" w:eastAsia="仿宋_GB2312" w:cs="仿宋_GB2312"/>
          <w:color w:val="auto"/>
          <w:kern w:val="0"/>
          <w:sz w:val="28"/>
          <w:szCs w:val="28"/>
          <w:highlight w:val="none"/>
        </w:rPr>
        <w:t>月</w:t>
      </w:r>
      <w:r>
        <w:rPr>
          <w:rFonts w:hint="eastAsia" w:ascii="仿宋_GB2312" w:hAnsi="仿宋_GB2312" w:eastAsia="仿宋_GB2312" w:cs="仿宋_GB2312"/>
          <w:color w:val="auto"/>
          <w:kern w:val="0"/>
          <w:sz w:val="28"/>
          <w:szCs w:val="28"/>
          <w:highlight w:val="none"/>
          <w:lang w:val="en-US" w:eastAsia="zh-CN"/>
        </w:rPr>
        <w:t>19</w:t>
      </w:r>
      <w:r>
        <w:rPr>
          <w:rFonts w:hint="eastAsia" w:ascii="仿宋_GB2312" w:hAnsi="仿宋_GB2312" w:eastAsia="仿宋_GB2312" w:cs="仿宋_GB2312"/>
          <w:color w:val="auto"/>
          <w:kern w:val="0"/>
          <w:sz w:val="28"/>
          <w:szCs w:val="28"/>
          <w:highlight w:val="none"/>
        </w:rPr>
        <w:t>日</w:t>
      </w:r>
      <w:r>
        <w:rPr>
          <w:rFonts w:hint="eastAsia" w:ascii="仿宋_GB2312" w:hAnsi="仿宋_GB2312" w:eastAsia="仿宋_GB2312" w:cs="仿宋_GB2312"/>
          <w:color w:val="auto"/>
          <w:kern w:val="0"/>
          <w:sz w:val="28"/>
          <w:szCs w:val="28"/>
          <w:highlight w:val="none"/>
          <w:lang w:val="en-US" w:eastAsia="zh-CN"/>
        </w:rPr>
        <w:t>16</w:t>
      </w:r>
      <w:r>
        <w:rPr>
          <w:rFonts w:hint="eastAsia" w:ascii="仿宋_GB2312" w:hAnsi="仿宋_GB2312" w:eastAsia="仿宋_GB2312" w:cs="仿宋_GB2312"/>
          <w:color w:val="auto"/>
          <w:kern w:val="0"/>
          <w:sz w:val="28"/>
          <w:szCs w:val="28"/>
          <w:highlight w:val="none"/>
        </w:rPr>
        <w:t>时</w:t>
      </w:r>
      <w:r>
        <w:rPr>
          <w:rFonts w:hint="eastAsia" w:ascii="仿宋_GB2312" w:hAnsi="仿宋_GB2312" w:eastAsia="仿宋_GB2312" w:cs="仿宋_GB2312"/>
          <w:color w:val="auto"/>
          <w:kern w:val="0"/>
          <w:sz w:val="28"/>
          <w:szCs w:val="28"/>
          <w:highlight w:val="none"/>
          <w:lang w:val="en-US" w:eastAsia="zh-CN"/>
        </w:rPr>
        <w:t>00</w:t>
      </w:r>
      <w:r>
        <w:rPr>
          <w:rFonts w:hint="eastAsia" w:ascii="仿宋_GB2312" w:hAnsi="仿宋_GB2312" w:eastAsia="仿宋_GB2312" w:cs="仿宋_GB2312"/>
          <w:color w:val="auto"/>
          <w:kern w:val="0"/>
          <w:sz w:val="28"/>
          <w:szCs w:val="28"/>
          <w:highlight w:val="none"/>
        </w:rPr>
        <w:t>分前，以E-mail及书面形式提交给招标人（邮箱：373285581@qq.com，联系人：吴淼清）投标人必须在规定时间前提出对招标文件的疑问，否则招标人有权拒绝接收和拒绝回答未在截止时间前提出的疑问。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p>
      <w:pPr>
        <w:keepNext w:val="0"/>
        <w:keepLines w:val="0"/>
        <w:pageBreakBefore w:val="0"/>
        <w:widowControl/>
        <w:kinsoku/>
        <w:overflowPunct/>
        <w:topLinePunct w:val="0"/>
        <w:bidi w:val="0"/>
        <w:snapToGrid w:val="0"/>
        <w:spacing w:line="560" w:lineRule="exact"/>
        <w:ind w:right="0" w:rightChars="0" w:firstLine="562" w:firstLineChars="200"/>
        <w:jc w:val="left"/>
        <w:textAlignment w:val="auto"/>
        <w:outlineLvl w:val="9"/>
        <w:rPr>
          <w:rFonts w:ascii="仿宋_GB2312" w:hAnsi="仿宋_GB2312" w:eastAsia="仿宋_GB2312" w:cs="仿宋_GB2312"/>
          <w:b/>
          <w:bCs/>
          <w:color w:val="auto"/>
          <w:kern w:val="0"/>
          <w:sz w:val="28"/>
          <w:szCs w:val="28"/>
          <w:highlight w:val="none"/>
        </w:rPr>
      </w:pPr>
      <w:r>
        <w:rPr>
          <w:rFonts w:hint="eastAsia" w:ascii="仿宋_GB2312" w:hAnsi="仿宋_GB2312" w:eastAsia="仿宋_GB2312" w:cs="仿宋_GB2312"/>
          <w:b/>
          <w:bCs/>
          <w:color w:val="auto"/>
          <w:kern w:val="0"/>
          <w:sz w:val="28"/>
          <w:szCs w:val="28"/>
          <w:highlight w:val="none"/>
        </w:rPr>
        <w:t>六、投标文件的递交</w:t>
      </w:r>
    </w:p>
    <w:p>
      <w:pPr>
        <w:keepNext w:val="0"/>
        <w:keepLines w:val="0"/>
        <w:pageBreakBefore w:val="0"/>
        <w:widowControl/>
        <w:numPr>
          <w:ilvl w:val="0"/>
          <w:numId w:val="3"/>
        </w:numPr>
        <w:kinsoku/>
        <w:wordWrap w:val="0"/>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kern w:val="0"/>
          <w:sz w:val="28"/>
          <w:szCs w:val="28"/>
          <w:highlight w:val="none"/>
        </w:rPr>
        <w:t>投标文件递交截止时间：</w:t>
      </w:r>
      <w:r>
        <w:rPr>
          <w:rFonts w:hint="eastAsia" w:ascii="仿宋_GB2312" w:hAnsi="仿宋_GB2312" w:eastAsia="仿宋_GB2312" w:cs="仿宋_GB2312"/>
          <w:color w:val="auto"/>
          <w:kern w:val="0"/>
          <w:sz w:val="28"/>
          <w:szCs w:val="28"/>
          <w:highlight w:val="none"/>
          <w:lang w:val="en-US" w:eastAsia="zh-CN"/>
        </w:rPr>
        <w:t>2024</w:t>
      </w:r>
      <w:r>
        <w:rPr>
          <w:rFonts w:hint="eastAsia" w:ascii="仿宋_GB2312" w:hAnsi="仿宋_GB2312" w:eastAsia="仿宋_GB2312" w:cs="仿宋_GB2312"/>
          <w:color w:val="auto"/>
          <w:kern w:val="0"/>
          <w:sz w:val="28"/>
          <w:szCs w:val="28"/>
          <w:highlight w:val="none"/>
        </w:rPr>
        <w:t>年</w:t>
      </w:r>
      <w:r>
        <w:rPr>
          <w:rFonts w:hint="eastAsia" w:ascii="仿宋_GB2312" w:hAnsi="仿宋_GB2312" w:eastAsia="仿宋_GB2312" w:cs="仿宋_GB2312"/>
          <w:color w:val="auto"/>
          <w:kern w:val="0"/>
          <w:sz w:val="28"/>
          <w:szCs w:val="28"/>
          <w:highlight w:val="none"/>
          <w:lang w:val="en-US" w:eastAsia="zh-CN"/>
        </w:rPr>
        <w:t>1</w:t>
      </w:r>
      <w:r>
        <w:rPr>
          <w:rFonts w:hint="eastAsia" w:ascii="仿宋_GB2312" w:hAnsi="仿宋_GB2312" w:eastAsia="仿宋_GB2312" w:cs="仿宋_GB2312"/>
          <w:color w:val="auto"/>
          <w:kern w:val="0"/>
          <w:sz w:val="28"/>
          <w:szCs w:val="28"/>
          <w:highlight w:val="none"/>
        </w:rPr>
        <w:t>月</w:t>
      </w:r>
      <w:r>
        <w:rPr>
          <w:rFonts w:hint="eastAsia" w:ascii="仿宋_GB2312" w:hAnsi="仿宋_GB2312" w:eastAsia="仿宋_GB2312" w:cs="仿宋_GB2312"/>
          <w:color w:val="auto"/>
          <w:kern w:val="0"/>
          <w:sz w:val="28"/>
          <w:szCs w:val="28"/>
          <w:highlight w:val="none"/>
          <w:lang w:val="en-US" w:eastAsia="zh-CN"/>
        </w:rPr>
        <w:t>23</w:t>
      </w:r>
      <w:r>
        <w:rPr>
          <w:rFonts w:hint="eastAsia" w:ascii="仿宋_GB2312" w:hAnsi="仿宋_GB2312" w:eastAsia="仿宋_GB2312" w:cs="仿宋_GB2312"/>
          <w:color w:val="auto"/>
          <w:kern w:val="0"/>
          <w:sz w:val="28"/>
          <w:szCs w:val="28"/>
          <w:highlight w:val="none"/>
        </w:rPr>
        <w:t>日</w:t>
      </w:r>
      <w:r>
        <w:rPr>
          <w:rFonts w:hint="eastAsia" w:ascii="仿宋_GB2312" w:hAnsi="仿宋_GB2312" w:eastAsia="仿宋_GB2312" w:cs="仿宋_GB2312"/>
          <w:color w:val="auto"/>
          <w:kern w:val="0"/>
          <w:sz w:val="28"/>
          <w:szCs w:val="28"/>
          <w:highlight w:val="none"/>
          <w:lang w:val="en-US" w:eastAsia="zh-CN"/>
        </w:rPr>
        <w:t>9</w:t>
      </w:r>
      <w:r>
        <w:rPr>
          <w:rFonts w:hint="eastAsia" w:ascii="仿宋_GB2312" w:hAnsi="仿宋_GB2312" w:eastAsia="仿宋_GB2312" w:cs="仿宋_GB2312"/>
          <w:color w:val="auto"/>
          <w:kern w:val="0"/>
          <w:sz w:val="28"/>
          <w:szCs w:val="28"/>
          <w:highlight w:val="none"/>
        </w:rPr>
        <w:t>时</w:t>
      </w:r>
      <w:r>
        <w:rPr>
          <w:rFonts w:hint="eastAsia" w:ascii="仿宋_GB2312" w:hAnsi="仿宋_GB2312" w:eastAsia="仿宋_GB2312" w:cs="仿宋_GB2312"/>
          <w:color w:val="auto"/>
          <w:kern w:val="0"/>
          <w:sz w:val="28"/>
          <w:szCs w:val="28"/>
          <w:highlight w:val="none"/>
          <w:lang w:val="en-US" w:eastAsia="zh-CN"/>
        </w:rPr>
        <w:t>00</w:t>
      </w:r>
      <w:r>
        <w:rPr>
          <w:rFonts w:hint="eastAsia" w:ascii="仿宋_GB2312" w:hAnsi="仿宋_GB2312" w:eastAsia="仿宋_GB2312" w:cs="仿宋_GB2312"/>
          <w:color w:val="auto"/>
          <w:kern w:val="0"/>
          <w:sz w:val="28"/>
          <w:szCs w:val="28"/>
          <w:highlight w:val="none"/>
        </w:rPr>
        <w:t>分前（北京时间）。投标文件在封口处加盖公章并注明是：</w:t>
      </w:r>
      <w:r>
        <w:rPr>
          <w:rFonts w:hint="eastAsia" w:ascii="仿宋_GB2312" w:hAnsi="仿宋_GB2312" w:eastAsia="仿宋_GB2312" w:cs="仿宋_GB2312"/>
          <w:b/>
          <w:bCs/>
          <w:color w:val="auto"/>
          <w:sz w:val="28"/>
          <w:szCs w:val="28"/>
          <w:highlight w:val="none"/>
        </w:rPr>
        <w:t>杭州萧山国际机场</w:t>
      </w:r>
      <w:r>
        <w:rPr>
          <w:rFonts w:hint="eastAsia" w:ascii="仿宋_GB2312" w:hAnsi="仿宋_GB2312" w:eastAsia="仿宋_GB2312" w:cs="仿宋_GB2312"/>
          <w:b/>
          <w:bCs/>
          <w:color w:val="auto"/>
          <w:sz w:val="28"/>
          <w:szCs w:val="28"/>
          <w:highlight w:val="none"/>
          <w:lang w:eastAsia="zh-CN"/>
        </w:rPr>
        <w:t>T3航站楼值机岛开包间后端增加隔断项目</w:t>
      </w:r>
      <w:r>
        <w:rPr>
          <w:rFonts w:hint="eastAsia" w:ascii="仿宋_GB2312" w:hAnsi="仿宋_GB2312" w:eastAsia="仿宋_GB2312" w:cs="仿宋_GB2312"/>
          <w:b/>
          <w:bCs/>
          <w:color w:val="auto"/>
          <w:sz w:val="28"/>
          <w:szCs w:val="28"/>
          <w:highlight w:val="none"/>
        </w:rPr>
        <w:t>投标文件</w:t>
      </w:r>
      <w:r>
        <w:rPr>
          <w:rFonts w:hint="eastAsia" w:ascii="仿宋_GB2312" w:hAnsi="仿宋_GB2312" w:eastAsia="仿宋_GB2312" w:cs="仿宋_GB2312"/>
          <w:color w:val="auto"/>
          <w:kern w:val="0"/>
          <w:sz w:val="28"/>
          <w:szCs w:val="28"/>
          <w:highlight w:val="none"/>
        </w:rPr>
        <w:t>，并派专人于</w:t>
      </w:r>
      <w:r>
        <w:rPr>
          <w:rFonts w:hint="eastAsia" w:ascii="仿宋_GB2312" w:hAnsi="仿宋_GB2312" w:eastAsia="仿宋_GB2312" w:cs="仿宋_GB2312"/>
          <w:color w:val="auto"/>
          <w:kern w:val="0"/>
          <w:sz w:val="28"/>
          <w:szCs w:val="28"/>
          <w:highlight w:val="none"/>
          <w:lang w:val="en-US" w:eastAsia="zh-CN"/>
        </w:rPr>
        <w:t>2024</w:t>
      </w:r>
      <w:r>
        <w:rPr>
          <w:rFonts w:hint="eastAsia" w:ascii="仿宋_GB2312" w:hAnsi="仿宋_GB2312" w:eastAsia="仿宋_GB2312" w:cs="仿宋_GB2312"/>
          <w:color w:val="auto"/>
          <w:kern w:val="0"/>
          <w:sz w:val="28"/>
          <w:szCs w:val="28"/>
          <w:highlight w:val="none"/>
        </w:rPr>
        <w:t>年</w:t>
      </w:r>
      <w:r>
        <w:rPr>
          <w:rFonts w:hint="eastAsia" w:ascii="仿宋_GB2312" w:hAnsi="仿宋_GB2312" w:eastAsia="仿宋_GB2312" w:cs="仿宋_GB2312"/>
          <w:color w:val="auto"/>
          <w:kern w:val="0"/>
          <w:sz w:val="28"/>
          <w:szCs w:val="28"/>
          <w:highlight w:val="none"/>
          <w:lang w:val="en-US" w:eastAsia="zh-CN"/>
        </w:rPr>
        <w:t>1</w:t>
      </w:r>
      <w:r>
        <w:rPr>
          <w:rFonts w:hint="eastAsia" w:ascii="仿宋_GB2312" w:hAnsi="仿宋_GB2312" w:eastAsia="仿宋_GB2312" w:cs="仿宋_GB2312"/>
          <w:color w:val="auto"/>
          <w:kern w:val="0"/>
          <w:sz w:val="28"/>
          <w:szCs w:val="28"/>
          <w:highlight w:val="none"/>
        </w:rPr>
        <w:t>月</w:t>
      </w:r>
      <w:r>
        <w:rPr>
          <w:rFonts w:hint="eastAsia" w:ascii="仿宋_GB2312" w:hAnsi="仿宋_GB2312" w:eastAsia="仿宋_GB2312" w:cs="仿宋_GB2312"/>
          <w:color w:val="auto"/>
          <w:kern w:val="0"/>
          <w:sz w:val="28"/>
          <w:szCs w:val="28"/>
          <w:highlight w:val="none"/>
          <w:lang w:val="en-US" w:eastAsia="zh-CN"/>
        </w:rPr>
        <w:t>23</w:t>
      </w:r>
      <w:r>
        <w:rPr>
          <w:rFonts w:hint="eastAsia" w:ascii="仿宋_GB2312" w:hAnsi="仿宋_GB2312" w:eastAsia="仿宋_GB2312" w:cs="仿宋_GB2312"/>
          <w:color w:val="auto"/>
          <w:kern w:val="0"/>
          <w:sz w:val="28"/>
          <w:szCs w:val="28"/>
          <w:highlight w:val="none"/>
        </w:rPr>
        <w:t>日</w:t>
      </w:r>
      <w:r>
        <w:rPr>
          <w:rFonts w:hint="eastAsia" w:ascii="仿宋_GB2312" w:hAnsi="仿宋_GB2312" w:eastAsia="仿宋_GB2312" w:cs="仿宋_GB2312"/>
          <w:color w:val="auto"/>
          <w:kern w:val="0"/>
          <w:sz w:val="28"/>
          <w:szCs w:val="28"/>
          <w:highlight w:val="none"/>
          <w:lang w:val="en-US" w:eastAsia="zh-CN"/>
        </w:rPr>
        <w:t>9</w:t>
      </w:r>
      <w:r>
        <w:rPr>
          <w:rFonts w:hint="eastAsia" w:ascii="仿宋_GB2312" w:hAnsi="仿宋_GB2312" w:eastAsia="仿宋_GB2312" w:cs="仿宋_GB2312"/>
          <w:color w:val="auto"/>
          <w:kern w:val="0"/>
          <w:sz w:val="28"/>
          <w:szCs w:val="28"/>
          <w:highlight w:val="none"/>
        </w:rPr>
        <w:t>时</w:t>
      </w:r>
      <w:r>
        <w:rPr>
          <w:rFonts w:hint="eastAsia" w:ascii="仿宋_GB2312" w:hAnsi="仿宋_GB2312" w:eastAsia="仿宋_GB2312" w:cs="仿宋_GB2312"/>
          <w:color w:val="auto"/>
          <w:kern w:val="0"/>
          <w:sz w:val="28"/>
          <w:szCs w:val="28"/>
          <w:highlight w:val="none"/>
          <w:lang w:val="en-US" w:eastAsia="zh-CN"/>
        </w:rPr>
        <w:t>00</w:t>
      </w:r>
      <w:r>
        <w:rPr>
          <w:rFonts w:hint="eastAsia" w:ascii="仿宋_GB2312" w:hAnsi="仿宋_GB2312" w:eastAsia="仿宋_GB2312" w:cs="仿宋_GB2312"/>
          <w:color w:val="auto"/>
          <w:kern w:val="0"/>
          <w:sz w:val="28"/>
          <w:szCs w:val="28"/>
          <w:highlight w:val="none"/>
        </w:rPr>
        <w:t>分前（北京时间）前送至</w:t>
      </w:r>
      <w:r>
        <w:rPr>
          <w:rFonts w:hint="eastAsia" w:ascii="仿宋_GB2312" w:hAnsi="仿宋_GB2312" w:eastAsia="仿宋_GB2312" w:cs="仿宋_GB2312"/>
          <w:b/>
          <w:bCs/>
          <w:color w:val="auto"/>
          <w:kern w:val="0"/>
          <w:sz w:val="28"/>
          <w:szCs w:val="28"/>
          <w:highlight w:val="none"/>
        </w:rPr>
        <w:t>杭州萧山国际机场物业维修</w:t>
      </w:r>
      <w:bookmarkStart w:id="30" w:name="_GoBack"/>
      <w:bookmarkEnd w:id="30"/>
      <w:r>
        <w:rPr>
          <w:rFonts w:hint="eastAsia" w:ascii="仿宋_GB2312" w:hAnsi="仿宋_GB2312" w:eastAsia="仿宋_GB2312" w:cs="仿宋_GB2312"/>
          <w:b/>
          <w:bCs/>
          <w:color w:val="auto"/>
          <w:kern w:val="0"/>
          <w:sz w:val="28"/>
          <w:szCs w:val="28"/>
          <w:highlight w:val="none"/>
        </w:rPr>
        <w:t>中心</w:t>
      </w:r>
      <w:r>
        <w:rPr>
          <w:rFonts w:hint="eastAsia" w:ascii="仿宋_GB2312" w:hAnsi="仿宋_GB2312" w:eastAsia="仿宋_GB2312" w:cs="仿宋_GB2312"/>
          <w:color w:val="auto"/>
          <w:kern w:val="0"/>
          <w:sz w:val="28"/>
          <w:szCs w:val="28"/>
          <w:highlight w:val="none"/>
        </w:rPr>
        <w:t>，逾期无效；若采用投递方式的，请于</w:t>
      </w:r>
      <w:r>
        <w:rPr>
          <w:rFonts w:hint="eastAsia" w:ascii="仿宋_GB2312" w:hAnsi="仿宋_GB2312" w:eastAsia="仿宋_GB2312" w:cs="仿宋_GB2312"/>
          <w:color w:val="auto"/>
          <w:kern w:val="0"/>
          <w:sz w:val="28"/>
          <w:szCs w:val="28"/>
          <w:highlight w:val="none"/>
          <w:lang w:val="en-US" w:eastAsia="zh-CN"/>
        </w:rPr>
        <w:t>2024</w:t>
      </w:r>
      <w:r>
        <w:rPr>
          <w:rFonts w:hint="eastAsia" w:ascii="仿宋_GB2312" w:hAnsi="仿宋_GB2312" w:eastAsia="仿宋_GB2312" w:cs="仿宋_GB2312"/>
          <w:color w:val="auto"/>
          <w:kern w:val="0"/>
          <w:sz w:val="28"/>
          <w:szCs w:val="28"/>
          <w:highlight w:val="none"/>
        </w:rPr>
        <w:t>年</w:t>
      </w:r>
      <w:r>
        <w:rPr>
          <w:rFonts w:hint="eastAsia" w:ascii="仿宋_GB2312" w:hAnsi="仿宋_GB2312" w:eastAsia="仿宋_GB2312" w:cs="仿宋_GB2312"/>
          <w:color w:val="auto"/>
          <w:kern w:val="0"/>
          <w:sz w:val="28"/>
          <w:szCs w:val="28"/>
          <w:highlight w:val="none"/>
          <w:lang w:val="en-US" w:eastAsia="zh-CN"/>
        </w:rPr>
        <w:t>1</w:t>
      </w:r>
      <w:r>
        <w:rPr>
          <w:rFonts w:hint="eastAsia" w:ascii="仿宋_GB2312" w:hAnsi="仿宋_GB2312" w:eastAsia="仿宋_GB2312" w:cs="仿宋_GB2312"/>
          <w:color w:val="auto"/>
          <w:kern w:val="0"/>
          <w:sz w:val="28"/>
          <w:szCs w:val="28"/>
          <w:highlight w:val="none"/>
        </w:rPr>
        <w:t>月</w:t>
      </w:r>
      <w:r>
        <w:rPr>
          <w:rFonts w:hint="eastAsia" w:ascii="仿宋_GB2312" w:hAnsi="仿宋_GB2312" w:eastAsia="仿宋_GB2312" w:cs="仿宋_GB2312"/>
          <w:color w:val="auto"/>
          <w:kern w:val="0"/>
          <w:sz w:val="28"/>
          <w:szCs w:val="28"/>
          <w:highlight w:val="none"/>
          <w:lang w:val="en-US" w:eastAsia="zh-CN"/>
        </w:rPr>
        <w:t>23</w:t>
      </w:r>
      <w:r>
        <w:rPr>
          <w:rFonts w:hint="eastAsia" w:ascii="仿宋_GB2312" w:hAnsi="仿宋_GB2312" w:eastAsia="仿宋_GB2312" w:cs="仿宋_GB2312"/>
          <w:color w:val="auto"/>
          <w:kern w:val="0"/>
          <w:sz w:val="28"/>
          <w:szCs w:val="28"/>
          <w:highlight w:val="none"/>
        </w:rPr>
        <w:t>日</w:t>
      </w:r>
      <w:r>
        <w:rPr>
          <w:rFonts w:hint="eastAsia" w:ascii="仿宋_GB2312" w:hAnsi="仿宋_GB2312" w:eastAsia="仿宋_GB2312" w:cs="仿宋_GB2312"/>
          <w:color w:val="auto"/>
          <w:kern w:val="0"/>
          <w:sz w:val="28"/>
          <w:szCs w:val="28"/>
          <w:highlight w:val="none"/>
          <w:lang w:val="en-US" w:eastAsia="zh-CN"/>
        </w:rPr>
        <w:t>9</w:t>
      </w:r>
      <w:r>
        <w:rPr>
          <w:rFonts w:hint="eastAsia" w:ascii="仿宋_GB2312" w:hAnsi="仿宋_GB2312" w:eastAsia="仿宋_GB2312" w:cs="仿宋_GB2312"/>
          <w:color w:val="auto"/>
          <w:kern w:val="0"/>
          <w:sz w:val="28"/>
          <w:szCs w:val="28"/>
          <w:highlight w:val="none"/>
        </w:rPr>
        <w:t>时</w:t>
      </w:r>
      <w:r>
        <w:rPr>
          <w:rFonts w:hint="eastAsia" w:ascii="仿宋_GB2312" w:hAnsi="仿宋_GB2312" w:eastAsia="仿宋_GB2312" w:cs="仿宋_GB2312"/>
          <w:color w:val="auto"/>
          <w:kern w:val="0"/>
          <w:sz w:val="28"/>
          <w:szCs w:val="28"/>
          <w:highlight w:val="none"/>
          <w:lang w:val="en-US" w:eastAsia="zh-CN"/>
        </w:rPr>
        <w:t>00</w:t>
      </w:r>
      <w:r>
        <w:rPr>
          <w:rFonts w:hint="eastAsia" w:ascii="仿宋_GB2312" w:hAnsi="仿宋_GB2312" w:eastAsia="仿宋_GB2312" w:cs="仿宋_GB2312"/>
          <w:color w:val="auto"/>
          <w:kern w:val="0"/>
          <w:sz w:val="28"/>
          <w:szCs w:val="28"/>
          <w:highlight w:val="none"/>
        </w:rPr>
        <w:t>分前（北京时间）前投递至</w:t>
      </w:r>
      <w:r>
        <w:rPr>
          <w:rFonts w:hint="eastAsia" w:ascii="仿宋_GB2312" w:hAnsi="仿宋_GB2312" w:eastAsia="仿宋_GB2312" w:cs="仿宋_GB2312"/>
          <w:b/>
          <w:bCs/>
          <w:color w:val="auto"/>
          <w:kern w:val="0"/>
          <w:sz w:val="28"/>
          <w:szCs w:val="28"/>
          <w:highlight w:val="none"/>
        </w:rPr>
        <w:t>杭州萧山国际机场物业维修中心</w:t>
      </w:r>
      <w:r>
        <w:rPr>
          <w:rFonts w:hint="eastAsia" w:ascii="仿宋_GB2312" w:hAnsi="仿宋_GB2312" w:eastAsia="仿宋_GB2312" w:cs="仿宋_GB2312"/>
          <w:color w:val="auto"/>
          <w:kern w:val="0"/>
          <w:sz w:val="28"/>
          <w:szCs w:val="28"/>
          <w:highlight w:val="none"/>
        </w:rPr>
        <w:t>，快递面单上注明是：</w:t>
      </w:r>
      <w:r>
        <w:rPr>
          <w:rFonts w:hint="eastAsia" w:ascii="仿宋_GB2312" w:hAnsi="仿宋_GB2312" w:eastAsia="仿宋_GB2312" w:cs="仿宋_GB2312"/>
          <w:b/>
          <w:bCs/>
          <w:color w:val="auto"/>
          <w:sz w:val="28"/>
          <w:szCs w:val="28"/>
          <w:highlight w:val="none"/>
        </w:rPr>
        <w:t>杭州萧山国际机场</w:t>
      </w:r>
      <w:r>
        <w:rPr>
          <w:rFonts w:hint="eastAsia" w:ascii="仿宋_GB2312" w:hAnsi="仿宋_GB2312" w:eastAsia="仿宋_GB2312" w:cs="仿宋_GB2312"/>
          <w:b/>
          <w:bCs/>
          <w:color w:val="auto"/>
          <w:sz w:val="28"/>
          <w:szCs w:val="28"/>
          <w:highlight w:val="none"/>
          <w:lang w:eastAsia="zh-CN"/>
        </w:rPr>
        <w:t>T3航站楼值机岛开包间后端增加隔断项目</w:t>
      </w:r>
      <w:r>
        <w:rPr>
          <w:rFonts w:hint="eastAsia" w:ascii="仿宋_GB2312" w:hAnsi="仿宋_GB2312" w:eastAsia="仿宋_GB2312" w:cs="仿宋_GB2312"/>
          <w:b/>
          <w:bCs/>
          <w:color w:val="auto"/>
          <w:sz w:val="28"/>
          <w:szCs w:val="28"/>
          <w:highlight w:val="none"/>
        </w:rPr>
        <w:t>投标文件</w:t>
      </w:r>
      <w:r>
        <w:rPr>
          <w:rFonts w:hint="eastAsia" w:ascii="仿宋_GB2312" w:hAnsi="仿宋_GB2312" w:eastAsia="仿宋_GB2312" w:cs="仿宋_GB2312"/>
          <w:b/>
          <w:bCs/>
          <w:color w:val="auto"/>
          <w:kern w:val="0"/>
          <w:sz w:val="28"/>
          <w:szCs w:val="28"/>
          <w:highlight w:val="none"/>
        </w:rPr>
        <w:t>。</w:t>
      </w:r>
    </w:p>
    <w:p>
      <w:pPr>
        <w:keepNext w:val="0"/>
        <w:keepLines w:val="0"/>
        <w:pageBreakBefore w:val="0"/>
        <w:widowControl/>
        <w:numPr>
          <w:ilvl w:val="0"/>
          <w:numId w:val="3"/>
        </w:numPr>
        <w:kinsoku/>
        <w:overflowPunct/>
        <w:topLinePunct w:val="0"/>
        <w:bidi w:val="0"/>
        <w:adjustRightInd w:val="0"/>
        <w:snapToGrid w:val="0"/>
        <w:spacing w:line="560" w:lineRule="exact"/>
        <w:ind w:right="0" w:rightChars="0" w:firstLine="560" w:firstLineChars="200"/>
        <w:textAlignment w:val="auto"/>
        <w:outlineLvl w:val="9"/>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逾期送达或者未送达指定地点的投标文件，招标人不予受理。</w:t>
      </w:r>
    </w:p>
    <w:p>
      <w:pPr>
        <w:keepNext w:val="0"/>
        <w:keepLines w:val="0"/>
        <w:pageBreakBefore w:val="0"/>
        <w:widowControl/>
        <w:numPr>
          <w:ilvl w:val="0"/>
          <w:numId w:val="3"/>
        </w:numPr>
        <w:kinsoku/>
        <w:overflowPunct/>
        <w:topLinePunct w:val="0"/>
        <w:bidi w:val="0"/>
        <w:adjustRightInd w:val="0"/>
        <w:snapToGrid w:val="0"/>
        <w:spacing w:line="560" w:lineRule="exact"/>
        <w:ind w:right="0" w:rightChars="0" w:firstLine="560" w:firstLineChars="200"/>
        <w:textAlignment w:val="auto"/>
        <w:outlineLvl w:val="9"/>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投标文件正本一份，副本二份。</w:t>
      </w:r>
    </w:p>
    <w:p>
      <w:pPr>
        <w:keepNext w:val="0"/>
        <w:keepLines w:val="0"/>
        <w:pageBreakBefore w:val="0"/>
        <w:widowControl/>
        <w:numPr>
          <w:ilvl w:val="0"/>
          <w:numId w:val="3"/>
        </w:numPr>
        <w:kinsoku/>
        <w:overflowPunct/>
        <w:topLinePunct w:val="0"/>
        <w:bidi w:val="0"/>
        <w:adjustRightInd w:val="0"/>
        <w:snapToGrid w:val="0"/>
        <w:spacing w:line="560" w:lineRule="exact"/>
        <w:ind w:right="0" w:rightChars="0" w:firstLine="560" w:firstLineChars="200"/>
        <w:textAlignment w:val="auto"/>
        <w:outlineLvl w:val="9"/>
        <w:rPr>
          <w:rFonts w:ascii="仿宋_GB2312" w:hAnsi="仿宋_GB2312" w:eastAsia="仿宋_GB2312" w:cs="仿宋_GB2312"/>
          <w:sz w:val="28"/>
          <w:szCs w:val="28"/>
          <w:highlight w:val="none"/>
        </w:rPr>
      </w:pPr>
      <w:r>
        <w:rPr>
          <w:rFonts w:hint="eastAsia" w:ascii="仿宋_GB2312" w:hAnsi="仿宋_GB2312" w:eastAsia="仿宋_GB2312" w:cs="仿宋_GB2312"/>
          <w:color w:val="auto"/>
          <w:sz w:val="28"/>
          <w:szCs w:val="28"/>
          <w:highlight w:val="none"/>
        </w:rPr>
        <w:t>投标文件封面（或扉页）、投标函以及各类报价表均须加盖投标人单</w:t>
      </w:r>
      <w:r>
        <w:rPr>
          <w:rFonts w:hint="eastAsia" w:ascii="仿宋_GB2312" w:hAnsi="仿宋_GB2312" w:eastAsia="仿宋_GB2312" w:cs="仿宋_GB2312"/>
          <w:sz w:val="28"/>
          <w:szCs w:val="28"/>
          <w:highlight w:val="none"/>
        </w:rPr>
        <w:t>位章，并经法定代表人（或其委托代理人）签字或盖章。</w:t>
      </w:r>
    </w:p>
    <w:p>
      <w:pPr>
        <w:keepNext w:val="0"/>
        <w:keepLines w:val="0"/>
        <w:pageBreakBefore w:val="0"/>
        <w:widowControl/>
        <w:numPr>
          <w:ilvl w:val="0"/>
          <w:numId w:val="3"/>
        </w:numPr>
        <w:kinsoku/>
        <w:overflowPunct/>
        <w:topLinePunct w:val="0"/>
        <w:bidi w:val="0"/>
        <w:adjustRightInd w:val="0"/>
        <w:snapToGrid w:val="0"/>
        <w:spacing w:line="560" w:lineRule="exact"/>
        <w:ind w:right="0" w:rightChars="0" w:firstLine="560" w:firstLineChars="200"/>
        <w:textAlignment w:val="auto"/>
        <w:outlineLvl w:val="9"/>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装订要求为不分册装订，每册采用胶装等方式装订，装订应牢固、不易拆散和换页，不得采用活页装订。</w:t>
      </w:r>
    </w:p>
    <w:p>
      <w:pPr>
        <w:keepNext w:val="0"/>
        <w:keepLines w:val="0"/>
        <w:pageBreakBefore w:val="0"/>
        <w:widowControl/>
        <w:numPr>
          <w:ilvl w:val="0"/>
          <w:numId w:val="3"/>
        </w:numPr>
        <w:kinsoku/>
        <w:overflowPunct/>
        <w:topLinePunct w:val="0"/>
        <w:bidi w:val="0"/>
        <w:adjustRightInd w:val="0"/>
        <w:snapToGrid w:val="0"/>
        <w:spacing w:line="560" w:lineRule="exact"/>
        <w:ind w:right="0" w:rightChars="0" w:firstLine="560" w:firstLineChars="200"/>
        <w:textAlignment w:val="auto"/>
        <w:outlineLvl w:val="9"/>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封套上写明：</w:t>
      </w:r>
    </w:p>
    <w:p>
      <w:pPr>
        <w:keepNext w:val="0"/>
        <w:keepLines w:val="0"/>
        <w:pageBreakBefore w:val="0"/>
        <w:kinsoku/>
        <w:overflowPunct/>
        <w:topLinePunct w:val="0"/>
        <w:autoSpaceDE w:val="0"/>
        <w:autoSpaceDN w:val="0"/>
        <w:bidi w:val="0"/>
        <w:adjustRightInd w:val="0"/>
        <w:snapToGrid w:val="0"/>
        <w:spacing w:line="560" w:lineRule="exact"/>
        <w:ind w:right="0" w:rightChars="0" w:firstLine="560" w:firstLineChars="200"/>
        <w:textAlignment w:val="auto"/>
        <w:outlineLvl w:val="9"/>
        <w:rPr>
          <w:rFonts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招标人的地址：</w:t>
      </w:r>
      <w:r>
        <w:rPr>
          <w:rFonts w:hint="eastAsia" w:ascii="仿宋_GB2312" w:hAnsi="仿宋_GB2312" w:eastAsia="仿宋_GB2312" w:cs="仿宋_GB2312"/>
          <w:sz w:val="28"/>
          <w:szCs w:val="28"/>
          <w:highlight w:val="none"/>
          <w:u w:val="single"/>
        </w:rPr>
        <w:t>杭州萧山国际机场内</w:t>
      </w:r>
    </w:p>
    <w:p>
      <w:pPr>
        <w:keepNext w:val="0"/>
        <w:keepLines w:val="0"/>
        <w:pageBreakBefore w:val="0"/>
        <w:kinsoku/>
        <w:overflowPunct/>
        <w:topLinePunct w:val="0"/>
        <w:autoSpaceDE w:val="0"/>
        <w:autoSpaceDN w:val="0"/>
        <w:bidi w:val="0"/>
        <w:adjustRightInd w:val="0"/>
        <w:snapToGrid w:val="0"/>
        <w:spacing w:line="560" w:lineRule="exact"/>
        <w:ind w:right="0" w:rightChars="0" w:firstLine="560" w:firstLineChars="200"/>
        <w:textAlignment w:val="auto"/>
        <w:outlineLvl w:val="9"/>
        <w:rPr>
          <w:rFonts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招标人名称：</w:t>
      </w:r>
      <w:r>
        <w:rPr>
          <w:rFonts w:hint="eastAsia" w:ascii="仿宋_GB2312" w:hAnsi="仿宋_GB2312" w:eastAsia="仿宋_GB2312" w:cs="仿宋_GB2312"/>
          <w:kern w:val="0"/>
          <w:sz w:val="28"/>
          <w:szCs w:val="28"/>
          <w:highlight w:val="none"/>
          <w:u w:val="single"/>
        </w:rPr>
        <w:t>杭州萧山国际机场有限公司</w:t>
      </w:r>
    </w:p>
    <w:p>
      <w:pPr>
        <w:keepNext w:val="0"/>
        <w:keepLines w:val="0"/>
        <w:pageBreakBefore w:val="0"/>
        <w:kinsoku/>
        <w:overflowPunct/>
        <w:topLinePunct w:val="0"/>
        <w:autoSpaceDE w:val="0"/>
        <w:autoSpaceDN w:val="0"/>
        <w:bidi w:val="0"/>
        <w:adjustRightInd w:val="0"/>
        <w:snapToGrid w:val="0"/>
        <w:spacing w:line="560" w:lineRule="exact"/>
        <w:ind w:right="0" w:rightChars="0" w:firstLine="560" w:firstLineChars="200"/>
        <w:textAlignment w:val="auto"/>
        <w:outlineLvl w:val="9"/>
        <w:rPr>
          <w:rFonts w:ascii="仿宋_GB2312" w:hAnsi="仿宋_GB2312" w:eastAsia="仿宋_GB2312" w:cs="仿宋_GB2312"/>
          <w:kern w:val="0"/>
          <w:sz w:val="28"/>
          <w:szCs w:val="28"/>
          <w:highlight w:val="none"/>
        </w:rPr>
      </w:pPr>
      <w:r>
        <w:rPr>
          <w:rFonts w:hint="eastAsia" w:ascii="仿宋_GB2312" w:hAnsi="仿宋_GB2312" w:eastAsia="仿宋_GB2312" w:cs="仿宋_GB2312"/>
          <w:sz w:val="28"/>
          <w:szCs w:val="28"/>
          <w:highlight w:val="none"/>
        </w:rPr>
        <w:t>项目名称：</w:t>
      </w:r>
      <w:r>
        <w:rPr>
          <w:rFonts w:hint="eastAsia" w:ascii="仿宋_GB2312" w:hAnsi="仿宋_GB2312" w:eastAsia="仿宋_GB2312" w:cs="仿宋_GB2312"/>
          <w:sz w:val="28"/>
          <w:szCs w:val="28"/>
          <w:highlight w:val="none"/>
          <w:u w:val="single"/>
        </w:rPr>
        <w:t>杭州萧山国际机场</w:t>
      </w:r>
      <w:r>
        <w:rPr>
          <w:rFonts w:hint="eastAsia" w:ascii="仿宋_GB2312" w:hAnsi="仿宋_GB2312" w:eastAsia="仿宋_GB2312" w:cs="仿宋_GB2312"/>
          <w:sz w:val="28"/>
          <w:szCs w:val="28"/>
          <w:highlight w:val="none"/>
          <w:u w:val="single"/>
          <w:lang w:eastAsia="zh-CN"/>
        </w:rPr>
        <w:t>T3航站楼值机岛开包间后端增加隔断项目</w:t>
      </w:r>
      <w:r>
        <w:rPr>
          <w:rFonts w:hint="eastAsia" w:ascii="仿宋_GB2312" w:hAnsi="仿宋_GB2312" w:eastAsia="仿宋_GB2312" w:cs="仿宋_GB2312"/>
          <w:sz w:val="28"/>
          <w:szCs w:val="28"/>
          <w:highlight w:val="none"/>
        </w:rPr>
        <w:t>投标文件</w:t>
      </w:r>
    </w:p>
    <w:p>
      <w:pPr>
        <w:keepNext w:val="0"/>
        <w:keepLines w:val="0"/>
        <w:pageBreakBefore w:val="0"/>
        <w:widowControl/>
        <w:kinsoku/>
        <w:overflowPunct/>
        <w:topLinePunct w:val="0"/>
        <w:bidi w:val="0"/>
        <w:adjustRightInd w:val="0"/>
        <w:snapToGrid w:val="0"/>
        <w:spacing w:line="560" w:lineRule="exact"/>
        <w:ind w:right="0" w:rightChars="0" w:firstLine="560" w:firstLineChars="200"/>
        <w:textAlignment w:val="auto"/>
        <w:outlineLvl w:val="9"/>
        <w:rPr>
          <w:rFonts w:ascii="仿宋_GB2312" w:hAnsi="仿宋_GB2312" w:eastAsia="仿宋_GB2312" w:cs="仿宋_GB2312"/>
          <w:kern w:val="0"/>
          <w:sz w:val="28"/>
          <w:szCs w:val="28"/>
          <w:highlight w:val="none"/>
        </w:rPr>
      </w:pPr>
      <w:r>
        <w:rPr>
          <w:rFonts w:hint="eastAsia" w:ascii="仿宋_GB2312" w:hAnsi="仿宋_GB2312" w:eastAsia="仿宋_GB2312" w:cs="仿宋_GB2312"/>
          <w:color w:val="auto"/>
          <w:kern w:val="0"/>
          <w:sz w:val="28"/>
          <w:szCs w:val="28"/>
          <w:highlight w:val="none"/>
        </w:rPr>
        <w:t>在</w:t>
      </w:r>
      <w:r>
        <w:rPr>
          <w:rFonts w:hint="eastAsia" w:ascii="仿宋_GB2312" w:hAnsi="仿宋_GB2312" w:eastAsia="仿宋_GB2312" w:cs="仿宋_GB2312"/>
          <w:color w:val="auto"/>
          <w:kern w:val="0"/>
          <w:sz w:val="28"/>
          <w:szCs w:val="28"/>
          <w:highlight w:val="none"/>
          <w:u w:val="single"/>
          <w:lang w:val="en-US" w:eastAsia="zh-CN"/>
        </w:rPr>
        <w:t>2023</w:t>
      </w:r>
      <w:r>
        <w:rPr>
          <w:rFonts w:hint="eastAsia" w:ascii="仿宋_GB2312" w:hAnsi="仿宋_GB2312" w:eastAsia="仿宋_GB2312" w:cs="仿宋_GB2312"/>
          <w:color w:val="auto"/>
          <w:kern w:val="0"/>
          <w:sz w:val="28"/>
          <w:szCs w:val="28"/>
          <w:highlight w:val="none"/>
        </w:rPr>
        <w:t>年</w:t>
      </w:r>
      <w:r>
        <w:rPr>
          <w:rFonts w:hint="eastAsia" w:ascii="仿宋_GB2312" w:hAnsi="仿宋_GB2312" w:eastAsia="仿宋_GB2312" w:cs="仿宋_GB2312"/>
          <w:color w:val="auto"/>
          <w:kern w:val="0"/>
          <w:sz w:val="28"/>
          <w:szCs w:val="28"/>
          <w:highlight w:val="none"/>
          <w:u w:val="single"/>
          <w:lang w:val="en-US" w:eastAsia="zh-CN"/>
        </w:rPr>
        <w:t>1</w:t>
      </w:r>
      <w:r>
        <w:rPr>
          <w:rFonts w:hint="eastAsia" w:ascii="仿宋_GB2312" w:hAnsi="仿宋_GB2312" w:eastAsia="仿宋_GB2312" w:cs="仿宋_GB2312"/>
          <w:color w:val="auto"/>
          <w:kern w:val="0"/>
          <w:sz w:val="28"/>
          <w:szCs w:val="28"/>
          <w:highlight w:val="none"/>
        </w:rPr>
        <w:t>月</w:t>
      </w:r>
      <w:r>
        <w:rPr>
          <w:rFonts w:hint="eastAsia" w:ascii="仿宋_GB2312" w:hAnsi="仿宋_GB2312" w:eastAsia="仿宋_GB2312" w:cs="仿宋_GB2312"/>
          <w:color w:val="auto"/>
          <w:kern w:val="0"/>
          <w:sz w:val="28"/>
          <w:szCs w:val="28"/>
          <w:highlight w:val="none"/>
          <w:u w:val="single"/>
          <w:lang w:val="en-US" w:eastAsia="zh-CN"/>
        </w:rPr>
        <w:t>23</w:t>
      </w:r>
      <w:r>
        <w:rPr>
          <w:rFonts w:hint="eastAsia" w:ascii="仿宋_GB2312" w:hAnsi="仿宋_GB2312" w:eastAsia="仿宋_GB2312" w:cs="仿宋_GB2312"/>
          <w:color w:val="auto"/>
          <w:kern w:val="0"/>
          <w:sz w:val="28"/>
          <w:szCs w:val="28"/>
          <w:highlight w:val="none"/>
        </w:rPr>
        <w:t>日</w:t>
      </w:r>
      <w:r>
        <w:rPr>
          <w:rFonts w:hint="eastAsia" w:ascii="仿宋_GB2312" w:hAnsi="仿宋_GB2312" w:eastAsia="仿宋_GB2312" w:cs="仿宋_GB2312"/>
          <w:color w:val="auto"/>
          <w:kern w:val="0"/>
          <w:sz w:val="28"/>
          <w:szCs w:val="28"/>
          <w:highlight w:val="none"/>
          <w:u w:val="single"/>
          <w:lang w:val="en-US" w:eastAsia="zh-CN"/>
        </w:rPr>
        <w:t>9</w:t>
      </w:r>
      <w:r>
        <w:rPr>
          <w:rFonts w:hint="eastAsia" w:ascii="仿宋_GB2312" w:hAnsi="仿宋_GB2312" w:eastAsia="仿宋_GB2312" w:cs="仿宋_GB2312"/>
          <w:color w:val="auto"/>
          <w:kern w:val="0"/>
          <w:sz w:val="28"/>
          <w:szCs w:val="28"/>
          <w:highlight w:val="none"/>
        </w:rPr>
        <w:t>时</w:t>
      </w:r>
      <w:r>
        <w:rPr>
          <w:rFonts w:hint="eastAsia" w:ascii="仿宋_GB2312" w:hAnsi="仿宋_GB2312" w:eastAsia="仿宋_GB2312" w:cs="仿宋_GB2312"/>
          <w:color w:val="auto"/>
          <w:kern w:val="0"/>
          <w:sz w:val="28"/>
          <w:szCs w:val="28"/>
          <w:highlight w:val="none"/>
          <w:u w:val="single"/>
          <w:lang w:val="en-US" w:eastAsia="zh-CN"/>
        </w:rPr>
        <w:t>00</w:t>
      </w:r>
      <w:r>
        <w:rPr>
          <w:rFonts w:hint="eastAsia" w:ascii="仿宋_GB2312" w:hAnsi="仿宋_GB2312" w:eastAsia="仿宋_GB2312" w:cs="仿宋_GB2312"/>
          <w:color w:val="auto"/>
          <w:kern w:val="0"/>
          <w:sz w:val="28"/>
          <w:szCs w:val="28"/>
          <w:highlight w:val="none"/>
        </w:rPr>
        <w:t>分（即开标时</w:t>
      </w:r>
      <w:r>
        <w:rPr>
          <w:rFonts w:hint="eastAsia" w:ascii="仿宋_GB2312" w:hAnsi="仿宋_GB2312" w:eastAsia="仿宋_GB2312" w:cs="仿宋_GB2312"/>
          <w:kern w:val="0"/>
          <w:sz w:val="28"/>
          <w:szCs w:val="28"/>
          <w:highlight w:val="none"/>
        </w:rPr>
        <w:t>间）前不得开启</w:t>
      </w:r>
    </w:p>
    <w:p>
      <w:pPr>
        <w:keepNext w:val="0"/>
        <w:keepLines w:val="0"/>
        <w:pageBreakBefore w:val="0"/>
        <w:widowControl/>
        <w:kinsoku/>
        <w:overflowPunct/>
        <w:topLinePunct w:val="0"/>
        <w:bidi w:val="0"/>
        <w:adjustRightInd w:val="0"/>
        <w:snapToGrid w:val="0"/>
        <w:spacing w:line="560" w:lineRule="exact"/>
        <w:ind w:right="0" w:rightChars="0" w:firstLine="562" w:firstLineChars="200"/>
        <w:textAlignment w:val="auto"/>
        <w:outlineLvl w:val="9"/>
        <w:rPr>
          <w:rFonts w:ascii="仿宋_GB2312" w:hAnsi="仿宋_GB2312" w:eastAsia="仿宋_GB2312" w:cs="仿宋_GB2312"/>
          <w:b/>
          <w:bCs/>
          <w:kern w:val="0"/>
          <w:sz w:val="28"/>
          <w:szCs w:val="28"/>
          <w:highlight w:val="none"/>
        </w:rPr>
      </w:pPr>
      <w:r>
        <w:rPr>
          <w:rFonts w:hint="eastAsia" w:ascii="仿宋_GB2312" w:hAnsi="仿宋_GB2312" w:eastAsia="仿宋_GB2312" w:cs="仿宋_GB2312"/>
          <w:b/>
          <w:bCs/>
          <w:kern w:val="0"/>
          <w:sz w:val="28"/>
          <w:szCs w:val="28"/>
          <w:highlight w:val="none"/>
        </w:rPr>
        <w:t>七、开标</w:t>
      </w:r>
    </w:p>
    <w:p>
      <w:pPr>
        <w:keepNext w:val="0"/>
        <w:keepLines w:val="0"/>
        <w:pageBreakBefore w:val="0"/>
        <w:kinsoku/>
        <w:overflowPunct/>
        <w:topLinePunct w:val="0"/>
        <w:autoSpaceDE w:val="0"/>
        <w:autoSpaceDN w:val="0"/>
        <w:bidi w:val="0"/>
        <w:adjustRightInd w:val="0"/>
        <w:snapToGrid w:val="0"/>
        <w:spacing w:line="560" w:lineRule="exact"/>
        <w:ind w:right="0" w:rightChars="0" w:firstLine="560" w:firstLineChars="200"/>
        <w:textAlignment w:val="auto"/>
        <w:outlineLvl w:val="9"/>
        <w:rPr>
          <w:rFonts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（1）开标时间同投标截止时间，开标地点为</w:t>
      </w:r>
      <w:r>
        <w:rPr>
          <w:rFonts w:hint="eastAsia" w:ascii="仿宋_GB2312" w:hAnsi="仿宋_GB2312" w:eastAsia="仿宋_GB2312" w:cs="仿宋_GB2312"/>
          <w:b/>
          <w:sz w:val="28"/>
          <w:szCs w:val="28"/>
          <w:highlight w:val="none"/>
        </w:rPr>
        <w:t>杭州萧山国际机场翔越路综合服务楼园区招标中心。</w:t>
      </w:r>
    </w:p>
    <w:p>
      <w:pPr>
        <w:keepNext w:val="0"/>
        <w:keepLines w:val="0"/>
        <w:pageBreakBefore w:val="0"/>
        <w:widowControl/>
        <w:kinsoku/>
        <w:overflowPunct/>
        <w:topLinePunct w:val="0"/>
        <w:bidi w:val="0"/>
        <w:adjustRightInd w:val="0"/>
        <w:snapToGrid w:val="0"/>
        <w:spacing w:line="560" w:lineRule="exact"/>
        <w:ind w:right="0" w:rightChars="0" w:firstLine="560" w:firstLineChars="200"/>
        <w:textAlignment w:val="auto"/>
        <w:outlineLvl w:val="9"/>
        <w:rPr>
          <w:rFonts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（2）由投标人或者其集体推选的代表检查投标文件的密封情况，开标顺序按照后送达先开的顺序。</w:t>
      </w:r>
    </w:p>
    <w:p>
      <w:pPr>
        <w:keepNext w:val="0"/>
        <w:keepLines w:val="0"/>
        <w:pageBreakBefore w:val="0"/>
        <w:widowControl/>
        <w:kinsoku/>
        <w:overflowPunct/>
        <w:topLinePunct w:val="0"/>
        <w:bidi w:val="0"/>
        <w:adjustRightInd w:val="0"/>
        <w:snapToGrid w:val="0"/>
        <w:spacing w:line="560" w:lineRule="exact"/>
        <w:ind w:right="0" w:rightChars="0" w:firstLine="562" w:firstLineChars="200"/>
        <w:textAlignment w:val="auto"/>
        <w:outlineLvl w:val="9"/>
        <w:rPr>
          <w:rFonts w:ascii="仿宋_GB2312" w:hAnsi="仿宋_GB2312" w:eastAsia="仿宋_GB2312" w:cs="仿宋_GB2312"/>
          <w:b/>
          <w:bCs/>
          <w:kern w:val="0"/>
          <w:sz w:val="28"/>
          <w:szCs w:val="28"/>
          <w:highlight w:val="none"/>
        </w:rPr>
      </w:pPr>
      <w:r>
        <w:rPr>
          <w:rFonts w:hint="eastAsia" w:ascii="仿宋_GB2312" w:hAnsi="仿宋_GB2312" w:eastAsia="仿宋_GB2312" w:cs="仿宋_GB2312"/>
          <w:b/>
          <w:bCs/>
          <w:kern w:val="0"/>
          <w:sz w:val="28"/>
          <w:szCs w:val="28"/>
          <w:highlight w:val="none"/>
        </w:rPr>
        <w:t>八、其他说明</w:t>
      </w:r>
    </w:p>
    <w:p>
      <w:pPr>
        <w:keepNext w:val="0"/>
        <w:keepLines w:val="0"/>
        <w:pageBreakBefore w:val="0"/>
        <w:widowControl/>
        <w:kinsoku/>
        <w:overflowPunct/>
        <w:topLinePunct w:val="0"/>
        <w:bidi w:val="0"/>
        <w:adjustRightInd w:val="0"/>
        <w:snapToGrid w:val="0"/>
        <w:spacing w:line="560" w:lineRule="exact"/>
        <w:ind w:right="0" w:rightChars="0" w:firstLine="560" w:firstLineChars="200"/>
        <w:textAlignment w:val="auto"/>
        <w:outlineLvl w:val="9"/>
        <w:rPr>
          <w:rFonts w:ascii="仿宋_GB2312" w:hAnsi="仿宋_GB2312" w:eastAsia="仿宋_GB2312" w:cs="仿宋_GB2312"/>
          <w:b/>
          <w:bCs/>
          <w:kern w:val="0"/>
          <w:sz w:val="28"/>
          <w:szCs w:val="28"/>
          <w:highlight w:val="none"/>
        </w:rPr>
      </w:pPr>
      <w:r>
        <w:rPr>
          <w:rFonts w:hint="eastAsia" w:ascii="仿宋_GB2312" w:hAnsi="仿宋_GB2312" w:eastAsia="仿宋_GB2312" w:cs="仿宋_GB2312"/>
          <w:kern w:val="0"/>
          <w:sz w:val="28"/>
          <w:szCs w:val="28"/>
          <w:highlight w:val="none"/>
        </w:rPr>
        <w:t>（1）采取公开招标和资格后审。</w:t>
      </w:r>
    </w:p>
    <w:p>
      <w:pPr>
        <w:keepNext w:val="0"/>
        <w:keepLines w:val="0"/>
        <w:pageBreakBefore w:val="0"/>
        <w:widowControl/>
        <w:kinsoku/>
        <w:overflowPunct/>
        <w:topLinePunct w:val="0"/>
        <w:bidi w:val="0"/>
        <w:adjustRightInd w:val="0"/>
        <w:snapToGrid w:val="0"/>
        <w:spacing w:line="560" w:lineRule="exact"/>
        <w:ind w:right="0" w:rightChars="0" w:firstLine="560" w:firstLineChars="200"/>
        <w:textAlignment w:val="auto"/>
        <w:outlineLvl w:val="9"/>
        <w:rPr>
          <w:rFonts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（2）评标委员会由3人及以上单数构成。</w:t>
      </w:r>
    </w:p>
    <w:p>
      <w:pPr>
        <w:keepNext w:val="0"/>
        <w:keepLines w:val="0"/>
        <w:pageBreakBefore w:val="0"/>
        <w:widowControl/>
        <w:kinsoku/>
        <w:overflowPunct/>
        <w:topLinePunct w:val="0"/>
        <w:bidi w:val="0"/>
        <w:adjustRightInd w:val="0"/>
        <w:snapToGrid w:val="0"/>
        <w:spacing w:line="560" w:lineRule="exact"/>
        <w:ind w:right="0" w:rightChars="0" w:firstLine="560" w:firstLineChars="200"/>
        <w:textAlignment w:val="auto"/>
        <w:outlineLvl w:val="9"/>
        <w:rPr>
          <w:rFonts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（3）评标委员会成员招标人自行组建。</w:t>
      </w:r>
    </w:p>
    <w:p>
      <w:pPr>
        <w:keepNext w:val="0"/>
        <w:keepLines w:val="0"/>
        <w:pageBreakBefore w:val="0"/>
        <w:widowControl/>
        <w:kinsoku/>
        <w:overflowPunct/>
        <w:topLinePunct w:val="0"/>
        <w:bidi w:val="0"/>
        <w:adjustRightInd w:val="0"/>
        <w:snapToGrid w:val="0"/>
        <w:spacing w:line="560" w:lineRule="exact"/>
        <w:ind w:right="0" w:rightChars="0" w:firstLine="560" w:firstLineChars="200"/>
        <w:textAlignment w:val="auto"/>
        <w:outlineLvl w:val="9"/>
        <w:rPr>
          <w:rFonts w:ascii="仿宋_GB2312" w:hAnsi="仿宋_GB2312" w:eastAsia="仿宋_GB2312" w:cs="仿宋_GB2312"/>
          <w:sz w:val="28"/>
          <w:szCs w:val="28"/>
          <w:highlight w:val="none"/>
        </w:rPr>
      </w:pPr>
      <w:r>
        <w:rPr>
          <w:rFonts w:hint="eastAsia" w:ascii="仿宋_GB2312" w:hAnsi="仿宋_GB2312" w:eastAsia="仿宋_GB2312" w:cs="仿宋_GB2312"/>
          <w:kern w:val="0"/>
          <w:sz w:val="28"/>
          <w:szCs w:val="28"/>
          <w:highlight w:val="none"/>
        </w:rPr>
        <w:t>（4）评标委员会推荐的中标候选人数：1人。</w:t>
      </w:r>
    </w:p>
    <w:p>
      <w:pPr>
        <w:keepNext w:val="0"/>
        <w:keepLines w:val="0"/>
        <w:pageBreakBefore w:val="0"/>
        <w:widowControl/>
        <w:kinsoku/>
        <w:overflowPunct/>
        <w:topLinePunct w:val="0"/>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kern w:val="0"/>
          <w:sz w:val="28"/>
          <w:szCs w:val="28"/>
          <w:highlight w:val="none"/>
        </w:rPr>
      </w:pPr>
      <w:bookmarkStart w:id="3" w:name="_Toc19218"/>
      <w:bookmarkStart w:id="4" w:name="_Toc3775"/>
      <w:r>
        <w:rPr>
          <w:rFonts w:hint="eastAsia" w:ascii="仿宋_GB2312" w:hAnsi="仿宋_GB2312" w:eastAsia="仿宋_GB2312" w:cs="仿宋_GB2312"/>
          <w:kern w:val="0"/>
          <w:sz w:val="28"/>
          <w:szCs w:val="28"/>
          <w:highlight w:val="none"/>
        </w:rPr>
        <w:t>（5）</w:t>
      </w:r>
      <w:bookmarkEnd w:id="3"/>
      <w:bookmarkEnd w:id="4"/>
      <w:r>
        <w:rPr>
          <w:rFonts w:hint="eastAsia" w:ascii="仿宋_GB2312" w:hAnsi="仿宋_GB2312" w:eastAsia="仿宋_GB2312" w:cs="仿宋_GB2312"/>
          <w:kern w:val="0"/>
          <w:sz w:val="28"/>
          <w:szCs w:val="28"/>
          <w:highlight w:val="none"/>
        </w:rPr>
        <w:t>本次评标采用综合评估法推荐中标候选人。</w:t>
      </w:r>
    </w:p>
    <w:p>
      <w:pPr>
        <w:keepNext w:val="0"/>
        <w:keepLines w:val="0"/>
        <w:pageBreakBefore w:val="0"/>
        <w:widowControl/>
        <w:kinsoku/>
        <w:overflowPunct/>
        <w:topLinePunct w:val="0"/>
        <w:bidi w:val="0"/>
        <w:snapToGrid w:val="0"/>
        <w:spacing w:line="560" w:lineRule="exact"/>
        <w:ind w:right="0" w:rightChars="0" w:firstLine="562" w:firstLineChars="200"/>
        <w:jc w:val="left"/>
        <w:textAlignment w:val="auto"/>
        <w:outlineLvl w:val="9"/>
        <w:rPr>
          <w:rFonts w:ascii="仿宋_GB2312" w:hAnsi="仿宋_GB2312" w:eastAsia="仿宋_GB2312" w:cs="仿宋_GB2312"/>
          <w:b/>
          <w:bCs/>
          <w:kern w:val="0"/>
          <w:sz w:val="28"/>
          <w:szCs w:val="28"/>
          <w:highlight w:val="none"/>
        </w:rPr>
      </w:pPr>
      <w:r>
        <w:rPr>
          <w:rFonts w:hint="eastAsia" w:ascii="仿宋_GB2312" w:hAnsi="仿宋_GB2312" w:eastAsia="仿宋_GB2312" w:cs="仿宋_GB2312"/>
          <w:b/>
          <w:bCs/>
          <w:kern w:val="0"/>
          <w:sz w:val="28"/>
          <w:szCs w:val="28"/>
          <w:highlight w:val="none"/>
        </w:rPr>
        <w:t>九、重新招标和不再招标</w:t>
      </w:r>
    </w:p>
    <w:p>
      <w:pPr>
        <w:keepNext w:val="0"/>
        <w:keepLines w:val="0"/>
        <w:pageBreakBefore w:val="0"/>
        <w:widowControl/>
        <w:kinsoku/>
        <w:overflowPunct/>
        <w:topLinePunct w:val="0"/>
        <w:bidi w:val="0"/>
        <w:adjustRightInd w:val="0"/>
        <w:snapToGrid w:val="0"/>
        <w:spacing w:line="560" w:lineRule="exact"/>
        <w:ind w:right="0" w:rightChars="0" w:firstLine="560" w:firstLineChars="200"/>
        <w:textAlignment w:val="auto"/>
        <w:outlineLvl w:val="9"/>
        <w:rPr>
          <w:rFonts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（1）重新招标</w:t>
      </w:r>
    </w:p>
    <w:p>
      <w:pPr>
        <w:keepNext w:val="0"/>
        <w:keepLines w:val="0"/>
        <w:pageBreakBefore w:val="0"/>
        <w:widowControl/>
        <w:kinsoku/>
        <w:overflowPunct/>
        <w:topLinePunct w:val="0"/>
        <w:bidi w:val="0"/>
        <w:adjustRightInd w:val="0"/>
        <w:snapToGrid w:val="0"/>
        <w:spacing w:line="560" w:lineRule="exact"/>
        <w:ind w:right="0" w:rightChars="0" w:firstLine="560" w:firstLineChars="200"/>
        <w:textAlignment w:val="auto"/>
        <w:outlineLvl w:val="9"/>
        <w:rPr>
          <w:rFonts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有下列情形之一的，招标人将重新招标：</w:t>
      </w:r>
    </w:p>
    <w:p>
      <w:pPr>
        <w:keepNext w:val="0"/>
        <w:keepLines w:val="0"/>
        <w:pageBreakBefore w:val="0"/>
        <w:widowControl/>
        <w:kinsoku/>
        <w:overflowPunct/>
        <w:topLinePunct w:val="0"/>
        <w:bidi w:val="0"/>
        <w:adjustRightInd w:val="0"/>
        <w:snapToGrid w:val="0"/>
        <w:spacing w:line="560" w:lineRule="exact"/>
        <w:ind w:right="0" w:rightChars="0" w:firstLine="560" w:firstLineChars="200"/>
        <w:textAlignment w:val="auto"/>
        <w:outlineLvl w:val="9"/>
        <w:rPr>
          <w:rFonts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fldChar w:fldCharType="begin"/>
      </w:r>
      <w:r>
        <w:rPr>
          <w:rFonts w:hint="eastAsia" w:ascii="仿宋_GB2312" w:hAnsi="仿宋_GB2312" w:eastAsia="仿宋_GB2312" w:cs="仿宋_GB2312"/>
          <w:kern w:val="0"/>
          <w:sz w:val="28"/>
          <w:szCs w:val="28"/>
          <w:highlight w:val="none"/>
        </w:rPr>
        <w:instrText xml:space="preserve"> = 1 \* GB3 \* MERGEFORMAT </w:instrText>
      </w:r>
      <w:r>
        <w:rPr>
          <w:rFonts w:hint="eastAsia" w:ascii="仿宋_GB2312" w:hAnsi="仿宋_GB2312" w:eastAsia="仿宋_GB2312" w:cs="仿宋_GB2312"/>
          <w:kern w:val="0"/>
          <w:sz w:val="28"/>
          <w:szCs w:val="28"/>
          <w:highlight w:val="none"/>
        </w:rPr>
        <w:fldChar w:fldCharType="separate"/>
      </w:r>
      <w:r>
        <w:rPr>
          <w:rFonts w:hint="eastAsia" w:ascii="仿宋_GB2312" w:hAnsi="仿宋_GB2312" w:eastAsia="仿宋_GB2312" w:cs="仿宋_GB2312"/>
          <w:sz w:val="28"/>
          <w:szCs w:val="28"/>
          <w:highlight w:val="none"/>
        </w:rPr>
        <w:t>①</w:t>
      </w:r>
      <w:r>
        <w:rPr>
          <w:rFonts w:hint="eastAsia" w:ascii="仿宋_GB2312" w:hAnsi="仿宋_GB2312" w:eastAsia="仿宋_GB2312" w:cs="仿宋_GB2312"/>
          <w:kern w:val="0"/>
          <w:sz w:val="28"/>
          <w:szCs w:val="28"/>
          <w:highlight w:val="none"/>
        </w:rPr>
        <w:fldChar w:fldCharType="end"/>
      </w:r>
      <w:r>
        <w:rPr>
          <w:rFonts w:hint="eastAsia" w:ascii="仿宋_GB2312" w:hAnsi="仿宋_GB2312" w:eastAsia="仿宋_GB2312" w:cs="仿宋_GB2312"/>
          <w:kern w:val="0"/>
          <w:sz w:val="28"/>
          <w:szCs w:val="28"/>
          <w:highlight w:val="none"/>
        </w:rPr>
        <w:t>投标截止时间止，投标人少于3个的；</w:t>
      </w:r>
    </w:p>
    <w:p>
      <w:pPr>
        <w:keepNext w:val="0"/>
        <w:keepLines w:val="0"/>
        <w:pageBreakBefore w:val="0"/>
        <w:widowControl/>
        <w:kinsoku/>
        <w:overflowPunct/>
        <w:topLinePunct w:val="0"/>
        <w:bidi w:val="0"/>
        <w:adjustRightInd w:val="0"/>
        <w:snapToGrid w:val="0"/>
        <w:spacing w:line="560" w:lineRule="exact"/>
        <w:ind w:right="0" w:rightChars="0" w:firstLine="560" w:firstLineChars="200"/>
        <w:textAlignment w:val="auto"/>
        <w:outlineLvl w:val="9"/>
        <w:rPr>
          <w:rFonts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fldChar w:fldCharType="begin"/>
      </w:r>
      <w:r>
        <w:rPr>
          <w:rFonts w:hint="eastAsia" w:ascii="仿宋_GB2312" w:hAnsi="仿宋_GB2312" w:eastAsia="仿宋_GB2312" w:cs="仿宋_GB2312"/>
          <w:kern w:val="0"/>
          <w:sz w:val="28"/>
          <w:szCs w:val="28"/>
          <w:highlight w:val="none"/>
        </w:rPr>
        <w:instrText xml:space="preserve"> = 2 \* GB3 \* MERGEFORMAT </w:instrText>
      </w:r>
      <w:r>
        <w:rPr>
          <w:rFonts w:hint="eastAsia" w:ascii="仿宋_GB2312" w:hAnsi="仿宋_GB2312" w:eastAsia="仿宋_GB2312" w:cs="仿宋_GB2312"/>
          <w:kern w:val="0"/>
          <w:sz w:val="28"/>
          <w:szCs w:val="28"/>
          <w:highlight w:val="none"/>
        </w:rPr>
        <w:fldChar w:fldCharType="separate"/>
      </w:r>
      <w:r>
        <w:rPr>
          <w:rFonts w:hint="eastAsia" w:ascii="仿宋_GB2312" w:hAnsi="仿宋_GB2312" w:eastAsia="仿宋_GB2312" w:cs="仿宋_GB2312"/>
          <w:sz w:val="28"/>
          <w:szCs w:val="28"/>
          <w:highlight w:val="none"/>
        </w:rPr>
        <w:t>②</w:t>
      </w:r>
      <w:r>
        <w:rPr>
          <w:rFonts w:hint="eastAsia" w:ascii="仿宋_GB2312" w:hAnsi="仿宋_GB2312" w:eastAsia="仿宋_GB2312" w:cs="仿宋_GB2312"/>
          <w:kern w:val="0"/>
          <w:sz w:val="28"/>
          <w:szCs w:val="28"/>
          <w:highlight w:val="none"/>
        </w:rPr>
        <w:fldChar w:fldCharType="end"/>
      </w:r>
      <w:r>
        <w:rPr>
          <w:rFonts w:hint="eastAsia" w:ascii="仿宋_GB2312" w:hAnsi="仿宋_GB2312" w:eastAsia="仿宋_GB2312" w:cs="仿宋_GB2312"/>
          <w:kern w:val="0"/>
          <w:sz w:val="28"/>
          <w:szCs w:val="28"/>
          <w:highlight w:val="none"/>
        </w:rPr>
        <w:t>所有投标人的报价均偏高，招标人无法接受的；</w:t>
      </w:r>
    </w:p>
    <w:p>
      <w:pPr>
        <w:keepNext w:val="0"/>
        <w:keepLines w:val="0"/>
        <w:pageBreakBefore w:val="0"/>
        <w:widowControl/>
        <w:kinsoku/>
        <w:overflowPunct/>
        <w:topLinePunct w:val="0"/>
        <w:bidi w:val="0"/>
        <w:adjustRightInd w:val="0"/>
        <w:snapToGrid w:val="0"/>
        <w:spacing w:line="560" w:lineRule="exact"/>
        <w:ind w:right="0" w:rightChars="0" w:firstLine="560" w:firstLineChars="200"/>
        <w:textAlignment w:val="auto"/>
        <w:outlineLvl w:val="9"/>
        <w:rPr>
          <w:rFonts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fldChar w:fldCharType="begin"/>
      </w:r>
      <w:r>
        <w:rPr>
          <w:rFonts w:hint="eastAsia" w:ascii="仿宋_GB2312" w:hAnsi="仿宋_GB2312" w:eastAsia="仿宋_GB2312" w:cs="仿宋_GB2312"/>
          <w:kern w:val="0"/>
          <w:sz w:val="28"/>
          <w:szCs w:val="28"/>
          <w:highlight w:val="none"/>
        </w:rPr>
        <w:instrText xml:space="preserve"> = 3 \* GB3 \* MERGEFORMAT </w:instrText>
      </w:r>
      <w:r>
        <w:rPr>
          <w:rFonts w:hint="eastAsia" w:ascii="仿宋_GB2312" w:hAnsi="仿宋_GB2312" w:eastAsia="仿宋_GB2312" w:cs="仿宋_GB2312"/>
          <w:kern w:val="0"/>
          <w:sz w:val="28"/>
          <w:szCs w:val="28"/>
          <w:highlight w:val="none"/>
        </w:rPr>
        <w:fldChar w:fldCharType="separate"/>
      </w:r>
      <w:r>
        <w:rPr>
          <w:rFonts w:hint="eastAsia" w:ascii="仿宋_GB2312" w:hAnsi="仿宋_GB2312" w:eastAsia="仿宋_GB2312" w:cs="仿宋_GB2312"/>
          <w:sz w:val="28"/>
          <w:szCs w:val="28"/>
          <w:highlight w:val="none"/>
        </w:rPr>
        <w:t>③</w:t>
      </w:r>
      <w:r>
        <w:rPr>
          <w:rFonts w:hint="eastAsia" w:ascii="仿宋_GB2312" w:hAnsi="仿宋_GB2312" w:eastAsia="仿宋_GB2312" w:cs="仿宋_GB2312"/>
          <w:kern w:val="0"/>
          <w:sz w:val="28"/>
          <w:szCs w:val="28"/>
          <w:highlight w:val="none"/>
        </w:rPr>
        <w:fldChar w:fldCharType="end"/>
      </w:r>
      <w:r>
        <w:rPr>
          <w:rFonts w:hint="eastAsia" w:ascii="仿宋_GB2312" w:hAnsi="仿宋_GB2312" w:eastAsia="仿宋_GB2312" w:cs="仿宋_GB2312"/>
          <w:kern w:val="0"/>
          <w:sz w:val="28"/>
          <w:szCs w:val="28"/>
          <w:highlight w:val="none"/>
        </w:rPr>
        <w:t>经评标委员会评审后否决所有投标的。</w:t>
      </w:r>
    </w:p>
    <w:p>
      <w:pPr>
        <w:keepNext w:val="0"/>
        <w:keepLines w:val="0"/>
        <w:pageBreakBefore w:val="0"/>
        <w:widowControl/>
        <w:kinsoku/>
        <w:overflowPunct/>
        <w:topLinePunct w:val="0"/>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投标人少于3个或经评审有效投标人少于3个，招标人不再另行发布通知，重新招标公告发布即表示本项目已进入新一轮招标。</w:t>
      </w:r>
    </w:p>
    <w:p>
      <w:pPr>
        <w:keepNext w:val="0"/>
        <w:keepLines w:val="0"/>
        <w:pageBreakBefore w:val="0"/>
        <w:widowControl/>
        <w:kinsoku/>
        <w:overflowPunct/>
        <w:topLinePunct w:val="0"/>
        <w:bidi w:val="0"/>
        <w:adjustRightInd w:val="0"/>
        <w:snapToGrid w:val="0"/>
        <w:spacing w:line="560" w:lineRule="exact"/>
        <w:ind w:right="0" w:rightChars="0" w:firstLine="560" w:firstLineChars="200"/>
        <w:textAlignment w:val="auto"/>
        <w:outlineLvl w:val="9"/>
        <w:rPr>
          <w:rFonts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（2）不再招标</w:t>
      </w:r>
    </w:p>
    <w:p>
      <w:pPr>
        <w:keepNext w:val="0"/>
        <w:keepLines w:val="0"/>
        <w:pageBreakBefore w:val="0"/>
        <w:widowControl/>
        <w:kinsoku/>
        <w:overflowPunct/>
        <w:topLinePunct w:val="0"/>
        <w:bidi w:val="0"/>
        <w:adjustRightInd w:val="0"/>
        <w:snapToGrid w:val="0"/>
        <w:spacing w:line="560" w:lineRule="exact"/>
        <w:ind w:right="0" w:rightChars="0" w:firstLine="560" w:firstLineChars="200"/>
        <w:textAlignment w:val="auto"/>
        <w:outlineLvl w:val="9"/>
        <w:rPr>
          <w:rFonts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重新招标后</w:t>
      </w:r>
      <w:r>
        <w:rPr>
          <w:rFonts w:hint="eastAsia" w:ascii="仿宋_GB2312" w:hAnsi="仿宋_GB2312" w:eastAsia="仿宋_GB2312" w:cs="仿宋_GB2312"/>
          <w:kern w:val="0"/>
          <w:sz w:val="28"/>
          <w:szCs w:val="28"/>
          <w:highlight w:val="none"/>
          <w:lang w:val="en-US" w:eastAsia="zh-CN"/>
        </w:rPr>
        <w:t>有效</w:t>
      </w:r>
      <w:r>
        <w:rPr>
          <w:rFonts w:hint="eastAsia" w:ascii="仿宋_GB2312" w:hAnsi="仿宋_GB2312" w:eastAsia="仿宋_GB2312" w:cs="仿宋_GB2312"/>
          <w:kern w:val="0"/>
          <w:sz w:val="28"/>
          <w:szCs w:val="28"/>
          <w:highlight w:val="none"/>
        </w:rPr>
        <w:t>投标人仍少于3个或者所有投标被否决的，经批准后可采用其他方式实施。</w:t>
      </w:r>
    </w:p>
    <w:p>
      <w:pPr>
        <w:keepNext w:val="0"/>
        <w:keepLines w:val="0"/>
        <w:pageBreakBefore w:val="0"/>
        <w:widowControl/>
        <w:kinsoku/>
        <w:overflowPunct/>
        <w:topLinePunct w:val="0"/>
        <w:bidi w:val="0"/>
        <w:snapToGrid w:val="0"/>
        <w:spacing w:line="560" w:lineRule="exact"/>
        <w:ind w:right="0" w:rightChars="0" w:firstLine="562" w:firstLineChars="200"/>
        <w:jc w:val="left"/>
        <w:textAlignment w:val="auto"/>
        <w:outlineLvl w:val="9"/>
        <w:rPr>
          <w:rFonts w:ascii="仿宋_GB2312" w:hAnsi="仿宋_GB2312" w:eastAsia="仿宋_GB2312" w:cs="仿宋_GB2312"/>
          <w:b/>
          <w:bCs/>
          <w:kern w:val="0"/>
          <w:sz w:val="28"/>
          <w:szCs w:val="28"/>
          <w:highlight w:val="none"/>
        </w:rPr>
      </w:pPr>
      <w:r>
        <w:rPr>
          <w:rFonts w:hint="eastAsia" w:ascii="仿宋_GB2312" w:hAnsi="仿宋_GB2312" w:eastAsia="仿宋_GB2312" w:cs="仿宋_GB2312"/>
          <w:b/>
          <w:bCs/>
          <w:kern w:val="0"/>
          <w:sz w:val="28"/>
          <w:szCs w:val="28"/>
          <w:highlight w:val="none"/>
        </w:rPr>
        <w:t>十、发布公告的媒介</w:t>
      </w:r>
    </w:p>
    <w:p>
      <w:pPr>
        <w:keepNext w:val="0"/>
        <w:keepLines w:val="0"/>
        <w:pageBreakBefore w:val="0"/>
        <w:kinsoku/>
        <w:overflowPunct/>
        <w:topLinePunct w:val="0"/>
        <w:bidi w:val="0"/>
        <w:snapToGrid w:val="0"/>
        <w:spacing w:line="560" w:lineRule="exact"/>
        <w:ind w:right="0" w:rightChars="0" w:firstLine="560" w:firstLineChars="200"/>
        <w:textAlignment w:val="auto"/>
        <w:outlineLvl w:val="9"/>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本次招标公告在杭州萧山机场有限公司主页http://www.hzairport.com上进行发布。</w:t>
      </w:r>
    </w:p>
    <w:p>
      <w:pPr>
        <w:keepNext w:val="0"/>
        <w:keepLines w:val="0"/>
        <w:pageBreakBefore w:val="0"/>
        <w:widowControl/>
        <w:kinsoku/>
        <w:overflowPunct/>
        <w:topLinePunct w:val="0"/>
        <w:bidi w:val="0"/>
        <w:snapToGrid w:val="0"/>
        <w:spacing w:line="560" w:lineRule="exact"/>
        <w:ind w:right="0" w:rightChars="0" w:firstLine="562" w:firstLineChars="200"/>
        <w:jc w:val="left"/>
        <w:textAlignment w:val="auto"/>
        <w:outlineLvl w:val="9"/>
        <w:rPr>
          <w:rFonts w:ascii="仿宋_GB2312" w:hAnsi="仿宋_GB2312" w:eastAsia="仿宋_GB2312" w:cs="仿宋_GB2312"/>
          <w:b/>
          <w:bCs/>
          <w:kern w:val="0"/>
          <w:sz w:val="28"/>
          <w:szCs w:val="28"/>
          <w:highlight w:val="none"/>
        </w:rPr>
      </w:pPr>
      <w:r>
        <w:rPr>
          <w:rFonts w:hint="eastAsia" w:ascii="仿宋_GB2312" w:hAnsi="仿宋_GB2312" w:eastAsia="仿宋_GB2312" w:cs="仿宋_GB2312"/>
          <w:b/>
          <w:bCs/>
          <w:kern w:val="0"/>
          <w:sz w:val="28"/>
          <w:szCs w:val="28"/>
          <w:highlight w:val="none"/>
        </w:rPr>
        <w:t>十一、联系方式</w:t>
      </w:r>
    </w:p>
    <w:p>
      <w:pPr>
        <w:keepNext w:val="0"/>
        <w:keepLines w:val="0"/>
        <w:pageBreakBefore w:val="0"/>
        <w:widowControl/>
        <w:kinsoku/>
        <w:overflowPunct/>
        <w:topLinePunct w:val="0"/>
        <w:bidi w:val="0"/>
        <w:snapToGrid w:val="0"/>
        <w:spacing w:line="560" w:lineRule="exact"/>
        <w:ind w:right="0" w:rightChars="0" w:firstLine="560" w:firstLineChars="200"/>
        <w:jc w:val="left"/>
        <w:textAlignment w:val="auto"/>
        <w:outlineLvl w:val="9"/>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投标联系人：吴淼清        联系电话：0571-86662348 </w:t>
      </w:r>
    </w:p>
    <w:p>
      <w:pPr>
        <w:keepNext w:val="0"/>
        <w:keepLines w:val="0"/>
        <w:pageBreakBefore w:val="0"/>
        <w:widowControl/>
        <w:kinsoku/>
        <w:overflowPunct/>
        <w:topLinePunct w:val="0"/>
        <w:bidi w:val="0"/>
        <w:snapToGrid w:val="0"/>
        <w:spacing w:line="560" w:lineRule="exact"/>
        <w:ind w:right="0" w:rightChars="0" w:firstLine="560" w:firstLineChars="200"/>
        <w:jc w:val="left"/>
        <w:textAlignment w:val="auto"/>
        <w:outlineLvl w:val="9"/>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监督联系人：</w:t>
      </w: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曾宪武</w:t>
      </w:r>
      <w:r>
        <w:rPr>
          <w:rFonts w:hint="eastAsia" w:ascii="仿宋_GB2312" w:hAnsi="仿宋_GB2312" w:eastAsia="仿宋_GB2312" w:cs="仿宋_GB2312"/>
          <w:color w:val="000000" w:themeColor="text1"/>
          <w:sz w:val="28"/>
          <w:szCs w:val="28"/>
          <w:highlight w:val="none"/>
          <w14:textFill>
            <w14:solidFill>
              <w14:schemeClr w14:val="tx1"/>
            </w14:solidFill>
          </w14:textFill>
        </w:rPr>
        <w:t xml:space="preserve">        联系电话：0571-86662361</w:t>
      </w:r>
    </w:p>
    <w:bookmarkEnd w:id="1"/>
    <w:bookmarkEnd w:id="2"/>
    <w:p>
      <w:pPr>
        <w:pStyle w:val="13"/>
        <w:pageBreakBefore/>
        <w:spacing w:before="0" w:after="0" w:line="560" w:lineRule="exact"/>
        <w:rPr>
          <w:highlight w:val="none"/>
        </w:rPr>
      </w:pPr>
      <w:bookmarkStart w:id="5" w:name="_Toc28761"/>
      <w:bookmarkStart w:id="6" w:name="_Toc568"/>
      <w:bookmarkStart w:id="7" w:name="_Toc27752"/>
      <w:r>
        <w:rPr>
          <w:highlight w:val="none"/>
        </w:rPr>
        <w:t>第</w:t>
      </w:r>
      <w:r>
        <w:rPr>
          <w:rFonts w:hint="eastAsia"/>
          <w:highlight w:val="none"/>
        </w:rPr>
        <w:t>二</w:t>
      </w:r>
      <w:r>
        <w:rPr>
          <w:highlight w:val="none"/>
        </w:rPr>
        <w:t xml:space="preserve">章 </w:t>
      </w:r>
      <w:r>
        <w:rPr>
          <w:rFonts w:hint="eastAsia"/>
          <w:highlight w:val="none"/>
        </w:rPr>
        <w:t>评标办法</w:t>
      </w:r>
      <w:bookmarkEnd w:id="5"/>
      <w:bookmarkEnd w:id="6"/>
    </w:p>
    <w:bookmarkEnd w:id="7"/>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textAlignment w:val="auto"/>
        <w:outlineLvl w:val="9"/>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根据《中华人民共和国民法典》</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rPr>
        <w:t>《中华人民共和国招标投标法》、《中华人民共和国招标投标法实施条例》等有关规定，制定本办法。</w:t>
      </w:r>
    </w:p>
    <w:p>
      <w:pPr>
        <w:keepNext w:val="0"/>
        <w:keepLines w:val="0"/>
        <w:pageBreakBefore w:val="0"/>
        <w:widowControl w:val="0"/>
        <w:kinsoku/>
        <w:wordWrap/>
        <w:overflowPunct/>
        <w:topLinePunct w:val="0"/>
        <w:autoSpaceDE/>
        <w:autoSpaceDN/>
        <w:bidi w:val="0"/>
        <w:snapToGrid w:val="0"/>
        <w:spacing w:line="560" w:lineRule="exact"/>
        <w:ind w:left="0" w:leftChars="0" w:right="0" w:rightChars="0" w:firstLine="562" w:firstLineChars="200"/>
        <w:textAlignment w:val="auto"/>
        <w:outlineLvl w:val="9"/>
        <w:rPr>
          <w:rFonts w:ascii="仿宋_GB2312" w:hAnsi="仿宋_GB2312" w:eastAsia="仿宋_GB2312" w:cs="仿宋_GB2312"/>
          <w:b/>
          <w:kern w:val="0"/>
          <w:sz w:val="28"/>
          <w:szCs w:val="28"/>
          <w:highlight w:val="none"/>
        </w:rPr>
      </w:pPr>
      <w:r>
        <w:rPr>
          <w:rFonts w:hint="eastAsia" w:ascii="仿宋_GB2312" w:hAnsi="仿宋_GB2312" w:eastAsia="仿宋_GB2312" w:cs="仿宋_GB2312"/>
          <w:b/>
          <w:kern w:val="0"/>
          <w:sz w:val="28"/>
          <w:szCs w:val="28"/>
          <w:highlight w:val="none"/>
        </w:rPr>
        <w:t>一、评标原则</w:t>
      </w:r>
    </w:p>
    <w:p>
      <w:pPr>
        <w:keepNext w:val="0"/>
        <w:keepLines w:val="0"/>
        <w:pageBreakBefore w:val="0"/>
        <w:widowControl w:val="0"/>
        <w:kinsoku/>
        <w:wordWrap/>
        <w:overflowPunct/>
        <w:topLinePunct w:val="0"/>
        <w:autoSpaceDE/>
        <w:autoSpaceDN/>
        <w:bidi w:val="0"/>
        <w:snapToGrid w:val="0"/>
        <w:spacing w:line="560" w:lineRule="exact"/>
        <w:ind w:left="0" w:leftChars="0" w:right="0" w:rightChars="0" w:firstLine="560" w:firstLineChars="200"/>
        <w:textAlignment w:val="auto"/>
        <w:outlineLvl w:val="9"/>
        <w:rPr>
          <w:rFonts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评标应遵循公平、公正、科学、择优的原则。</w:t>
      </w:r>
    </w:p>
    <w:p>
      <w:pPr>
        <w:keepNext w:val="0"/>
        <w:keepLines w:val="0"/>
        <w:pageBreakBefore w:val="0"/>
        <w:widowControl w:val="0"/>
        <w:kinsoku/>
        <w:wordWrap/>
        <w:overflowPunct/>
        <w:topLinePunct w:val="0"/>
        <w:autoSpaceDE/>
        <w:autoSpaceDN/>
        <w:bidi w:val="0"/>
        <w:snapToGrid w:val="0"/>
        <w:spacing w:line="560" w:lineRule="exact"/>
        <w:ind w:left="0" w:leftChars="0" w:right="0" w:rightChars="0" w:firstLine="562" w:firstLineChars="200"/>
        <w:textAlignment w:val="auto"/>
        <w:outlineLvl w:val="9"/>
        <w:rPr>
          <w:rFonts w:ascii="仿宋_GB2312" w:hAnsi="仿宋_GB2312" w:eastAsia="仿宋_GB2312" w:cs="仿宋_GB2312"/>
          <w:b/>
          <w:kern w:val="0"/>
          <w:sz w:val="28"/>
          <w:szCs w:val="28"/>
          <w:highlight w:val="none"/>
        </w:rPr>
      </w:pPr>
      <w:r>
        <w:rPr>
          <w:rFonts w:hint="eastAsia" w:ascii="仿宋_GB2312" w:hAnsi="仿宋_GB2312" w:eastAsia="仿宋_GB2312" w:cs="仿宋_GB2312"/>
          <w:b/>
          <w:kern w:val="0"/>
          <w:sz w:val="28"/>
          <w:szCs w:val="28"/>
          <w:highlight w:val="none"/>
        </w:rPr>
        <w:t>二、评标组织</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textAlignment w:val="auto"/>
        <w:outlineLvl w:val="9"/>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评标工作由招标人依法组建的评标委员会负责。</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textAlignment w:val="auto"/>
        <w:outlineLvl w:val="9"/>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评标委员会应当按照招标文件确定的评标标准和方法，客观、公正对投标文件进行评审和比较，招标文件没有规定的评标标准和方法不得作为评标的依据。</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textAlignment w:val="auto"/>
        <w:outlineLvl w:val="9"/>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评标委员会对投标文件作出的评审结论，应当符合有关法律、法规、规章和招标文件的规定。</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textAlignment w:val="auto"/>
        <w:outlineLvl w:val="9"/>
        <w:rPr>
          <w:rFonts w:ascii="仿宋_GB2312" w:hAnsi="仿宋_GB2312" w:eastAsia="仿宋_GB2312" w:cs="仿宋_GB2312"/>
          <w:sz w:val="28"/>
          <w:szCs w:val="28"/>
          <w:highlight w:val="none"/>
        </w:rPr>
      </w:pPr>
      <w:bookmarkStart w:id="8" w:name="_Hlk47377016"/>
      <w:r>
        <w:rPr>
          <w:rFonts w:hint="eastAsia" w:ascii="仿宋_GB2312" w:hAnsi="仿宋_GB2312" w:eastAsia="仿宋_GB2312" w:cs="仿宋_GB2312"/>
          <w:sz w:val="28"/>
          <w:szCs w:val="28"/>
          <w:highlight w:val="none"/>
        </w:rPr>
        <w:t>在任何评标环节中，评标委员会就某项定性的评审结论意见不一致的，由评标委员会全体成员按照少数服从多数的原则，以记名投票方式表决。</w:t>
      </w:r>
      <w:bookmarkEnd w:id="8"/>
    </w:p>
    <w:p>
      <w:pPr>
        <w:keepNext w:val="0"/>
        <w:keepLines w:val="0"/>
        <w:pageBreakBefore w:val="0"/>
        <w:widowControl w:val="0"/>
        <w:kinsoku/>
        <w:wordWrap/>
        <w:overflowPunct/>
        <w:topLinePunct w:val="0"/>
        <w:autoSpaceDE/>
        <w:autoSpaceDN/>
        <w:bidi w:val="0"/>
        <w:snapToGrid w:val="0"/>
        <w:spacing w:line="560" w:lineRule="exact"/>
        <w:ind w:left="0" w:leftChars="0" w:right="0" w:rightChars="0" w:firstLine="562" w:firstLineChars="200"/>
        <w:textAlignment w:val="auto"/>
        <w:outlineLvl w:val="9"/>
        <w:rPr>
          <w:rFonts w:ascii="仿宋_GB2312" w:hAnsi="仿宋_GB2312" w:eastAsia="仿宋_GB2312" w:cs="仿宋_GB2312"/>
          <w:b/>
          <w:kern w:val="0"/>
          <w:sz w:val="28"/>
          <w:szCs w:val="28"/>
          <w:highlight w:val="none"/>
        </w:rPr>
      </w:pPr>
      <w:r>
        <w:rPr>
          <w:rFonts w:hint="eastAsia" w:ascii="仿宋_GB2312" w:hAnsi="仿宋_GB2312" w:eastAsia="仿宋_GB2312" w:cs="仿宋_GB2312"/>
          <w:b/>
          <w:kern w:val="0"/>
          <w:sz w:val="28"/>
          <w:szCs w:val="28"/>
          <w:highlight w:val="none"/>
        </w:rPr>
        <w:t>三、评标程序和内容</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textAlignment w:val="auto"/>
        <w:outlineLvl w:val="9"/>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(一)熟悉招标文件和评标办法；</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textAlignment w:val="auto"/>
        <w:outlineLvl w:val="9"/>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(二)投标文件的符合性评审；</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textAlignment w:val="auto"/>
        <w:outlineLvl w:val="9"/>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(三)投标文件的技术评审；</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textAlignment w:val="auto"/>
        <w:outlineLvl w:val="9"/>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(四)投标文件的商务评审；</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textAlignment w:val="auto"/>
        <w:outlineLvl w:val="9"/>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(五)必要时对投标文件中的问题进行询标；</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textAlignment w:val="auto"/>
        <w:outlineLvl w:val="9"/>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(六)根据评标办法和标准计算综合得分；</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textAlignment w:val="auto"/>
        <w:outlineLvl w:val="9"/>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(七)对投标人进行排序，推荐中标候选人，完成评标报告。</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2" w:firstLineChars="200"/>
        <w:textAlignment w:val="auto"/>
        <w:outlineLvl w:val="9"/>
        <w:rPr>
          <w:rFonts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四、评审细则</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2" w:firstLineChars="200"/>
        <w:textAlignment w:val="auto"/>
        <w:outlineLvl w:val="9"/>
        <w:rPr>
          <w:rFonts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(一)符合性评审</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textAlignment w:val="auto"/>
        <w:outlineLvl w:val="9"/>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评标委员会应依照招标文件的要求和规定首先对投标人的投标资格和投标文件进行符合性评审，</w:t>
      </w:r>
      <w:r>
        <w:rPr>
          <w:rFonts w:hint="eastAsia" w:ascii="仿宋_GB2312" w:hAnsi="仿宋_GB2312" w:eastAsia="仿宋_GB2312" w:cs="仿宋_GB2312"/>
          <w:b/>
          <w:sz w:val="28"/>
          <w:szCs w:val="28"/>
          <w:highlight w:val="none"/>
        </w:rPr>
        <w:t>审查过程中评标委员会可以要求投标人提交有关证明和证件的原件，以便核验。</w:t>
      </w:r>
      <w:bookmarkStart w:id="9" w:name="_Hlk47377053"/>
      <w:r>
        <w:rPr>
          <w:rFonts w:hint="eastAsia" w:ascii="仿宋_GB2312" w:hAnsi="仿宋_GB2312" w:eastAsia="仿宋_GB2312" w:cs="仿宋_GB2312"/>
          <w:sz w:val="28"/>
          <w:szCs w:val="28"/>
          <w:highlight w:val="none"/>
        </w:rPr>
        <w:t>经评标委员会</w:t>
      </w:r>
      <w:bookmarkStart w:id="10" w:name="_Hlk47446073"/>
      <w:r>
        <w:rPr>
          <w:rFonts w:hint="eastAsia" w:ascii="仿宋_GB2312" w:hAnsi="仿宋_GB2312" w:eastAsia="仿宋_GB2312" w:cs="仿宋_GB2312"/>
          <w:sz w:val="28"/>
          <w:szCs w:val="28"/>
          <w:highlight w:val="none"/>
        </w:rPr>
        <w:t>评审后，符合性审查不予通过，不再进行下一步评审</w:t>
      </w:r>
      <w:bookmarkEnd w:id="10"/>
      <w:r>
        <w:rPr>
          <w:rFonts w:hint="eastAsia" w:ascii="仿宋_GB2312" w:hAnsi="仿宋_GB2312" w:eastAsia="仿宋_GB2312" w:cs="仿宋_GB2312"/>
          <w:sz w:val="28"/>
          <w:szCs w:val="28"/>
          <w:highlight w:val="none"/>
        </w:rPr>
        <w:t>。</w:t>
      </w:r>
      <w:bookmarkEnd w:id="9"/>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textAlignment w:val="auto"/>
        <w:outlineLvl w:val="9"/>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在评标过程中，评标委员会发现投标人的报价明显低于其他投标报价，使得其投标报价可能低于其个别成本的，应当要求该投标人作出书面说明并提供相关证明材料。投标人不能合理说明或者不能提供相关证明材料的，由评标委员会认定该投标人以低于成本报价竞标，应当否决其投标。</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2" w:firstLineChars="200"/>
        <w:textAlignment w:val="auto"/>
        <w:outlineLvl w:val="9"/>
        <w:rPr>
          <w:rFonts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(二)询标</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textAlignment w:val="auto"/>
        <w:outlineLvl w:val="9"/>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(1)投标文件中有含义不明确的内容、明显文字或计算错误，评标委员会认为需要投标人作出必要澄清、说明的，应当组织询标。</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textAlignment w:val="auto"/>
        <w:outlineLvl w:val="9"/>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(2)投标人所留联系方式无法联系上、在规定的时限内投标人不参加询标或不予答复的，投标人自行承担放弃询标机会的后果。</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textAlignment w:val="auto"/>
        <w:outlineLvl w:val="9"/>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(3)询标问题及投标人的澄清、说明不得超出投标文件的范围或者改变投标文件的实质性内容。</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textAlignment w:val="auto"/>
        <w:outlineLvl w:val="9"/>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(4)评标委员会不得暗示或者诱导投标人作出澄清、说明，不得接受投标人主动提出的澄清、说明。</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2" w:firstLineChars="200"/>
        <w:textAlignment w:val="auto"/>
        <w:outlineLvl w:val="9"/>
        <w:rPr>
          <w:rFonts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(三)错误的修正</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textAlignment w:val="auto"/>
        <w:outlineLvl w:val="9"/>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投标报价中用数字表示的数额与用文字表示的数额不一致时，一律以投标函中用文字表示的投标报价为准，计算商务分时不作调整。</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textAlignment w:val="auto"/>
        <w:outlineLvl w:val="9"/>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当投标函中的投标报价与投标报价表中的投标报价不一致，或投标报价表中存在计算错误，或投标函载明的大写数额有明显错误，或投标报价存在其他错误时，评标委员会按有利于招标人的原则对投标报价进行修正，投标人必须书面确认修正价格，承诺如中标接受修正价格为合同签约价。投标人不接受修正价格的，其投标作否决处理。</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2" w:firstLineChars="200"/>
        <w:textAlignment w:val="auto"/>
        <w:outlineLvl w:val="9"/>
        <w:rPr>
          <w:rFonts w:hint="eastAsia"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rPr>
        <w:t>该错误即使在评标阶段未被发现，招标人有权在合同签订前按以上原则对价格进行修正，并按修正后的价格进行签约，投标人不接受修正价格的，将取消其中标候选人或中标人资格。</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2" w:firstLineChars="200"/>
        <w:textAlignment w:val="auto"/>
        <w:outlineLvl w:val="9"/>
        <w:rPr>
          <w:rFonts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(四)评标细则</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textAlignment w:val="auto"/>
        <w:outlineLvl w:val="9"/>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本次评标采用</w:t>
      </w:r>
      <w:r>
        <w:rPr>
          <w:rFonts w:hint="eastAsia" w:ascii="仿宋_GB2312" w:hAnsi="仿宋_GB2312" w:eastAsia="仿宋_GB2312" w:cs="仿宋_GB2312"/>
          <w:b/>
          <w:sz w:val="28"/>
          <w:szCs w:val="28"/>
          <w:highlight w:val="none"/>
        </w:rPr>
        <w:t>综合评估法</w:t>
      </w:r>
      <w:r>
        <w:rPr>
          <w:rFonts w:hint="eastAsia" w:ascii="仿宋_GB2312" w:hAnsi="仿宋_GB2312" w:eastAsia="仿宋_GB2312" w:cs="仿宋_GB2312"/>
          <w:sz w:val="28"/>
          <w:szCs w:val="28"/>
          <w:highlight w:val="none"/>
        </w:rPr>
        <w:t>，</w:t>
      </w:r>
      <w:bookmarkStart w:id="11" w:name="_Hlk47988709"/>
      <w:r>
        <w:rPr>
          <w:rFonts w:hint="eastAsia" w:ascii="仿宋_GB2312" w:hAnsi="仿宋_GB2312" w:eastAsia="仿宋_GB2312" w:cs="仿宋_GB2312"/>
          <w:sz w:val="28"/>
          <w:szCs w:val="28"/>
          <w:highlight w:val="none"/>
        </w:rPr>
        <w:t>评标委员会根据评审情况，对技术、商务等方面进行评审。评标委员会根据评审情况，对各投标人的投标文件进行打分。若评标委员会的评分表中计分不在分值范围内的，则该评分表无效。</w:t>
      </w:r>
      <w:bookmarkEnd w:id="11"/>
    </w:p>
    <w:p>
      <w:pPr>
        <w:keepNext w:val="0"/>
        <w:keepLines w:val="0"/>
        <w:pageBreakBefore w:val="0"/>
        <w:widowControl w:val="0"/>
        <w:kinsoku/>
        <w:wordWrap/>
        <w:overflowPunct/>
        <w:topLinePunct w:val="0"/>
        <w:autoSpaceDE/>
        <w:autoSpaceDN/>
        <w:bidi w:val="0"/>
        <w:spacing w:line="560" w:lineRule="exact"/>
        <w:ind w:left="0" w:leftChars="0" w:right="0" w:rightChars="0" w:firstLine="562" w:firstLineChars="200"/>
        <w:textAlignment w:val="auto"/>
        <w:outlineLvl w:val="9"/>
        <w:rPr>
          <w:rFonts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 xml:space="preserve">1.投标文件的技术评审( </w:t>
      </w:r>
      <w:r>
        <w:rPr>
          <w:rFonts w:hint="eastAsia" w:ascii="仿宋_GB2312" w:hAnsi="仿宋_GB2312" w:eastAsia="仿宋_GB2312" w:cs="仿宋_GB2312"/>
          <w:b/>
          <w:sz w:val="28"/>
          <w:szCs w:val="28"/>
          <w:highlight w:val="none"/>
          <w:u w:val="single"/>
        </w:rPr>
        <w:t>40</w:t>
      </w:r>
      <w:r>
        <w:rPr>
          <w:rFonts w:hint="eastAsia" w:ascii="仿宋_GB2312" w:hAnsi="仿宋_GB2312" w:eastAsia="仿宋_GB2312" w:cs="仿宋_GB2312"/>
          <w:b/>
          <w:sz w:val="28"/>
          <w:szCs w:val="28"/>
          <w:highlight w:val="none"/>
        </w:rPr>
        <w:t xml:space="preserve"> 分)</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该评分分值由评标委员会成员独立打分(具体分值设定详见下表)，小数点后保留1位小数。每个投标人的最终技术得分为评标委员会打分的算术平均值(小数点后保留2位，第三位四舍五入)。</w:t>
      </w:r>
    </w:p>
    <w:tbl>
      <w:tblPr>
        <w:tblStyle w:val="14"/>
        <w:tblW w:w="98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3"/>
        <w:gridCol w:w="6998"/>
        <w:gridCol w:w="9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953" w:type="dxa"/>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center"/>
              <w:textAlignment w:val="auto"/>
              <w:outlineLvl w:val="9"/>
              <w:rPr>
                <w:rFonts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rPr>
              <w:t>评分内容</w:t>
            </w:r>
          </w:p>
        </w:tc>
        <w:tc>
          <w:tcPr>
            <w:tcW w:w="6998" w:type="dxa"/>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center"/>
              <w:textAlignment w:val="auto"/>
              <w:outlineLvl w:val="9"/>
              <w:rPr>
                <w:rFonts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rPr>
              <w:t>评分标准</w:t>
            </w:r>
          </w:p>
        </w:tc>
        <w:tc>
          <w:tcPr>
            <w:tcW w:w="904" w:type="dxa"/>
            <w:vAlign w:val="center"/>
          </w:tcPr>
          <w:p>
            <w:pPr>
              <w:keepNext w:val="0"/>
              <w:keepLines w:val="0"/>
              <w:pageBreakBefore w:val="0"/>
              <w:widowControl w:val="0"/>
              <w:tabs>
                <w:tab w:val="left" w:pos="1418"/>
              </w:tabs>
              <w:kinsoku/>
              <w:wordWrap/>
              <w:overflowPunct/>
              <w:topLinePunct w:val="0"/>
              <w:autoSpaceDE/>
              <w:autoSpaceDN/>
              <w:bidi w:val="0"/>
              <w:adjustRightInd w:val="0"/>
              <w:snapToGrid w:val="0"/>
              <w:spacing w:line="560" w:lineRule="exact"/>
              <w:ind w:left="0" w:leftChars="0" w:right="0" w:rightChars="0" w:firstLine="0" w:firstLineChars="0"/>
              <w:jc w:val="center"/>
              <w:textAlignment w:val="auto"/>
              <w:outlineLvl w:val="9"/>
              <w:rPr>
                <w:rFonts w:ascii="仿宋_GB2312" w:hAnsi="仿宋_GB2312" w:eastAsia="仿宋_GB2312" w:cs="仿宋_GB2312"/>
                <w:b/>
                <w:bCs/>
                <w:spacing w:val="-6"/>
                <w:kern w:val="0"/>
                <w:sz w:val="28"/>
                <w:szCs w:val="28"/>
                <w:highlight w:val="none"/>
              </w:rPr>
            </w:pPr>
            <w:r>
              <w:rPr>
                <w:rFonts w:hint="eastAsia" w:ascii="仿宋_GB2312" w:hAnsi="仿宋_GB2312" w:eastAsia="仿宋_GB2312" w:cs="仿宋_GB2312"/>
                <w:b/>
                <w:bCs/>
                <w:spacing w:val="-6"/>
                <w:kern w:val="0"/>
                <w:sz w:val="28"/>
                <w:szCs w:val="28"/>
                <w:highlight w:val="none"/>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1953" w:type="dxa"/>
            <w:vAlign w:val="center"/>
          </w:tcPr>
          <w:p>
            <w:pPr>
              <w:keepNext w:val="0"/>
              <w:keepLines w:val="0"/>
              <w:pageBreakBefore w:val="0"/>
              <w:widowControl w:val="0"/>
              <w:kinsoku/>
              <w:wordWrap/>
              <w:overflowPunct/>
              <w:topLinePunct w:val="0"/>
              <w:autoSpaceDE/>
              <w:autoSpaceDN/>
              <w:bidi w:val="0"/>
              <w:snapToGrid w:val="0"/>
              <w:spacing w:line="560" w:lineRule="exact"/>
              <w:ind w:left="0" w:leftChars="0" w:right="0" w:rightChars="0" w:firstLine="0" w:firstLineChars="0"/>
              <w:jc w:val="left"/>
              <w:textAlignment w:val="auto"/>
              <w:outlineLvl w:val="9"/>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施工方案与技术措施</w:t>
            </w:r>
          </w:p>
        </w:tc>
        <w:tc>
          <w:tcPr>
            <w:tcW w:w="6998" w:type="dxa"/>
            <w:vAlign w:val="center"/>
          </w:tcPr>
          <w:p>
            <w:pPr>
              <w:keepNext w:val="0"/>
              <w:keepLines w:val="0"/>
              <w:pageBreakBefore w:val="0"/>
              <w:widowControl w:val="0"/>
              <w:kinsoku/>
              <w:wordWrap/>
              <w:overflowPunct/>
              <w:topLinePunct w:val="0"/>
              <w:autoSpaceDE/>
              <w:autoSpaceDN/>
              <w:bidi w:val="0"/>
              <w:snapToGrid w:val="0"/>
              <w:spacing w:line="560" w:lineRule="exact"/>
              <w:ind w:left="0" w:leftChars="0" w:right="0" w:rightChars="0" w:firstLine="0" w:firstLineChars="0"/>
              <w:jc w:val="left"/>
              <w:textAlignment w:val="auto"/>
              <w:outlineLvl w:val="9"/>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施工方案与技术措施内容的完整性、针对性和可行性，</w:t>
            </w:r>
            <w:r>
              <w:rPr>
                <w:rFonts w:hint="eastAsia" w:ascii="仿宋_GB2312" w:hAnsi="仿宋_GB2312" w:eastAsia="仿宋_GB2312" w:cs="仿宋_GB2312"/>
                <w:sz w:val="28"/>
                <w:szCs w:val="28"/>
                <w:highlight w:val="none"/>
                <w:lang w:eastAsia="zh-Hans"/>
              </w:rPr>
              <w:t>特别是针对本项目重点难点部位</w:t>
            </w:r>
            <w:r>
              <w:rPr>
                <w:rFonts w:hint="eastAsia" w:ascii="仿宋_GB2312" w:hAnsi="仿宋_GB2312" w:eastAsia="仿宋_GB2312" w:cs="仿宋_GB2312"/>
                <w:sz w:val="28"/>
                <w:szCs w:val="28"/>
                <w:highlight w:val="none"/>
              </w:rPr>
              <w:t>；各投标文件横向比较，优秀的得4.2-6分；良好的2.1-4.2分；一般的得0-2.1分。</w:t>
            </w:r>
          </w:p>
        </w:tc>
        <w:tc>
          <w:tcPr>
            <w:tcW w:w="904" w:type="dxa"/>
            <w:vAlign w:val="center"/>
          </w:tcPr>
          <w:p>
            <w:pPr>
              <w:keepNext w:val="0"/>
              <w:keepLines w:val="0"/>
              <w:pageBreakBefore w:val="0"/>
              <w:widowControl w:val="0"/>
              <w:kinsoku/>
              <w:wordWrap/>
              <w:overflowPunct/>
              <w:topLinePunct w:val="0"/>
              <w:autoSpaceDE/>
              <w:autoSpaceDN/>
              <w:bidi w:val="0"/>
              <w:spacing w:line="560" w:lineRule="exact"/>
              <w:ind w:left="0" w:leftChars="0" w:right="0" w:rightChars="0" w:firstLine="0" w:firstLineChars="0"/>
              <w:textAlignment w:val="auto"/>
              <w:outlineLvl w:val="9"/>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blHeader/>
          <w:jc w:val="center"/>
        </w:trPr>
        <w:tc>
          <w:tcPr>
            <w:tcW w:w="1953" w:type="dxa"/>
            <w:vAlign w:val="center"/>
          </w:tcPr>
          <w:p>
            <w:pPr>
              <w:keepNext w:val="0"/>
              <w:keepLines w:val="0"/>
              <w:pageBreakBefore w:val="0"/>
              <w:widowControl w:val="0"/>
              <w:kinsoku/>
              <w:wordWrap/>
              <w:overflowPunct/>
              <w:topLinePunct w:val="0"/>
              <w:autoSpaceDE/>
              <w:autoSpaceDN/>
              <w:bidi w:val="0"/>
              <w:snapToGrid w:val="0"/>
              <w:spacing w:line="560" w:lineRule="exact"/>
              <w:ind w:left="0" w:leftChars="0" w:right="0" w:rightChars="0" w:firstLine="0" w:firstLineChars="0"/>
              <w:jc w:val="left"/>
              <w:textAlignment w:val="auto"/>
              <w:outlineLvl w:val="9"/>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质量管理体系与措施</w:t>
            </w:r>
          </w:p>
        </w:tc>
        <w:tc>
          <w:tcPr>
            <w:tcW w:w="6998" w:type="dxa"/>
            <w:vAlign w:val="center"/>
          </w:tcPr>
          <w:p>
            <w:pPr>
              <w:keepNext w:val="0"/>
              <w:keepLines w:val="0"/>
              <w:pageBreakBefore w:val="0"/>
              <w:widowControl w:val="0"/>
              <w:kinsoku/>
              <w:wordWrap/>
              <w:overflowPunct/>
              <w:topLinePunct w:val="0"/>
              <w:autoSpaceDE/>
              <w:autoSpaceDN/>
              <w:bidi w:val="0"/>
              <w:snapToGrid w:val="0"/>
              <w:spacing w:line="560" w:lineRule="exact"/>
              <w:ind w:left="0" w:leftChars="0" w:right="0" w:rightChars="0" w:firstLine="0" w:firstLineChars="0"/>
              <w:jc w:val="left"/>
              <w:textAlignment w:val="auto"/>
              <w:outlineLvl w:val="9"/>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施工质量的控制和检验手段是否科学、可靠；各投标文件横向比较，优秀的得4.2-6分；良好的2.1-4.2分；一般的得0-2.1分。</w:t>
            </w:r>
          </w:p>
        </w:tc>
        <w:tc>
          <w:tcPr>
            <w:tcW w:w="904" w:type="dxa"/>
            <w:vAlign w:val="center"/>
          </w:tcPr>
          <w:p>
            <w:pPr>
              <w:keepNext w:val="0"/>
              <w:keepLines w:val="0"/>
              <w:pageBreakBefore w:val="0"/>
              <w:widowControl w:val="0"/>
              <w:kinsoku/>
              <w:wordWrap/>
              <w:overflowPunct/>
              <w:topLinePunct w:val="0"/>
              <w:autoSpaceDE/>
              <w:autoSpaceDN/>
              <w:bidi w:val="0"/>
              <w:spacing w:line="560" w:lineRule="exact"/>
              <w:ind w:left="0" w:leftChars="0" w:right="0" w:rightChars="0" w:firstLine="0" w:firstLineChars="0"/>
              <w:textAlignment w:val="auto"/>
              <w:outlineLvl w:val="9"/>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blHeader/>
          <w:jc w:val="center"/>
        </w:trPr>
        <w:tc>
          <w:tcPr>
            <w:tcW w:w="1953" w:type="dxa"/>
            <w:vAlign w:val="center"/>
          </w:tcPr>
          <w:p>
            <w:pPr>
              <w:keepNext w:val="0"/>
              <w:keepLines w:val="0"/>
              <w:pageBreakBefore w:val="0"/>
              <w:widowControl w:val="0"/>
              <w:kinsoku/>
              <w:wordWrap/>
              <w:overflowPunct/>
              <w:topLinePunct w:val="0"/>
              <w:autoSpaceDE/>
              <w:autoSpaceDN/>
              <w:bidi w:val="0"/>
              <w:snapToGrid w:val="0"/>
              <w:spacing w:line="560" w:lineRule="exact"/>
              <w:ind w:left="0" w:leftChars="0" w:right="0" w:rightChars="0" w:firstLine="0" w:firstLineChars="0"/>
              <w:jc w:val="left"/>
              <w:textAlignment w:val="auto"/>
              <w:outlineLvl w:val="9"/>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安全管理体系与措施</w:t>
            </w:r>
          </w:p>
        </w:tc>
        <w:tc>
          <w:tcPr>
            <w:tcW w:w="6998" w:type="dxa"/>
            <w:vAlign w:val="center"/>
          </w:tcPr>
          <w:p>
            <w:pPr>
              <w:keepNext w:val="0"/>
              <w:keepLines w:val="0"/>
              <w:pageBreakBefore w:val="0"/>
              <w:widowControl w:val="0"/>
              <w:kinsoku/>
              <w:wordWrap/>
              <w:overflowPunct/>
              <w:topLinePunct w:val="0"/>
              <w:autoSpaceDE/>
              <w:autoSpaceDN/>
              <w:bidi w:val="0"/>
              <w:snapToGrid w:val="0"/>
              <w:spacing w:line="560" w:lineRule="exact"/>
              <w:ind w:left="0" w:leftChars="0" w:right="0" w:rightChars="0" w:firstLine="0" w:firstLineChars="0"/>
              <w:jc w:val="left"/>
              <w:textAlignment w:val="auto"/>
              <w:outlineLvl w:val="9"/>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安全、文明施工的保证措施是否科学、到位；各投标文件横向比较，优秀的得4.2-6分；良好的2.1-4.2分；一般的得0-2.1分。</w:t>
            </w:r>
          </w:p>
        </w:tc>
        <w:tc>
          <w:tcPr>
            <w:tcW w:w="904" w:type="dxa"/>
            <w:vAlign w:val="center"/>
          </w:tcPr>
          <w:p>
            <w:pPr>
              <w:keepNext w:val="0"/>
              <w:keepLines w:val="0"/>
              <w:pageBreakBefore w:val="0"/>
              <w:widowControl w:val="0"/>
              <w:kinsoku/>
              <w:wordWrap/>
              <w:overflowPunct/>
              <w:topLinePunct w:val="0"/>
              <w:autoSpaceDE/>
              <w:autoSpaceDN/>
              <w:bidi w:val="0"/>
              <w:spacing w:line="560" w:lineRule="exact"/>
              <w:ind w:left="0" w:leftChars="0" w:right="0" w:rightChars="0" w:firstLine="0" w:firstLineChars="0"/>
              <w:textAlignment w:val="auto"/>
              <w:outlineLvl w:val="9"/>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8" w:hRule="atLeast"/>
          <w:tblHeader/>
          <w:jc w:val="center"/>
        </w:trPr>
        <w:tc>
          <w:tcPr>
            <w:tcW w:w="1953" w:type="dxa"/>
            <w:vAlign w:val="center"/>
          </w:tcPr>
          <w:p>
            <w:pPr>
              <w:keepNext w:val="0"/>
              <w:keepLines w:val="0"/>
              <w:pageBreakBefore w:val="0"/>
              <w:widowControl w:val="0"/>
              <w:kinsoku/>
              <w:wordWrap/>
              <w:overflowPunct/>
              <w:topLinePunct w:val="0"/>
              <w:autoSpaceDE/>
              <w:autoSpaceDN/>
              <w:bidi w:val="0"/>
              <w:snapToGrid w:val="0"/>
              <w:spacing w:line="560" w:lineRule="exact"/>
              <w:ind w:left="0" w:leftChars="0" w:right="0" w:rightChars="0" w:firstLine="0" w:firstLineChars="0"/>
              <w:jc w:val="left"/>
              <w:textAlignment w:val="auto"/>
              <w:outlineLvl w:val="9"/>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环境保护管理体系与措施</w:t>
            </w:r>
          </w:p>
        </w:tc>
        <w:tc>
          <w:tcPr>
            <w:tcW w:w="6998" w:type="dxa"/>
            <w:vAlign w:val="center"/>
          </w:tcPr>
          <w:p>
            <w:pPr>
              <w:keepNext w:val="0"/>
              <w:keepLines w:val="0"/>
              <w:pageBreakBefore w:val="0"/>
              <w:widowControl w:val="0"/>
              <w:kinsoku/>
              <w:wordWrap/>
              <w:overflowPunct/>
              <w:topLinePunct w:val="0"/>
              <w:autoSpaceDE/>
              <w:autoSpaceDN/>
              <w:bidi w:val="0"/>
              <w:snapToGrid w:val="0"/>
              <w:spacing w:line="560" w:lineRule="exact"/>
              <w:ind w:left="0" w:leftChars="0" w:right="0" w:rightChars="0" w:firstLine="0" w:firstLineChars="0"/>
              <w:jc w:val="left"/>
              <w:textAlignment w:val="auto"/>
              <w:outlineLvl w:val="9"/>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市政、市容、环保</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rPr>
              <w:t>消防等的保证措施是否科学、到位；各投标文件横向比较，优秀的得4.2-6分；良好的2.1-4.2分；一般的得0-2.1分。</w:t>
            </w:r>
          </w:p>
        </w:tc>
        <w:tc>
          <w:tcPr>
            <w:tcW w:w="904" w:type="dxa"/>
            <w:vAlign w:val="center"/>
          </w:tcPr>
          <w:p>
            <w:pPr>
              <w:keepNext w:val="0"/>
              <w:keepLines w:val="0"/>
              <w:pageBreakBefore w:val="0"/>
              <w:widowControl w:val="0"/>
              <w:kinsoku/>
              <w:wordWrap/>
              <w:overflowPunct/>
              <w:topLinePunct w:val="0"/>
              <w:autoSpaceDE/>
              <w:autoSpaceDN/>
              <w:bidi w:val="0"/>
              <w:spacing w:line="560" w:lineRule="exact"/>
              <w:ind w:left="0" w:leftChars="0" w:right="0" w:rightChars="0" w:firstLine="0" w:firstLineChars="0"/>
              <w:textAlignment w:val="auto"/>
              <w:outlineLvl w:val="9"/>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0-</w:t>
            </w:r>
            <w:r>
              <w:rPr>
                <w:rFonts w:hint="eastAsia" w:ascii="仿宋_GB2312" w:hAnsi="仿宋_GB2312" w:eastAsia="仿宋_GB2312" w:cs="仿宋_GB2312"/>
                <w:sz w:val="28"/>
                <w:szCs w:val="28"/>
                <w:highlight w:val="none"/>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tblHeader/>
          <w:jc w:val="center"/>
        </w:trPr>
        <w:tc>
          <w:tcPr>
            <w:tcW w:w="1953" w:type="dxa"/>
            <w:vAlign w:val="center"/>
          </w:tcPr>
          <w:p>
            <w:pPr>
              <w:keepNext w:val="0"/>
              <w:keepLines w:val="0"/>
              <w:pageBreakBefore w:val="0"/>
              <w:widowControl w:val="0"/>
              <w:kinsoku/>
              <w:wordWrap/>
              <w:overflowPunct/>
              <w:topLinePunct w:val="0"/>
              <w:autoSpaceDE/>
              <w:autoSpaceDN/>
              <w:bidi w:val="0"/>
              <w:snapToGrid w:val="0"/>
              <w:spacing w:line="560" w:lineRule="exact"/>
              <w:ind w:left="0" w:leftChars="0" w:right="0" w:rightChars="0" w:firstLine="0" w:firstLineChars="0"/>
              <w:jc w:val="left"/>
              <w:textAlignment w:val="auto"/>
              <w:outlineLvl w:val="9"/>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工期保证体系及保证措施</w:t>
            </w:r>
          </w:p>
        </w:tc>
        <w:tc>
          <w:tcPr>
            <w:tcW w:w="6998" w:type="dxa"/>
            <w:vAlign w:val="center"/>
          </w:tcPr>
          <w:p>
            <w:pPr>
              <w:keepNext w:val="0"/>
              <w:keepLines w:val="0"/>
              <w:pageBreakBefore w:val="0"/>
              <w:widowControl w:val="0"/>
              <w:kinsoku/>
              <w:wordWrap/>
              <w:overflowPunct/>
              <w:topLinePunct w:val="0"/>
              <w:autoSpaceDE/>
              <w:autoSpaceDN/>
              <w:bidi w:val="0"/>
              <w:snapToGrid w:val="0"/>
              <w:spacing w:line="560" w:lineRule="exact"/>
              <w:ind w:left="0" w:leftChars="0" w:right="0" w:rightChars="0" w:firstLine="0" w:firstLineChars="0"/>
              <w:jc w:val="left"/>
              <w:textAlignment w:val="auto"/>
              <w:outlineLvl w:val="9"/>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工期承诺及施工进度网络计划、关键节点和线路的技术保证措施是否具有针对性和可行性；现场施工不利条件和恶劣天气对施工</w:t>
            </w:r>
            <w:r>
              <w:rPr>
                <w:rFonts w:hint="eastAsia" w:ascii="仿宋_GB2312" w:hAnsi="仿宋_GB2312" w:eastAsia="仿宋_GB2312" w:cs="仿宋_GB2312"/>
                <w:sz w:val="28"/>
                <w:szCs w:val="28"/>
                <w:highlight w:val="none"/>
                <w:lang w:eastAsia="zh-Hans"/>
              </w:rPr>
              <w:t>工期</w:t>
            </w:r>
            <w:r>
              <w:rPr>
                <w:rFonts w:hint="eastAsia" w:ascii="仿宋_GB2312" w:hAnsi="仿宋_GB2312" w:eastAsia="仿宋_GB2312" w:cs="仿宋_GB2312"/>
                <w:sz w:val="28"/>
                <w:szCs w:val="28"/>
                <w:highlight w:val="none"/>
              </w:rPr>
              <w:t>带来</w:t>
            </w:r>
            <w:r>
              <w:rPr>
                <w:rFonts w:hint="eastAsia" w:ascii="仿宋_GB2312" w:hAnsi="仿宋_GB2312" w:eastAsia="仿宋_GB2312" w:cs="仿宋_GB2312"/>
                <w:sz w:val="28"/>
                <w:szCs w:val="28"/>
                <w:highlight w:val="none"/>
                <w:lang w:eastAsia="zh-Hans"/>
              </w:rPr>
              <w:t>的</w:t>
            </w:r>
            <w:r>
              <w:rPr>
                <w:rFonts w:hint="eastAsia" w:ascii="仿宋_GB2312" w:hAnsi="仿宋_GB2312" w:eastAsia="仿宋_GB2312" w:cs="仿宋_GB2312"/>
                <w:sz w:val="28"/>
                <w:szCs w:val="28"/>
                <w:highlight w:val="none"/>
              </w:rPr>
              <w:t>影响</w:t>
            </w:r>
            <w:r>
              <w:rPr>
                <w:rFonts w:hint="eastAsia" w:ascii="仿宋_GB2312" w:hAnsi="仿宋_GB2312" w:eastAsia="仿宋_GB2312" w:cs="仿宋_GB2312"/>
                <w:sz w:val="28"/>
                <w:szCs w:val="28"/>
                <w:highlight w:val="none"/>
                <w:lang w:eastAsia="zh-Hans"/>
              </w:rPr>
              <w:t>及</w:t>
            </w:r>
            <w:r>
              <w:rPr>
                <w:rFonts w:hint="eastAsia" w:ascii="仿宋_GB2312" w:hAnsi="仿宋_GB2312" w:eastAsia="仿宋_GB2312" w:cs="仿宋_GB2312"/>
                <w:sz w:val="28"/>
                <w:szCs w:val="28"/>
                <w:highlight w:val="none"/>
              </w:rPr>
              <w:t>解决办法；配合建设方提请施工相关报批手续；各投标文件横向比较，优秀的得4.2-6分；良好的2.1-4.2分；一般的得0-2.1分。</w:t>
            </w:r>
          </w:p>
        </w:tc>
        <w:tc>
          <w:tcPr>
            <w:tcW w:w="904" w:type="dxa"/>
            <w:vAlign w:val="center"/>
          </w:tcPr>
          <w:p>
            <w:pPr>
              <w:keepNext w:val="0"/>
              <w:keepLines w:val="0"/>
              <w:pageBreakBefore w:val="0"/>
              <w:widowControl w:val="0"/>
              <w:kinsoku/>
              <w:wordWrap/>
              <w:overflowPunct/>
              <w:topLinePunct w:val="0"/>
              <w:autoSpaceDE/>
              <w:autoSpaceDN/>
              <w:bidi w:val="0"/>
              <w:spacing w:line="560" w:lineRule="exact"/>
              <w:ind w:left="0" w:leftChars="0" w:right="0" w:rightChars="0" w:firstLine="0" w:firstLineChars="0"/>
              <w:textAlignment w:val="auto"/>
              <w:outlineLvl w:val="9"/>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953" w:type="dxa"/>
            <w:vAlign w:val="center"/>
          </w:tcPr>
          <w:p>
            <w:pPr>
              <w:keepNext w:val="0"/>
              <w:keepLines w:val="0"/>
              <w:pageBreakBefore w:val="0"/>
              <w:widowControl w:val="0"/>
              <w:kinsoku/>
              <w:wordWrap/>
              <w:overflowPunct/>
              <w:topLinePunct w:val="0"/>
              <w:autoSpaceDE/>
              <w:autoSpaceDN/>
              <w:bidi w:val="0"/>
              <w:snapToGrid w:val="0"/>
              <w:spacing w:line="560" w:lineRule="exact"/>
              <w:ind w:left="0" w:leftChars="0" w:right="0" w:rightChars="0" w:firstLine="0" w:firstLineChars="0"/>
              <w:jc w:val="left"/>
              <w:textAlignment w:val="auto"/>
              <w:outlineLvl w:val="9"/>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资源配置计划</w:t>
            </w:r>
          </w:p>
        </w:tc>
        <w:tc>
          <w:tcPr>
            <w:tcW w:w="6998" w:type="dxa"/>
            <w:vAlign w:val="center"/>
          </w:tcPr>
          <w:p>
            <w:pPr>
              <w:keepNext w:val="0"/>
              <w:keepLines w:val="0"/>
              <w:pageBreakBefore w:val="0"/>
              <w:widowControl w:val="0"/>
              <w:kinsoku/>
              <w:wordWrap/>
              <w:overflowPunct/>
              <w:topLinePunct w:val="0"/>
              <w:autoSpaceDE/>
              <w:autoSpaceDN/>
              <w:bidi w:val="0"/>
              <w:snapToGrid w:val="0"/>
              <w:spacing w:line="560" w:lineRule="exact"/>
              <w:ind w:left="0" w:leftChars="0" w:right="0" w:rightChars="0" w:firstLine="0" w:firstLineChars="0"/>
              <w:jc w:val="left"/>
              <w:textAlignment w:val="auto"/>
              <w:outlineLvl w:val="9"/>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各专业工种的配置和劳动力的投入是否能满足工程的需要；施工机具和检验仪器的投入是否能够满足</w:t>
            </w:r>
            <w:r>
              <w:rPr>
                <w:rFonts w:hint="eastAsia" w:ascii="仿宋_GB2312" w:hAnsi="仿宋_GB2312" w:eastAsia="仿宋_GB2312" w:cs="仿宋_GB2312"/>
                <w:sz w:val="28"/>
                <w:szCs w:val="28"/>
                <w:highlight w:val="none"/>
                <w:lang w:eastAsia="zh-Hans"/>
              </w:rPr>
              <w:t>本项目需要</w:t>
            </w:r>
            <w:r>
              <w:rPr>
                <w:rFonts w:hint="eastAsia" w:ascii="仿宋_GB2312" w:hAnsi="仿宋_GB2312" w:eastAsia="仿宋_GB2312" w:cs="仿宋_GB2312"/>
                <w:sz w:val="28"/>
                <w:szCs w:val="28"/>
                <w:highlight w:val="none"/>
              </w:rPr>
              <w:t>；各投标文件横向比较，优秀的得4.2-6分；良好的2.1-4.2分；一般的得0-2.1分。</w:t>
            </w:r>
          </w:p>
        </w:tc>
        <w:tc>
          <w:tcPr>
            <w:tcW w:w="904" w:type="dxa"/>
            <w:vAlign w:val="center"/>
          </w:tcPr>
          <w:p>
            <w:pPr>
              <w:keepNext w:val="0"/>
              <w:keepLines w:val="0"/>
              <w:pageBreakBefore w:val="0"/>
              <w:widowControl w:val="0"/>
              <w:kinsoku/>
              <w:wordWrap/>
              <w:overflowPunct/>
              <w:topLinePunct w:val="0"/>
              <w:autoSpaceDE/>
              <w:autoSpaceDN/>
              <w:bidi w:val="0"/>
              <w:spacing w:line="560" w:lineRule="exact"/>
              <w:ind w:left="0" w:leftChars="0" w:right="0" w:rightChars="0" w:firstLine="0" w:firstLineChars="0"/>
              <w:textAlignment w:val="auto"/>
              <w:outlineLvl w:val="9"/>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0-</w:t>
            </w:r>
            <w:r>
              <w:rPr>
                <w:rFonts w:hint="eastAsia" w:ascii="仿宋_GB2312" w:hAnsi="仿宋_GB2312" w:eastAsia="仿宋_GB2312" w:cs="仿宋_GB2312"/>
                <w:sz w:val="28"/>
                <w:szCs w:val="28"/>
                <w:highlight w:val="none"/>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953" w:type="dxa"/>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left"/>
              <w:textAlignment w:val="auto"/>
              <w:outlineLvl w:val="9"/>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设备材料</w:t>
            </w:r>
          </w:p>
        </w:tc>
        <w:tc>
          <w:tcPr>
            <w:tcW w:w="6998" w:type="dxa"/>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left"/>
              <w:textAlignment w:val="auto"/>
              <w:outlineLvl w:val="9"/>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投标人所使用的主要设备材料，根据投标人提供的证明文件进行综合打分，优秀的得2.8-4分；良好的1.4-2.8分；一般的得0-1.4分。</w:t>
            </w:r>
          </w:p>
        </w:tc>
        <w:tc>
          <w:tcPr>
            <w:tcW w:w="904" w:type="dxa"/>
            <w:vAlign w:val="center"/>
          </w:tcPr>
          <w:p>
            <w:pPr>
              <w:keepNext w:val="0"/>
              <w:keepLines w:val="0"/>
              <w:pageBreakBefore w:val="0"/>
              <w:widowControl w:val="0"/>
              <w:kinsoku/>
              <w:wordWrap/>
              <w:overflowPunct/>
              <w:topLinePunct w:val="0"/>
              <w:autoSpaceDE/>
              <w:autoSpaceDN/>
              <w:bidi w:val="0"/>
              <w:spacing w:line="560" w:lineRule="exact"/>
              <w:ind w:left="0" w:leftChars="0" w:right="0" w:rightChars="0" w:firstLine="0" w:firstLineChars="0"/>
              <w:textAlignment w:val="auto"/>
              <w:outlineLvl w:val="9"/>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0-4</w:t>
            </w:r>
          </w:p>
        </w:tc>
      </w:tr>
    </w:tbl>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2" w:firstLineChars="200"/>
        <w:jc w:val="both"/>
        <w:textAlignment w:val="auto"/>
        <w:outlineLvl w:val="9"/>
        <w:rPr>
          <w:rFonts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2.投标文件的商务报价评审(</w:t>
      </w:r>
      <w:r>
        <w:rPr>
          <w:rFonts w:hint="eastAsia" w:ascii="仿宋_GB2312" w:hAnsi="仿宋_GB2312" w:eastAsia="仿宋_GB2312" w:cs="仿宋_GB2312"/>
          <w:b/>
          <w:sz w:val="28"/>
          <w:szCs w:val="28"/>
          <w:highlight w:val="none"/>
          <w:u w:val="single"/>
        </w:rPr>
        <w:t xml:space="preserve"> 60 </w:t>
      </w:r>
      <w:r>
        <w:rPr>
          <w:rFonts w:hint="eastAsia" w:ascii="仿宋_GB2312" w:hAnsi="仿宋_GB2312" w:eastAsia="仿宋_GB2312" w:cs="仿宋_GB2312"/>
          <w:b/>
          <w:sz w:val="28"/>
          <w:szCs w:val="28"/>
          <w:highlight w:val="none"/>
        </w:rPr>
        <w:t>分)</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textAlignment w:val="auto"/>
        <w:outlineLvl w:val="9"/>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(1)由评标委员会全体成员对投标文件的商务报价进行统一评审。评标委员会应对报价的范围、数量、单价、费用组成和总价等进行全面审阅和对比分析，找出报价差异的原因及存在的问题。</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textAlignment w:val="auto"/>
        <w:outlineLvl w:val="9"/>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(2)投标报价</w:t>
      </w:r>
      <w:r>
        <w:rPr>
          <w:rFonts w:hint="eastAsia" w:ascii="仿宋_GB2312" w:hAnsi="仿宋_GB2312" w:eastAsia="仿宋_GB2312" w:cs="仿宋_GB2312"/>
          <w:b/>
          <w:bCs/>
          <w:sz w:val="28"/>
          <w:szCs w:val="28"/>
          <w:highlight w:val="none"/>
        </w:rPr>
        <w:t>扣除税金(按投标函承诺的增值税税率扣减)</w:t>
      </w:r>
      <w:r>
        <w:rPr>
          <w:rFonts w:hint="eastAsia" w:ascii="仿宋_GB2312" w:hAnsi="仿宋_GB2312" w:eastAsia="仿宋_GB2312" w:cs="仿宋_GB2312"/>
          <w:sz w:val="28"/>
          <w:szCs w:val="28"/>
          <w:highlight w:val="none"/>
        </w:rPr>
        <w:t>后为评标价(即不含税价)。</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textAlignment w:val="auto"/>
        <w:outlineLvl w:val="9"/>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(3)评标基准价由评标委员会依据下述方法计算，除计算差错外，确认后的评标基准价在本次招标期间保持不变。</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textAlignment w:val="auto"/>
        <w:outlineLvl w:val="9"/>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计算差错，仅限于以下两种情况：(1)纯算术性四则运算差错；(2)未按约定的计算方法，多计或者少计投标人报价的。由于评标差错，导致否决投标错误，重新评标纠正等其他情况，不属于计算差错。</w:t>
      </w:r>
    </w:p>
    <w:p>
      <w:pPr>
        <w:keepNext w:val="0"/>
        <w:keepLines w:val="0"/>
        <w:pageBreakBefore w:val="0"/>
        <w:widowControl w:val="0"/>
        <w:numPr>
          <w:ilvl w:val="0"/>
          <w:numId w:val="4"/>
        </w:numPr>
        <w:kinsoku/>
        <w:wordWrap/>
        <w:overflowPunct/>
        <w:topLinePunct w:val="0"/>
        <w:autoSpaceDE/>
        <w:autoSpaceDN/>
        <w:bidi w:val="0"/>
        <w:adjustRightInd w:val="0"/>
        <w:snapToGrid w:val="0"/>
        <w:spacing w:line="560" w:lineRule="exact"/>
        <w:ind w:left="0" w:leftChars="0" w:right="0" w:rightChars="0" w:firstLine="560" w:firstLineChars="200"/>
        <w:textAlignment w:val="auto"/>
        <w:outlineLvl w:val="9"/>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评分范围：通过符合性审查的所有投标文件进入评分范围(下称有效评标价)。</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textAlignment w:val="auto"/>
        <w:outlineLvl w:val="9"/>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(5)报价平均值：有效评标价的算术平均值为报价平均值(有效评标价在5个及以上时，去除一个最高价和一个最低价；有效评标价在8个及以上时，去除一个最高价、一个次高价和一个最低价、一个次低价)。</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textAlignment w:val="auto"/>
        <w:outlineLvl w:val="9"/>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(6)评标基准价：报价平均值与有效评标价中的次低评标价(不足4个的与最低评标价)的算术平均值为评标基准价。</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textAlignment w:val="auto"/>
        <w:outlineLvl w:val="9"/>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(7)根据投标文件的有效评标价与评标基准价对比，计算投标人的商务报价的得分值。即：</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textAlignment w:val="auto"/>
        <w:outlineLvl w:val="9"/>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a.有效评标价等于评标基准价时，得满分；</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textAlignment w:val="auto"/>
        <w:outlineLvl w:val="9"/>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b.有效评标价每低于评标基准价1个百分点，扣0.5分；</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textAlignment w:val="auto"/>
        <w:outlineLvl w:val="9"/>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c.有效评标价每高于评标基准价1个百分点，扣1分。</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textAlignment w:val="auto"/>
        <w:outlineLvl w:val="9"/>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以上报价得分不足一个百分点时，使用直线插入法计算，保留小数2位。</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textAlignment w:val="auto"/>
        <w:outlineLvl w:val="9"/>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投标文件的商务标评分不足30分的，计为30分。</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2" w:firstLineChars="200"/>
        <w:textAlignment w:val="auto"/>
        <w:outlineLvl w:val="9"/>
        <w:rPr>
          <w:rFonts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3.投标文件的综合得分：每个投标人综合得分=技术分+商务分。</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2" w:firstLineChars="200"/>
        <w:textAlignment w:val="auto"/>
        <w:outlineLvl w:val="9"/>
        <w:rPr>
          <w:rFonts w:ascii="仿宋_GB2312" w:hAnsi="仿宋_GB2312" w:eastAsia="仿宋_GB2312" w:cs="仿宋_GB2312"/>
          <w:sz w:val="28"/>
          <w:szCs w:val="28"/>
          <w:highlight w:val="none"/>
        </w:rPr>
      </w:pPr>
      <w:r>
        <w:rPr>
          <w:rFonts w:hint="eastAsia" w:ascii="仿宋_GB2312" w:hAnsi="仿宋_GB2312" w:eastAsia="仿宋_GB2312" w:cs="仿宋_GB2312"/>
          <w:b/>
          <w:sz w:val="28"/>
          <w:szCs w:val="28"/>
          <w:highlight w:val="none"/>
        </w:rPr>
        <w:t>4.对投标人进行排序，推荐中标候选人</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textAlignment w:val="auto"/>
        <w:outlineLvl w:val="9"/>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评标委员会根据综合得分对进入评分范围的投标文件按综合得分由高到低进行排序，综合得分相同时，评标价低者优先；综合得分、评标价均相同时，由评标委员会通过抽签(或记名投票表决)方式排序。</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2" w:firstLineChars="200"/>
        <w:textAlignment w:val="auto"/>
        <w:outlineLvl w:val="9"/>
        <w:rPr>
          <w:rFonts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五、完成评标报告</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2" w:firstLineChars="200"/>
        <w:textAlignment w:val="auto"/>
        <w:outlineLvl w:val="9"/>
        <w:rPr>
          <w:rFonts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(一)评标委员会应当向招标人提交书面评标报告</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textAlignment w:val="auto"/>
        <w:outlineLvl w:val="9"/>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2" w:firstLineChars="200"/>
        <w:textAlignment w:val="auto"/>
        <w:outlineLvl w:val="9"/>
        <w:rPr>
          <w:rFonts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(二)评标报告应包括以下内容：</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textAlignment w:val="auto"/>
        <w:outlineLvl w:val="9"/>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1、开标记录；</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textAlignment w:val="auto"/>
        <w:outlineLvl w:val="9"/>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2、评标内容、过程和结果；</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textAlignment w:val="auto"/>
        <w:outlineLvl w:val="9"/>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3、询标澄清纪要(若有)；</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textAlignment w:val="auto"/>
        <w:outlineLvl w:val="9"/>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4、否决投标情况说明及依据；</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textAlignment w:val="auto"/>
        <w:outlineLvl w:val="9"/>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5、推荐中标候选人；</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textAlignment w:val="auto"/>
        <w:outlineLvl w:val="9"/>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6、其他建议。</w:t>
      </w:r>
    </w:p>
    <w:p>
      <w:pPr>
        <w:pStyle w:val="13"/>
        <w:keepNext w:val="0"/>
        <w:keepLines w:val="0"/>
        <w:pageBreakBefore/>
        <w:widowControl w:val="0"/>
        <w:kinsoku/>
        <w:wordWrap/>
        <w:overflowPunct/>
        <w:topLinePunct w:val="0"/>
        <w:autoSpaceDE/>
        <w:autoSpaceDN/>
        <w:bidi w:val="0"/>
        <w:adjustRightInd/>
        <w:snapToGrid/>
        <w:spacing w:before="0" w:after="0" w:line="360" w:lineRule="atLeast"/>
        <w:ind w:left="0" w:leftChars="0" w:right="0" w:rightChars="0" w:firstLine="0" w:firstLineChars="0"/>
        <w:jc w:val="center"/>
        <w:textAlignment w:val="auto"/>
        <w:outlineLvl w:val="0"/>
        <w:rPr>
          <w:rFonts w:ascii="宋体" w:hAnsi="宋体" w:cs="宋体"/>
          <w:sz w:val="28"/>
          <w:szCs w:val="20"/>
        </w:rPr>
      </w:pPr>
      <w:bookmarkStart w:id="12" w:name="_Toc139785991"/>
      <w:bookmarkStart w:id="13" w:name="_Toc20910"/>
      <w:r>
        <w:rPr>
          <w:rFonts w:hint="eastAsia"/>
        </w:rPr>
        <w:t>第三章</w:t>
      </w:r>
      <w:r>
        <w:t xml:space="preserve"> </w:t>
      </w:r>
      <w:r>
        <w:rPr>
          <w:rFonts w:hint="eastAsia"/>
        </w:rPr>
        <w:t>合同条款及格式</w:t>
      </w:r>
      <w:bookmarkEnd w:id="12"/>
      <w:bookmarkEnd w:id="13"/>
      <w:bookmarkStart w:id="14" w:name="_Toc448097405"/>
    </w:p>
    <w:bookmarkEnd w:id="14"/>
    <w:p>
      <w:pPr>
        <w:spacing w:line="560" w:lineRule="exact"/>
        <w:jc w:val="right"/>
        <w:rPr>
          <w:rFonts w:ascii="仿宋_GB2312" w:hAnsi="仿宋_GB2312" w:eastAsia="仿宋_GB2312" w:cs="仿宋_GB2312"/>
          <w:sz w:val="28"/>
          <w:szCs w:val="28"/>
        </w:rPr>
      </w:pPr>
      <w:r>
        <w:rPr>
          <w:rFonts w:hint="eastAsia" w:ascii="仿宋_GB2312" w:hAnsi="仿宋_GB2312" w:eastAsia="仿宋_GB2312" w:cs="仿宋_GB2312"/>
          <w:bCs/>
          <w:sz w:val="28"/>
          <w:szCs w:val="28"/>
        </w:rPr>
        <w:t>合同编号：【        】</w:t>
      </w:r>
    </w:p>
    <w:p>
      <w:pPr>
        <w:spacing w:line="560" w:lineRule="exact"/>
        <w:jc w:val="center"/>
        <w:rPr>
          <w:rFonts w:ascii="仿宋" w:hAnsi="仿宋" w:eastAsia="仿宋" w:cs="仿宋"/>
          <w:sz w:val="23"/>
          <w:szCs w:val="23"/>
        </w:rPr>
      </w:pPr>
    </w:p>
    <w:p>
      <w:pPr>
        <w:spacing w:line="560" w:lineRule="exact"/>
        <w:jc w:val="center"/>
        <w:rPr>
          <w:rFonts w:ascii="仿宋" w:hAnsi="仿宋" w:eastAsia="仿宋" w:cs="仿宋"/>
          <w:sz w:val="23"/>
          <w:szCs w:val="23"/>
        </w:rPr>
      </w:pPr>
    </w:p>
    <w:p>
      <w:pPr>
        <w:spacing w:line="560" w:lineRule="exact"/>
        <w:jc w:val="center"/>
        <w:rPr>
          <w:rFonts w:ascii="仿宋" w:hAnsi="仿宋" w:eastAsia="仿宋" w:cs="仿宋"/>
          <w:sz w:val="23"/>
          <w:szCs w:val="23"/>
        </w:rPr>
      </w:pPr>
    </w:p>
    <w:p>
      <w:pPr>
        <w:spacing w:line="560" w:lineRule="exact"/>
        <w:jc w:val="center"/>
        <w:rPr>
          <w:rFonts w:ascii="仿宋" w:hAnsi="仿宋" w:eastAsia="仿宋" w:cs="仿宋"/>
          <w:sz w:val="23"/>
          <w:szCs w:val="23"/>
        </w:rPr>
      </w:pPr>
    </w:p>
    <w:p>
      <w:pPr>
        <w:spacing w:line="560" w:lineRule="exact"/>
        <w:jc w:val="center"/>
        <w:rPr>
          <w:rFonts w:ascii="黑体" w:hAnsi="黑体" w:eastAsia="黑体" w:cs="黑体"/>
          <w:b/>
          <w:bCs/>
          <w:sz w:val="44"/>
          <w:szCs w:val="44"/>
        </w:rPr>
      </w:pPr>
      <w:r>
        <w:rPr>
          <w:rFonts w:hint="eastAsia" w:ascii="黑体" w:hAnsi="黑体" w:eastAsia="黑体" w:cs="黑体"/>
          <w:b/>
          <w:bCs/>
          <w:sz w:val="44"/>
          <w:szCs w:val="44"/>
        </w:rPr>
        <w:t>杭州萧山国际机场T3航站楼值机岛开包间</w:t>
      </w:r>
      <w:r>
        <w:rPr>
          <w:rFonts w:hint="eastAsia" w:ascii="黑体" w:hAnsi="黑体" w:eastAsia="黑体" w:cs="黑体"/>
          <w:b/>
          <w:bCs/>
          <w:sz w:val="44"/>
          <w:szCs w:val="44"/>
          <w:lang w:eastAsia="zh-CN"/>
        </w:rPr>
        <w:t>后端增加隔断项目</w:t>
      </w:r>
      <w:r>
        <w:rPr>
          <w:rFonts w:hint="eastAsia" w:ascii="黑体" w:hAnsi="黑体" w:eastAsia="黑体" w:cs="黑体"/>
          <w:b/>
          <w:bCs/>
          <w:sz w:val="44"/>
          <w:szCs w:val="44"/>
        </w:rPr>
        <w:t>施工合同</w:t>
      </w:r>
    </w:p>
    <w:p>
      <w:pPr>
        <w:spacing w:line="560" w:lineRule="exact"/>
        <w:ind w:firstLine="2070" w:firstLineChars="900"/>
        <w:rPr>
          <w:rFonts w:ascii="黑体" w:hAnsi="黑体" w:eastAsia="黑体" w:cs="黑体"/>
          <w:sz w:val="23"/>
          <w:szCs w:val="23"/>
        </w:rPr>
      </w:pPr>
    </w:p>
    <w:p>
      <w:pPr>
        <w:spacing w:line="560" w:lineRule="exact"/>
        <w:ind w:firstLine="2070" w:firstLineChars="900"/>
        <w:rPr>
          <w:rFonts w:ascii="黑体" w:hAnsi="黑体" w:eastAsia="黑体" w:cs="黑体"/>
          <w:sz w:val="23"/>
          <w:szCs w:val="23"/>
        </w:rPr>
      </w:pPr>
    </w:p>
    <w:p>
      <w:pPr>
        <w:spacing w:line="560" w:lineRule="exact"/>
        <w:ind w:firstLine="2070" w:firstLineChars="900"/>
        <w:rPr>
          <w:rFonts w:ascii="黑体" w:hAnsi="黑体" w:eastAsia="黑体" w:cs="黑体"/>
          <w:sz w:val="23"/>
          <w:szCs w:val="23"/>
        </w:rPr>
      </w:pPr>
    </w:p>
    <w:p>
      <w:pPr>
        <w:spacing w:line="560" w:lineRule="exact"/>
        <w:ind w:firstLine="2070" w:firstLineChars="900"/>
        <w:rPr>
          <w:rFonts w:ascii="黑体" w:hAnsi="黑体" w:eastAsia="黑体" w:cs="黑体"/>
          <w:sz w:val="23"/>
          <w:szCs w:val="23"/>
        </w:rPr>
      </w:pPr>
    </w:p>
    <w:p>
      <w:pPr>
        <w:spacing w:line="560" w:lineRule="exact"/>
        <w:ind w:firstLine="2070" w:firstLineChars="900"/>
        <w:rPr>
          <w:rFonts w:ascii="黑体" w:hAnsi="黑体" w:eastAsia="黑体" w:cs="黑体"/>
          <w:sz w:val="23"/>
          <w:szCs w:val="23"/>
        </w:rPr>
      </w:pPr>
    </w:p>
    <w:p>
      <w:pPr>
        <w:spacing w:line="560" w:lineRule="exact"/>
        <w:ind w:firstLine="2070" w:firstLineChars="900"/>
        <w:rPr>
          <w:rFonts w:ascii="黑体" w:hAnsi="黑体" w:eastAsia="黑体" w:cs="黑体"/>
          <w:sz w:val="23"/>
          <w:szCs w:val="23"/>
        </w:rPr>
      </w:pPr>
    </w:p>
    <w:p>
      <w:pPr>
        <w:spacing w:line="560" w:lineRule="exact"/>
        <w:ind w:firstLine="2070" w:firstLineChars="900"/>
        <w:rPr>
          <w:rFonts w:ascii="黑体" w:hAnsi="黑体" w:eastAsia="黑体" w:cs="黑体"/>
          <w:sz w:val="23"/>
          <w:szCs w:val="23"/>
        </w:rPr>
      </w:pPr>
    </w:p>
    <w:p>
      <w:pPr>
        <w:spacing w:line="560" w:lineRule="exact"/>
        <w:jc w:val="center"/>
        <w:rPr>
          <w:rFonts w:ascii="黑体" w:hAnsi="黑体" w:eastAsia="黑体" w:cs="黑体"/>
          <w:b/>
          <w:bCs/>
          <w:sz w:val="32"/>
          <w:szCs w:val="44"/>
        </w:rPr>
      </w:pPr>
      <w:r>
        <w:rPr>
          <w:rFonts w:hint="eastAsia" w:ascii="黑体" w:hAnsi="黑体" w:eastAsia="黑体" w:cs="黑体"/>
          <w:b/>
          <w:bCs/>
          <w:sz w:val="32"/>
          <w:szCs w:val="44"/>
        </w:rPr>
        <w:t>【 】年【 】月【 】日</w:t>
      </w:r>
    </w:p>
    <w:p>
      <w:pPr>
        <w:keepNext w:val="0"/>
        <w:keepLines w:val="0"/>
        <w:pageBreakBefore/>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黑体" w:hAnsi="黑体" w:eastAsia="黑体" w:cs="黑体"/>
          <w:b w:val="0"/>
          <w:bCs/>
          <w:color w:val="000000"/>
          <w:sz w:val="32"/>
          <w:szCs w:val="32"/>
        </w:rPr>
      </w:pPr>
      <w:r>
        <w:rPr>
          <w:rFonts w:hint="eastAsia" w:ascii="黑体" w:hAnsi="黑体" w:eastAsia="黑体" w:cs="黑体"/>
          <w:b w:val="0"/>
          <w:bCs/>
          <w:color w:val="000000"/>
          <w:sz w:val="32"/>
          <w:szCs w:val="32"/>
        </w:rPr>
        <w:t xml:space="preserve">甲方（发包人）： </w:t>
      </w:r>
      <w:r>
        <w:rPr>
          <w:rFonts w:hint="eastAsia" w:ascii="黑体" w:hAnsi="黑体" w:eastAsia="黑体" w:cs="黑体"/>
          <w:b w:val="0"/>
          <w:bCs/>
          <w:color w:val="000000"/>
          <w:sz w:val="32"/>
          <w:szCs w:val="32"/>
          <w:lang w:val="en-US" w:eastAsia="zh-CN"/>
        </w:rPr>
        <w:t>杭州萧山国际机场有限公司</w:t>
      </w:r>
    </w:p>
    <w:p>
      <w:pPr>
        <w:keepNext w:val="0"/>
        <w:keepLines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黑体" w:hAnsi="黑体" w:eastAsia="黑体" w:cs="黑体"/>
          <w:b w:val="0"/>
          <w:bCs/>
          <w:color w:val="000000"/>
          <w:sz w:val="32"/>
          <w:szCs w:val="32"/>
        </w:rPr>
      </w:pPr>
      <w:r>
        <w:rPr>
          <w:rFonts w:hint="eastAsia" w:ascii="黑体" w:hAnsi="黑体" w:eastAsia="黑体" w:cs="黑体"/>
          <w:b w:val="0"/>
          <w:bCs/>
          <w:color w:val="000000"/>
          <w:sz w:val="32"/>
          <w:szCs w:val="32"/>
        </w:rPr>
        <w:t>住所地：</w:t>
      </w:r>
      <w:r>
        <w:rPr>
          <w:rFonts w:hint="eastAsia" w:ascii="黑体" w:hAnsi="黑体" w:eastAsia="黑体" w:cs="黑体"/>
          <w:b w:val="0"/>
          <w:bCs/>
          <w:color w:val="000000"/>
          <w:sz w:val="32"/>
          <w:szCs w:val="32"/>
          <w:lang w:val="en-US" w:eastAsia="zh-CN"/>
        </w:rPr>
        <w:t>杭州萧山国际机场内</w:t>
      </w:r>
    </w:p>
    <w:p>
      <w:pPr>
        <w:keepNext w:val="0"/>
        <w:keepLines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黑体" w:hAnsi="黑体" w:eastAsia="黑体" w:cs="黑体"/>
          <w:b w:val="0"/>
          <w:bCs/>
          <w:color w:val="000000"/>
          <w:sz w:val="32"/>
          <w:szCs w:val="32"/>
        </w:rPr>
      </w:pPr>
    </w:p>
    <w:p>
      <w:pPr>
        <w:keepNext w:val="0"/>
        <w:keepLines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黑体" w:hAnsi="黑体" w:eastAsia="黑体" w:cs="黑体"/>
          <w:b w:val="0"/>
          <w:bCs/>
          <w:color w:val="000000"/>
          <w:sz w:val="32"/>
          <w:szCs w:val="32"/>
        </w:rPr>
      </w:pPr>
      <w:r>
        <w:rPr>
          <w:rFonts w:hint="eastAsia" w:ascii="黑体" w:hAnsi="黑体" w:eastAsia="黑体" w:cs="黑体"/>
          <w:b w:val="0"/>
          <w:bCs/>
          <w:color w:val="000000"/>
          <w:sz w:val="32"/>
          <w:szCs w:val="32"/>
        </w:rPr>
        <w:t>乙方（承包人）:</w:t>
      </w:r>
    </w:p>
    <w:p>
      <w:pPr>
        <w:keepNext w:val="0"/>
        <w:keepLines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黑体" w:hAnsi="黑体" w:eastAsia="黑体" w:cs="黑体"/>
          <w:b w:val="0"/>
          <w:bCs/>
          <w:color w:val="000000"/>
          <w:sz w:val="32"/>
          <w:szCs w:val="32"/>
        </w:rPr>
      </w:pPr>
      <w:r>
        <w:rPr>
          <w:rFonts w:hint="eastAsia" w:ascii="黑体" w:hAnsi="黑体" w:eastAsia="黑体" w:cs="黑体"/>
          <w:b w:val="0"/>
          <w:bCs/>
          <w:color w:val="000000"/>
          <w:sz w:val="32"/>
          <w:szCs w:val="32"/>
        </w:rPr>
        <w:t>住所地:</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甲、乙双方根据《中华人民共和国民法典》、</w:t>
      </w:r>
      <w:r>
        <w:rPr>
          <w:rFonts w:hint="eastAsia" w:ascii="仿宋_GB2312" w:hAnsi="仿宋_GB2312" w:eastAsia="仿宋_GB2312" w:cs="仿宋_GB2312"/>
          <w:sz w:val="28"/>
          <w:szCs w:val="28"/>
        </w:rPr>
        <w:t>《中华人民共和国建筑法》</w:t>
      </w:r>
      <w:r>
        <w:rPr>
          <w:rFonts w:hint="eastAsia" w:ascii="仿宋_GB2312" w:hAnsi="仿宋_GB2312" w:eastAsia="仿宋_GB2312" w:cs="仿宋_GB2312"/>
          <w:color w:val="000000"/>
          <w:sz w:val="28"/>
          <w:szCs w:val="28"/>
        </w:rPr>
        <w:t>等相关法律法规，就【杭州萧山国际机场T3航站楼值机岛开包间</w:t>
      </w:r>
      <w:r>
        <w:rPr>
          <w:rFonts w:hint="eastAsia" w:ascii="仿宋_GB2312" w:hAnsi="仿宋_GB2312" w:eastAsia="仿宋_GB2312" w:cs="仿宋_GB2312"/>
          <w:color w:val="000000"/>
          <w:sz w:val="28"/>
          <w:szCs w:val="28"/>
          <w:lang w:eastAsia="zh-CN"/>
        </w:rPr>
        <w:t>后端增加隔断项目</w:t>
      </w:r>
      <w:r>
        <w:rPr>
          <w:rFonts w:hint="eastAsia" w:ascii="仿宋_GB2312" w:hAnsi="仿宋_GB2312" w:eastAsia="仿宋_GB2312" w:cs="仿宋_GB2312"/>
          <w:color w:val="000000"/>
          <w:sz w:val="28"/>
          <w:szCs w:val="28"/>
        </w:rPr>
        <w:t>】施工事宜，在自愿、平等、互利的原则基础上，经协商一致，特签订本合同，以共同遵守。</w:t>
      </w:r>
    </w:p>
    <w:p>
      <w:pPr>
        <w:keepNext w:val="0"/>
        <w:keepLines w:val="0"/>
        <w:pageBreakBefore w:val="0"/>
        <w:widowControl w:val="0"/>
        <w:kinsoku/>
        <w:wordWrap/>
        <w:overflowPunct/>
        <w:topLinePunct w:val="0"/>
        <w:autoSpaceDE/>
        <w:autoSpaceDN/>
        <w:bidi w:val="0"/>
        <w:spacing w:line="560" w:lineRule="exact"/>
        <w:ind w:left="0" w:leftChars="0" w:right="0" w:rightChars="0" w:firstLine="562" w:firstLineChars="200"/>
        <w:jc w:val="both"/>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一、工程概况</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1.1工程名称：【杭州萧山国际机场T3航站楼值机岛开包间</w:t>
      </w:r>
      <w:r>
        <w:rPr>
          <w:rFonts w:hint="eastAsia" w:ascii="仿宋_GB2312" w:hAnsi="仿宋_GB2312" w:eastAsia="仿宋_GB2312" w:cs="仿宋_GB2312"/>
          <w:sz w:val="28"/>
          <w:szCs w:val="28"/>
          <w:lang w:eastAsia="zh-CN"/>
        </w:rPr>
        <w:t>后端增加隔断项目</w:t>
      </w:r>
      <w:r>
        <w:rPr>
          <w:rFonts w:hint="eastAsia" w:ascii="仿宋_GB2312" w:hAnsi="仿宋_GB2312" w:eastAsia="仿宋_GB2312" w:cs="仿宋_GB2312"/>
          <w:sz w:val="28"/>
          <w:szCs w:val="28"/>
        </w:rPr>
        <w:t>】</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1.2工程地点：【</w:t>
      </w:r>
      <w:r>
        <w:rPr>
          <w:rFonts w:hint="eastAsia" w:ascii="仿宋_GB2312" w:hAnsi="仿宋_GB2312" w:eastAsia="仿宋_GB2312" w:cs="仿宋_GB2312"/>
          <w:sz w:val="28"/>
          <w:szCs w:val="28"/>
          <w:lang w:val="en-US" w:eastAsia="zh-CN"/>
        </w:rPr>
        <w:t>杭州萧山国际机场内</w:t>
      </w:r>
      <w:r>
        <w:rPr>
          <w:rFonts w:hint="eastAsia" w:ascii="仿宋_GB2312" w:hAnsi="仿宋_GB2312" w:eastAsia="仿宋_GB2312" w:cs="仿宋_GB2312"/>
          <w:sz w:val="28"/>
          <w:szCs w:val="28"/>
        </w:rPr>
        <w:t>】</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1.3工程内容：【</w:t>
      </w:r>
      <w:r>
        <w:rPr>
          <w:rFonts w:hint="eastAsia" w:ascii="仿宋_GB2312" w:hAnsi="仿宋_GB2312" w:eastAsia="仿宋_GB2312" w:cs="仿宋_GB2312"/>
          <w:sz w:val="28"/>
          <w:szCs w:val="28"/>
          <w:lang w:val="en-US" w:eastAsia="zh-CN"/>
        </w:rPr>
        <w:t>增加</w:t>
      </w:r>
      <w:r>
        <w:rPr>
          <w:rFonts w:hint="eastAsia" w:ascii="仿宋_GB2312" w:hAnsi="仿宋_GB2312" w:eastAsia="仿宋_GB2312" w:cs="仿宋_GB2312"/>
          <w:sz w:val="28"/>
          <w:szCs w:val="28"/>
        </w:rPr>
        <w:t>T3航站楼值机岛开包间后端隔断】</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1.4承包范围和方式：【工程量清单</w:t>
      </w:r>
      <w:r>
        <w:rPr>
          <w:rFonts w:hint="eastAsia" w:ascii="仿宋_GB2312" w:hAnsi="仿宋_GB2312" w:eastAsia="仿宋_GB2312" w:cs="仿宋_GB2312"/>
          <w:sz w:val="28"/>
          <w:szCs w:val="28"/>
          <w:lang w:val="en-US" w:eastAsia="zh-CN"/>
        </w:rPr>
        <w:t>及图纸</w:t>
      </w:r>
      <w:r>
        <w:rPr>
          <w:rFonts w:hint="eastAsia" w:ascii="仿宋_GB2312" w:hAnsi="仿宋_GB2312" w:eastAsia="仿宋_GB2312" w:cs="仿宋_GB2312"/>
          <w:sz w:val="28"/>
          <w:szCs w:val="28"/>
        </w:rPr>
        <w:t>范围内的所有内容，承包方式：包工包料】</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1.5工期：本工程绝对工期总共为【</w:t>
      </w:r>
      <w:r>
        <w:rPr>
          <w:rFonts w:hint="eastAsia" w:ascii="仿宋_GB2312" w:hAnsi="仿宋_GB2312" w:eastAsia="仿宋_GB2312" w:cs="仿宋_GB2312"/>
          <w:sz w:val="28"/>
          <w:szCs w:val="28"/>
          <w:lang w:val="en-US" w:eastAsia="zh-CN"/>
        </w:rPr>
        <w:t>7</w:t>
      </w:r>
      <w:r>
        <w:rPr>
          <w:rFonts w:hint="eastAsia" w:ascii="仿宋_GB2312" w:hAnsi="仿宋_GB2312" w:eastAsia="仿宋_GB2312" w:cs="仿宋_GB2312"/>
          <w:sz w:val="28"/>
          <w:szCs w:val="28"/>
        </w:rPr>
        <w:t>】日，开工日期具体时间以甲方开工令等书面通知为准。前述合同工期已充分考虑停电、停水、设计变更、工程量增减等不确定因素可能对施工进度造成的影响，除经甲方签证同意，否则合同约定的工期不得变更。因甲方原因造成工期延误，则相应工期顺延但费用不予补偿。</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1.6工程质量标准：【符合现行国家有关工程施工验收规范和标准的合格要求】</w:t>
      </w:r>
    </w:p>
    <w:p>
      <w:pPr>
        <w:keepNext w:val="0"/>
        <w:keepLines w:val="0"/>
        <w:pageBreakBefore w:val="0"/>
        <w:widowControl w:val="0"/>
        <w:numPr>
          <w:ilvl w:val="0"/>
          <w:numId w:val="5"/>
        </w:numPr>
        <w:kinsoku/>
        <w:wordWrap/>
        <w:overflowPunct/>
        <w:topLinePunct w:val="0"/>
        <w:autoSpaceDE/>
        <w:autoSpaceDN/>
        <w:bidi w:val="0"/>
        <w:spacing w:line="560" w:lineRule="exact"/>
        <w:ind w:left="0" w:leftChars="0" w:right="0" w:rightChars="0" w:firstLine="562" w:firstLineChars="200"/>
        <w:jc w:val="both"/>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合同价格及支付</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sz w:val="28"/>
          <w:szCs w:val="28"/>
        </w:rPr>
        <w:t>2.1 本合同签约合同价为人民币（大写）【 】(¥【 】元)，税率为【 】%，</w:t>
      </w:r>
      <w:r>
        <w:rPr>
          <w:rFonts w:hint="eastAsia" w:ascii="仿宋_GB2312" w:hAnsi="仿宋_GB2312" w:eastAsia="仿宋_GB2312" w:cs="仿宋_GB2312"/>
          <w:color w:val="000000"/>
          <w:sz w:val="28"/>
          <w:szCs w:val="28"/>
        </w:rPr>
        <w:t>不含税总金额为人民币【 】</w:t>
      </w:r>
      <w:r>
        <w:rPr>
          <w:rFonts w:hint="eastAsia" w:ascii="仿宋_GB2312" w:hAnsi="仿宋_GB2312" w:eastAsia="仿宋_GB2312" w:cs="仿宋_GB2312"/>
          <w:color w:val="000000"/>
          <w:sz w:val="28"/>
          <w:szCs w:val="28"/>
          <w:lang w:val="en-US" w:eastAsia="zh-CN"/>
        </w:rPr>
        <w:t>元</w:t>
      </w:r>
      <w:r>
        <w:rPr>
          <w:rFonts w:hint="eastAsia" w:ascii="仿宋_GB2312" w:hAnsi="仿宋_GB2312" w:eastAsia="仿宋_GB2312" w:cs="仿宋_GB2312"/>
          <w:color w:val="000000"/>
          <w:sz w:val="28"/>
          <w:szCs w:val="28"/>
        </w:rPr>
        <w:t>，税额为人民币【 】</w:t>
      </w:r>
      <w:r>
        <w:rPr>
          <w:rFonts w:hint="eastAsia" w:ascii="仿宋_GB2312" w:hAnsi="仿宋_GB2312" w:eastAsia="仿宋_GB2312" w:cs="仿宋_GB2312"/>
          <w:color w:val="000000"/>
          <w:sz w:val="28"/>
          <w:szCs w:val="28"/>
          <w:lang w:val="en-US" w:eastAsia="zh-CN"/>
        </w:rPr>
        <w:t>元</w:t>
      </w:r>
      <w:r>
        <w:rPr>
          <w:rFonts w:hint="eastAsia" w:ascii="仿宋_GB2312" w:hAnsi="仿宋_GB2312" w:eastAsia="仿宋_GB2312" w:cs="仿宋_GB2312"/>
          <w:color w:val="000000"/>
          <w:sz w:val="28"/>
          <w:szCs w:val="28"/>
        </w:rPr>
        <w:t>。</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2.2 本合同采用固定单价合同价格形式。</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2.3 上述签约合同总价系根据双方确定的本工程工程量清单以及综合单价计算后确定的暂定合同价格。</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在本合同约定工程内容范围内综合单价不作调整，合同结算总价应根据实际工程量完成情况经第三方审计后确定。本合同综合单价已包括本工程所需的人工费、材料费、机械费、企业管理费、利润，以及一定范围内的风险的费用（因市场价格波动、法律和政策调整、临时停电、停水以及停工、窝工等因素引发的全部风险费用、安全施工措施费、必要的加班赶工工作费用以及乙方认为完成本工程所必须发生的其他费用）。若因国家税收政策调整而引起的增值税税率变化的，应按照国家税收政策调整，合同单价变更为原合同不含增值税总金额与调整后税率计算税额的合计金额。</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2.4 乙方应在工程竣工验收后【</w:t>
      </w:r>
      <w:r>
        <w:rPr>
          <w:rFonts w:hint="eastAsia" w:ascii="仿宋_GB2312" w:hAnsi="仿宋_GB2312" w:eastAsia="仿宋_GB2312" w:cs="仿宋_GB2312"/>
          <w:sz w:val="28"/>
          <w:szCs w:val="28"/>
          <w:lang w:val="en-US" w:eastAsia="zh-CN"/>
        </w:rPr>
        <w:t>30</w:t>
      </w:r>
      <w:r>
        <w:rPr>
          <w:rFonts w:hint="eastAsia" w:ascii="仿宋_GB2312" w:hAnsi="仿宋_GB2312" w:eastAsia="仿宋_GB2312" w:cs="仿宋_GB2312"/>
          <w:sz w:val="28"/>
          <w:szCs w:val="28"/>
        </w:rPr>
        <w:t>】日内向甲方提出工程结算申请并将有关竣工结算资料提交甲方。甲方将委托工程造价咨询人进行工程审计。在完成工程审计并办理工程结算且本工程所涉档案资料由乙方全部移交甲方授权代表签字认可后，甲方向乙方支付至工程结算总价的【</w:t>
      </w:r>
      <w:r>
        <w:rPr>
          <w:rFonts w:hint="eastAsia" w:ascii="仿宋_GB2312" w:hAnsi="仿宋_GB2312" w:eastAsia="仿宋_GB2312" w:cs="仿宋_GB2312"/>
          <w:sz w:val="28"/>
          <w:szCs w:val="28"/>
          <w:lang w:val="en-US" w:eastAsia="zh-CN"/>
        </w:rPr>
        <w:t>98.5</w:t>
      </w:r>
      <w:r>
        <w:rPr>
          <w:rFonts w:hint="eastAsia" w:ascii="仿宋_GB2312" w:hAnsi="仿宋_GB2312" w:eastAsia="仿宋_GB2312" w:cs="仿宋_GB2312"/>
          <w:sz w:val="28"/>
          <w:szCs w:val="28"/>
        </w:rPr>
        <w:t>】%。</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2.5 工程结算总价的【</w:t>
      </w:r>
      <w:r>
        <w:rPr>
          <w:rFonts w:hint="eastAsia" w:ascii="仿宋_GB2312" w:hAnsi="仿宋_GB2312" w:eastAsia="仿宋_GB2312" w:cs="仿宋_GB2312"/>
          <w:sz w:val="28"/>
          <w:szCs w:val="28"/>
          <w:lang w:val="en-US" w:eastAsia="zh-CN"/>
        </w:rPr>
        <w:t>1.5</w:t>
      </w:r>
      <w:r>
        <w:rPr>
          <w:rFonts w:hint="eastAsia" w:ascii="仿宋_GB2312" w:hAnsi="仿宋_GB2312" w:eastAsia="仿宋_GB2312" w:cs="仿宋_GB2312"/>
          <w:sz w:val="28"/>
          <w:szCs w:val="28"/>
        </w:rPr>
        <w:t>】%留作质量保证金，待缺陷责任期满，经甲方确认乙方不存在任何违约行为且质量保修不存在问题后15天内一并无息支付。缺陷责任期为自工程竣工验收合格之日起算24个月。若甲方发现乙方未完全履行质量保修责任，则甲方有权按《工程质量保修书》的约定扣除部分或全部质量保证金，且甲方不承担逾期支付的违约责任。</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2.6</w:t>
      </w:r>
      <w:r>
        <w:rPr>
          <w:rFonts w:hint="eastAsia" w:ascii="仿宋_GB2312" w:hAnsi="仿宋_GB2312" w:eastAsia="仿宋_GB2312" w:cs="仿宋_GB2312"/>
          <w:color w:val="000000"/>
          <w:sz w:val="28"/>
          <w:szCs w:val="28"/>
        </w:rPr>
        <w:t xml:space="preserve"> </w:t>
      </w:r>
      <w:r>
        <w:rPr>
          <w:rFonts w:hint="eastAsia" w:ascii="仿宋_GB2312" w:hAnsi="仿宋_GB2312" w:eastAsia="仿宋_GB2312" w:cs="仿宋_GB2312"/>
          <w:color w:val="000000"/>
          <w:sz w:val="28"/>
          <w:szCs w:val="28"/>
          <w:lang w:eastAsia="zh-Hans"/>
        </w:rPr>
        <w:t>甲</w:t>
      </w:r>
      <w:r>
        <w:rPr>
          <w:rFonts w:hint="eastAsia" w:ascii="仿宋_GB2312" w:hAnsi="仿宋_GB2312" w:eastAsia="仿宋_GB2312" w:cs="仿宋_GB2312"/>
          <w:color w:val="000000"/>
          <w:sz w:val="28"/>
          <w:szCs w:val="28"/>
        </w:rPr>
        <w:t>方在支付本合同项下的任一合同价款前，乙方应提前【</w:t>
      </w: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rPr>
        <w:t>】日向甲方开具符合相关法律规定的等额有效增值税专用发票。若乙方未按本合同约定提供发票的，甲方有权拒绝付款且不承担任何延期付款的责任。甲方开票信息如下：</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bidi="ar"/>
        </w:rPr>
        <w:t>账户名称：【 】</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bidi="ar"/>
        </w:rPr>
        <w:t>纳税人识别号：【 】</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bidi="ar"/>
        </w:rPr>
        <w:t>地址：【 】</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bidi="ar"/>
        </w:rPr>
        <w:t>电话：【 】</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bidi="ar"/>
        </w:rPr>
        <w:t>开户行：【 】</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bidi="ar"/>
        </w:rPr>
        <w:t>账号：【 】</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sz w:val="28"/>
          <w:szCs w:val="28"/>
          <w:lang w:val="en-US" w:eastAsia="zh-CN"/>
        </w:rPr>
        <w:t>2.7</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color w:val="000000"/>
          <w:sz w:val="28"/>
          <w:szCs w:val="28"/>
        </w:rPr>
        <w:t>如上述账户或开票信息发生变更的，变更的一方应及时按照本合同约定的方式将加盖变更方公章的变更信息正本书面通知另一方；如因变更方未及时通知或通知错误导致变更方损失的，该等损失</w:t>
      </w:r>
      <w:r>
        <w:rPr>
          <w:rFonts w:hint="eastAsia" w:ascii="仿宋_GB2312" w:hAnsi="仿宋_GB2312" w:eastAsia="仿宋_GB2312" w:cs="仿宋_GB2312"/>
          <w:color w:val="000000"/>
          <w:sz w:val="28"/>
          <w:szCs w:val="28"/>
          <w:lang w:val="en-US" w:eastAsia="zh-CN"/>
        </w:rPr>
        <w:t>由</w:t>
      </w:r>
      <w:r>
        <w:rPr>
          <w:rFonts w:hint="eastAsia" w:ascii="仿宋_GB2312" w:hAnsi="仿宋_GB2312" w:eastAsia="仿宋_GB2312" w:cs="仿宋_GB2312"/>
          <w:color w:val="000000"/>
          <w:sz w:val="28"/>
          <w:szCs w:val="28"/>
        </w:rPr>
        <w:t>变更方自行承担。</w:t>
      </w:r>
    </w:p>
    <w:p>
      <w:pPr>
        <w:keepNext w:val="0"/>
        <w:keepLines w:val="0"/>
        <w:pageBreakBefore w:val="0"/>
        <w:widowControl w:val="0"/>
        <w:kinsoku/>
        <w:wordWrap/>
        <w:overflowPunct/>
        <w:topLinePunct w:val="0"/>
        <w:autoSpaceDE/>
        <w:autoSpaceDN/>
        <w:bidi w:val="0"/>
        <w:spacing w:line="560" w:lineRule="exact"/>
        <w:ind w:left="0" w:leftChars="0" w:right="0" w:rightChars="0" w:firstLine="562" w:firstLineChars="200"/>
        <w:jc w:val="both"/>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三、工程变更</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3.1 本工程的所有变更事项应以“工程变更联系单”的书面形式由双方进行确认。乙方应按照双方确认的“工程变更联系单”所列明的内容和要求进行施工，若乙方擅自进行变更的，甲方一律不予认可，工程变更费用不予结算，甲方有权责令乙方按原设计要求限期整改，由此造成甲方经济损失、工期延误或影响工程质量的，将按照施工合同的有关约定，追究乙方的违约责任。</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3.2 由于乙方自身原因，未按规定的时间和要求上报工程变更费用增减的书面报告和资料，或者对工程变更费用争议部分久拖不决，从而影响工程结算的，甲方将向乙方发出书面函告。发出函告</w:t>
      </w:r>
      <w:r>
        <w:rPr>
          <w:rFonts w:hint="eastAsia" w:ascii="仿宋_GB2312" w:hAnsi="仿宋_GB2312" w:eastAsia="仿宋_GB2312" w:cs="仿宋_GB2312"/>
          <w:sz w:val="28"/>
          <w:szCs w:val="28"/>
          <w:lang w:val="en-US" w:eastAsia="zh-CN"/>
        </w:rPr>
        <w:t>5个自然日</w:t>
      </w:r>
      <w:r>
        <w:rPr>
          <w:rFonts w:hint="eastAsia" w:ascii="仿宋_GB2312" w:hAnsi="仿宋_GB2312" w:eastAsia="仿宋_GB2312" w:cs="仿宋_GB2312"/>
          <w:sz w:val="28"/>
          <w:szCs w:val="28"/>
        </w:rPr>
        <w:t>后，乙方仍拒不执行的，视作乙方自动放弃权利的主张，甲方将不予结算工程变更费用或争议部分的费用。</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 变更估价原则：</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3.3.1 本合同及已标价的工程量清单或预算书中已有适用工程项目单价的，按已有的单价确定；</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3.3.2 本合同及已标价的工程量清单或预算书中没有适用但有类似工程项目单价的，在合理范围内参照类似项目的单价计算确定。参照方法按下列方式处理：</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①某种材料（包括半成品或成品）等级、标准发生变化的，清单组合子目不变，仅调整不同材料的价格之差。</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②清单项目某一特征或工程内容变化，不影响其他特征及工程内容价格的，其他特征组合标准不变，仅调整发生变化的组合子目价格。</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3.3.3 本合同及已标价的工程量清单或预算书中没有适用或类似工程项目单价的，由乙方按照工程造价管理机构现行的计价依据和信息价并按分部分项工程费+规费+税金，提出适当的单价，经甲方审定后执行。</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3.3.4 无投标价的材料价按施工当期【</w:t>
      </w:r>
      <w:r>
        <w:rPr>
          <w:rFonts w:hint="eastAsia" w:ascii="仿宋_GB2312" w:hAnsi="仿宋_GB2312" w:eastAsia="仿宋_GB2312" w:cs="仿宋_GB2312"/>
          <w:i w:val="0"/>
          <w:iCs w:val="0"/>
          <w:sz w:val="28"/>
          <w:szCs w:val="28"/>
        </w:rPr>
        <w:t>《杭州造价信息》（正刊）萧山区、《杭州造价信息》（正刊）市区、《浙江造价信息》</w:t>
      </w:r>
      <w:r>
        <w:rPr>
          <w:rFonts w:hint="eastAsia" w:ascii="仿宋_GB2312" w:hAnsi="仿宋_GB2312" w:eastAsia="仿宋_GB2312" w:cs="仿宋_GB2312"/>
          <w:sz w:val="28"/>
          <w:szCs w:val="28"/>
        </w:rPr>
        <w:t>】的顺序执行。重新组价的单价若遇有工程造价管理机构发布的信息价缺项的，可由乙方根据变更工程资料、市场调查等取得合法依据的市场价格，提出合理的变更项目单价，并经甲方确认后调整。</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3.4 本工程结算由甲方委托工程造价咨询人按规定进行审核，并按最终审定的工程价款进行结算。核减追加费按核减额（包括全过程审计中联系单核减额）超过送审造价5%的幅度以外的核减额的5%计算，费用由乙方支付或由甲方从应付工程价款中扣缴；核增部分以核增额为基数，费率为5%，由乙方直接支付审查费用。</w:t>
      </w:r>
    </w:p>
    <w:p>
      <w:pPr>
        <w:keepNext w:val="0"/>
        <w:keepLines w:val="0"/>
        <w:pageBreakBefore w:val="0"/>
        <w:widowControl w:val="0"/>
        <w:kinsoku/>
        <w:wordWrap/>
        <w:overflowPunct/>
        <w:topLinePunct w:val="0"/>
        <w:autoSpaceDE/>
        <w:autoSpaceDN/>
        <w:bidi w:val="0"/>
        <w:spacing w:line="560" w:lineRule="exact"/>
        <w:ind w:left="0" w:leftChars="0" w:right="0" w:rightChars="0" w:firstLine="562" w:firstLineChars="200"/>
        <w:jc w:val="both"/>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四、甲方的权利和义务</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4.1 甲方负责向乙方提供经确认的施工图纸或做法说明，并向乙方进行现场交底，尽最大努力清除影响施工现场的障碍物，向乙方提供施工所需的水、电、气及电讯等设备，并说明使用注意事项，办理施工所涉及的各种申请、批件等手续。</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4.2 指派【 】，职务：【】作为甲方</w:t>
      </w:r>
      <w:r>
        <w:rPr>
          <w:rFonts w:hint="eastAsia" w:ascii="仿宋_GB2312" w:hAnsi="仿宋_GB2312" w:eastAsia="仿宋_GB2312" w:cs="仿宋_GB2312"/>
          <w:sz w:val="28"/>
          <w:szCs w:val="28"/>
          <w:lang w:val="en-US" w:eastAsia="zh-CN"/>
        </w:rPr>
        <w:t>项目负责人</w:t>
      </w:r>
      <w:r>
        <w:rPr>
          <w:rFonts w:hint="eastAsia" w:ascii="仿宋_GB2312" w:hAnsi="仿宋_GB2312" w:eastAsia="仿宋_GB2312" w:cs="仿宋_GB2312"/>
          <w:sz w:val="28"/>
          <w:szCs w:val="28"/>
        </w:rPr>
        <w:t>，负责合同履行；对工程质量、进度进行监督检查，办理验收、变更、登记手续和其他事宜。</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4.3 在施工开始前负责保护好周围建筑物及装修、设备管线、古树名木、绿地等不受损坏。如确实需要拆改原建筑物结构或设备管线，负责到有关部门办理相应审批手续。</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4.4 甲方有权对乙方的安全施工状况进行检查，发现有达不到安全要求或措施不得力的，应当责令乙方整改整顿，整改仍达不到要求的，甲方有权终止本合同。</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4.5 甲方有权对乙方的施工进度进行监督、检查，协调有关部门做好现场保卫、消防、垃圾处理等工作。</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4.6 甲方应按合同约定向乙方支付工程款项。</w:t>
      </w:r>
    </w:p>
    <w:p>
      <w:pPr>
        <w:keepNext w:val="0"/>
        <w:keepLines w:val="0"/>
        <w:pageBreakBefore w:val="0"/>
        <w:widowControl w:val="0"/>
        <w:kinsoku/>
        <w:wordWrap/>
        <w:overflowPunct/>
        <w:topLinePunct w:val="0"/>
        <w:autoSpaceDE/>
        <w:autoSpaceDN/>
        <w:bidi w:val="0"/>
        <w:spacing w:line="560" w:lineRule="exact"/>
        <w:ind w:left="0" w:leftChars="0" w:right="0" w:rightChars="0" w:firstLine="562" w:firstLineChars="200"/>
        <w:jc w:val="both"/>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五、乙方的权利和义务</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5.1 乙方向甲方承诺按照合同约定进行施工、竣工并在质量保修期内承担工程质量保修责任。</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5.2 乙方应参加甲方组织的施工图纸或作法说明的现场交底，拟定施工方案和进度计划，交甲方审定。</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5.3 指派【 】（身份证号【 】，联系电话【 】）为乙方项目经理，负责合同履行。按要求组织施工，保质、保量、按期完成施工任务，解决由乙方负责的各项事宜。乙方应向甲方提供与项目经理签署的劳动合同以及为项目经理缴纳社会保险的证明。</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5.4 乙方负责严格执行施工规范、安全操作规程、防火安全规定、环境保护规定。严格按照图纸或作法说明进行施工，做好各项质量检查记录。乙方人员或设施在施工或非施工期间发生的人身伤亡或设施损毁事故，由乙方承担责任。如对甲方造成损失的，甲方有权要求乙方承担由此给甲方造成的实际损失。</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5.5 乙方应参加竣工验收，并编制工程结算文件、整理项目档案移交甲方。</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5.6 乙方应遵守国家或地方政府及有关部门对施工现场管理的规定，从进场施工之日起，妥善保护好施工现场周围建筑物、设备管线、古树名木不受损坏，并承担相应费用。做好施工现场保卫和垃圾处理等工作，处理好由于施工带来的影响与周围单位的关系，并承担相应费用。</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5.7 施工中未经甲方同意或有关部门批准，不得随意拆改或损坏原建筑物结构及各种设备管线。</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5.8 工程竣工未移交甲方之前，负责对现场的一切设施和工程成品进行保护，并承担风险和费用。</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5.9 本工程施工用水、用电：由甲方提供水电接口，场内接管、安装水、电表由乙方自行解决。乙方施工前需向机场水电管理部门提出申请，由甲方按以下标准向乙方收取费用：</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甲方按杭州萧山供水有限公司目前的供水含税单价4.40元/吨为基础水价，向乙方开具 9% 增值税发票收取基本水费，并在基础单价上加收2.91元/吨的供水设施服务费（9%的增值税发票）。在合同有效期内，如遇杭州萧山供水有限公司调整供水单价，基础水价也作相应的调整，收费金额保留小数点后两位四舍五入。</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甲方按每月购入电价作为基础电价，向乙方开具 13% 增值税发票收取基本电费，并在基础单价上加收10%的转供电损耗费（13%增值税发票）。在合同有效期内，如遇甲方每月购入电价调整，基础电价也作相应的调整，收费金额保留小数点后两位四舍五入。</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5.10 未经甲方书面同意，乙方不得将其承包工程全部或部分转包给他人或者肢解以后以分包的名义分别转包给他人。</w:t>
      </w:r>
    </w:p>
    <w:p>
      <w:pPr>
        <w:keepNext w:val="0"/>
        <w:keepLines w:val="0"/>
        <w:pageBreakBefore w:val="0"/>
        <w:widowControl w:val="0"/>
        <w:kinsoku/>
        <w:wordWrap/>
        <w:overflowPunct/>
        <w:topLinePunct w:val="0"/>
        <w:autoSpaceDE/>
        <w:autoSpaceDN/>
        <w:bidi w:val="0"/>
        <w:spacing w:line="560" w:lineRule="exact"/>
        <w:ind w:left="0" w:leftChars="0" w:right="0" w:rightChars="0" w:firstLine="562" w:firstLineChars="200"/>
        <w:jc w:val="both"/>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六、工期</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6.1 乙方非因甲方原因不能按期开工、竣工或中途无故停工、窝工影响工期的，工期不顺延，且乙方须向甲方承担工期延误的违约责任。</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6.2 因涉及甲方要求的设计或工程量变更，或非乙方原因造成停电、停水、停气并导致停工【</w:t>
      </w:r>
      <w:r>
        <w:rPr>
          <w:rFonts w:hint="eastAsia" w:ascii="仿宋_GB2312" w:hAnsi="仿宋_GB2312" w:eastAsia="仿宋_GB2312" w:cs="仿宋_GB2312"/>
          <w:sz w:val="28"/>
          <w:szCs w:val="28"/>
          <w:lang w:val="en-US" w:eastAsia="zh-CN"/>
        </w:rPr>
        <w:t>24</w:t>
      </w:r>
      <w:r>
        <w:rPr>
          <w:rFonts w:hint="eastAsia" w:ascii="仿宋_GB2312" w:hAnsi="仿宋_GB2312" w:eastAsia="仿宋_GB2312" w:cs="仿宋_GB2312"/>
          <w:sz w:val="28"/>
          <w:szCs w:val="28"/>
        </w:rPr>
        <w:t>】小时以上（一周内累计计算），或受不可抗力事件（指战争、动乱、或其它非甲乙双方造成的爆炸、火灾，以及风、雨、雪、震等对工程造成损害的自然灾害或疫情）影响，工期按照甲方签证确认的日期相应顺延。</w:t>
      </w:r>
    </w:p>
    <w:p>
      <w:pPr>
        <w:keepNext w:val="0"/>
        <w:keepLines w:val="0"/>
        <w:pageBreakBefore w:val="0"/>
        <w:widowControl w:val="0"/>
        <w:kinsoku/>
        <w:wordWrap/>
        <w:overflowPunct/>
        <w:topLinePunct w:val="0"/>
        <w:autoSpaceDE/>
        <w:autoSpaceDN/>
        <w:bidi w:val="0"/>
        <w:spacing w:line="560" w:lineRule="exact"/>
        <w:ind w:left="0" w:leftChars="0" w:right="0" w:rightChars="0" w:firstLine="562" w:firstLineChars="200"/>
        <w:jc w:val="both"/>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七、工程质量及验收</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7.1 乙方应按甲方要求，执行国家相关的最新技术标准，严格按照施工规范验收标准等组织施工，质量达到一次性合格要求。</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7.2 主要施工材料进场应经甲方检查验收合格的，方能用于施工。由于乙方提供的材料、设备质量不合格而影响工程质量，其返工费用由乙方承担，工期不顺延。</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7.3 隐蔽工程开始前应通知甲方到场查看，经甲方签证确认后方能继续施工。</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7.4 工程竣工后，乙方应通知甲方验收，甲方自接到验收通知【</w:t>
      </w:r>
      <w:r>
        <w:rPr>
          <w:rFonts w:hint="eastAsia" w:ascii="仿宋_GB2312" w:hAnsi="仿宋_GB2312" w:eastAsia="仿宋_GB2312" w:cs="仿宋_GB2312"/>
          <w:sz w:val="28"/>
          <w:szCs w:val="28"/>
          <w:lang w:val="en-US" w:eastAsia="zh-CN"/>
        </w:rPr>
        <w:t>10</w:t>
      </w:r>
      <w:r>
        <w:rPr>
          <w:rFonts w:hint="eastAsia" w:ascii="仿宋_GB2312" w:hAnsi="仿宋_GB2312" w:eastAsia="仿宋_GB2312" w:cs="仿宋_GB2312"/>
          <w:sz w:val="28"/>
          <w:szCs w:val="28"/>
        </w:rPr>
        <w:t>】日内组织验收，并办理验收、档案移交以及工程结算手续。工程验收过程中发现的瑕疵，乙方应立即负责免费整改到位，整改不另增加工期和费用，因整改导致逾期完工的，乙方应承担违约责任。</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7.5 由于乙方原因造成质量事故，其返工费用由乙方承担，工期不顺延。</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7.6 工程验收合格不能免除乙方的质量保修责任，如甲方发现属于乙方施工质量问题的事项，乙方仍应免费维修，否则应承担赔偿责任。</w:t>
      </w:r>
    </w:p>
    <w:p>
      <w:pPr>
        <w:keepNext w:val="0"/>
        <w:keepLines w:val="0"/>
        <w:pageBreakBefore w:val="0"/>
        <w:widowControl w:val="0"/>
        <w:kinsoku/>
        <w:wordWrap/>
        <w:overflowPunct/>
        <w:topLinePunct w:val="0"/>
        <w:autoSpaceDE/>
        <w:autoSpaceDN/>
        <w:bidi w:val="0"/>
        <w:spacing w:line="560" w:lineRule="exact"/>
        <w:ind w:left="0" w:leftChars="0" w:right="0" w:rightChars="0" w:firstLine="562" w:firstLineChars="200"/>
        <w:jc w:val="both"/>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八、材料供应</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8.1 本工程由乙方负责采购供应的材料、设备，应为符合设计要求的合格产品，并应按时供应到现场。乙方供应的材料，经甲方验收后，由乙方负责保管，甲方无需另行支付保管费。由于乙方保管不当造成损失，由乙方负责赔偿。</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8.2 凡由乙方采购的材料、设备，如不符合质量要求或规格有差异，应禁止使用。若已使用，对工程造成的损失由乙方负责。</w:t>
      </w:r>
    </w:p>
    <w:p>
      <w:pPr>
        <w:keepNext w:val="0"/>
        <w:keepLines w:val="0"/>
        <w:pageBreakBefore w:val="0"/>
        <w:widowControl w:val="0"/>
        <w:kinsoku/>
        <w:wordWrap/>
        <w:overflowPunct/>
        <w:topLinePunct w:val="0"/>
        <w:autoSpaceDE/>
        <w:autoSpaceDN/>
        <w:bidi w:val="0"/>
        <w:spacing w:line="560" w:lineRule="exact"/>
        <w:ind w:left="0" w:leftChars="0" w:right="0" w:rightChars="0" w:firstLine="562" w:firstLineChars="200"/>
        <w:jc w:val="both"/>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九、安全文明施工</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9.1 甲方提供的施工图纸或作法说明，应符合《中华人民共和国消防法》和有关防火设计规范。</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9.2 乙方在施工期间应严格遵守《中华人民共和国建筑法》、《中华人民共和国安全生产法》、《中华人民共和国消防法》、《建设工程质量管理条例》、《建设工程安全生产管理条例》和其他相关的法律、法规、规范以及附件《安全文明施工协议书》。</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9.3 由于乙方在施工过程中违反有关安全操作规程、消防条例，导致发生安全或火灾事故，乙方应承担由此引发的一切经济损失及相关法律责任。</w:t>
      </w:r>
    </w:p>
    <w:p>
      <w:pPr>
        <w:keepNext w:val="0"/>
        <w:keepLines w:val="0"/>
        <w:pageBreakBefore w:val="0"/>
        <w:widowControl w:val="0"/>
        <w:kinsoku/>
        <w:wordWrap/>
        <w:overflowPunct/>
        <w:topLinePunct w:val="0"/>
        <w:autoSpaceDE/>
        <w:autoSpaceDN/>
        <w:bidi w:val="0"/>
        <w:spacing w:line="560" w:lineRule="exact"/>
        <w:ind w:left="0" w:leftChars="0" w:right="0" w:rightChars="0" w:firstLine="562" w:firstLineChars="200"/>
        <w:jc w:val="both"/>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十、违约责任</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10.1 乙方逾期开工、竣工或延误工期的，每逾期一天，乙方支付甲方签约合同价的【</w:t>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】‰元作为违约金；如延误工期达到【</w:t>
      </w: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rPr>
        <w:t>】日的，甲方有权解除本合同，并要求乙方按前述标准支付违约金；本条规定的违约金不足以弥补甲方损失的，乙方应当另行向甲方承担赔偿责任。</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10.2 乙方逾期向甲方提交竣工结算资料的，每逾期一天，应向甲方支付签约合同价的【</w:t>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】‰元作为违约金。</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10.3 因工程质量达不到本合同约定的质量标准导致合同目的无法实现的，甲方有权解除本合同，并要求乙方支付签约合同价的【</w:t>
      </w:r>
      <w:r>
        <w:rPr>
          <w:rFonts w:hint="eastAsia" w:ascii="仿宋_GB2312" w:hAnsi="仿宋_GB2312" w:eastAsia="仿宋_GB2312" w:cs="仿宋_GB2312"/>
          <w:sz w:val="28"/>
          <w:szCs w:val="28"/>
          <w:lang w:val="en-US" w:eastAsia="zh-CN"/>
        </w:rPr>
        <w:t>10</w:t>
      </w:r>
      <w:r>
        <w:rPr>
          <w:rFonts w:hint="eastAsia" w:ascii="仿宋_GB2312" w:hAnsi="仿宋_GB2312" w:eastAsia="仿宋_GB2312" w:cs="仿宋_GB2312"/>
          <w:sz w:val="28"/>
          <w:szCs w:val="28"/>
        </w:rPr>
        <w:t>】%作为违约金。</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10.4 乙方应妥善保护甲方提供的设备及现场堆放的家具、陈设和工程成品，如造成损失，应照价赔偿。</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10.5 未经甲方同意，乙方擅自拆改原建筑物结构或设备管线，由此发生的损失或事故（包括行政处罚），由乙方负责并承担损失。</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10.6 乙方在自身经营活动中产生的各种纠纷影响到本工程施工进度的，甲方有权视损害或影响情况处理决定是否继续履行合同，如发生农民工欠薪等特别事件，甲方有权按建设行政管理部门的要求办理。</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sz w:val="28"/>
          <w:szCs w:val="28"/>
        </w:rPr>
        <w:t>10.7</w:t>
      </w:r>
      <w:r>
        <w:rPr>
          <w:rFonts w:hint="eastAsia" w:ascii="仿宋_GB2312" w:hAnsi="仿宋_GB2312" w:eastAsia="仿宋_GB2312" w:cs="仿宋_GB2312"/>
          <w:color w:val="000000"/>
          <w:sz w:val="28"/>
          <w:szCs w:val="28"/>
        </w:rPr>
        <w:t xml:space="preserve"> 除本合同另有约定外，乙方违反其在本合同项下其他义务并给甲方造成损失的，须向甲方承担全部赔偿责任。本合同约定的因乙方违约而应向甲方赔偿的损失包括但不限于甲方为本合同项下事宜进行招标以及因合同解除而重新进行招标的费用、重新招标的中标价格与本合同价格的差价损失、因工程延误而导致的损失以及甲方为主张和实现债权而发生的律师费、诉讼费、公证费等一切成本和支出。</w:t>
      </w:r>
    </w:p>
    <w:p>
      <w:pPr>
        <w:keepNext w:val="0"/>
        <w:keepLines w:val="0"/>
        <w:pageBreakBefore w:val="0"/>
        <w:widowControl w:val="0"/>
        <w:kinsoku/>
        <w:wordWrap/>
        <w:overflowPunct/>
        <w:topLinePunct w:val="0"/>
        <w:autoSpaceDE/>
        <w:autoSpaceDN/>
        <w:bidi w:val="0"/>
        <w:spacing w:line="560" w:lineRule="exact"/>
        <w:ind w:left="0" w:leftChars="0" w:right="0" w:rightChars="0" w:firstLine="562" w:firstLineChars="200"/>
        <w:jc w:val="both"/>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十一、争议解决</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11.1本合同在履行期间，双方发生争议时，在不影响工作进度的前提下，双方可采取协商解决或请有关部门进行调解。</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11.2当事人不愿通过协商、调解解决或者协商、调解不成时，本合同在执行中发生的争议双方同意由工程所在地人民法院诉讼解决。</w:t>
      </w:r>
    </w:p>
    <w:p>
      <w:pPr>
        <w:keepNext w:val="0"/>
        <w:keepLines w:val="0"/>
        <w:pageBreakBefore w:val="0"/>
        <w:widowControl w:val="0"/>
        <w:kinsoku/>
        <w:wordWrap/>
        <w:overflowPunct/>
        <w:topLinePunct w:val="0"/>
        <w:autoSpaceDE/>
        <w:autoSpaceDN/>
        <w:bidi w:val="0"/>
        <w:spacing w:line="560" w:lineRule="exact"/>
        <w:ind w:left="0" w:leftChars="0" w:right="0" w:rightChars="0" w:firstLine="562" w:firstLineChars="200"/>
        <w:jc w:val="both"/>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十二、不可抗力</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12.1 在合同有效期内，任何一方因不可抗力事件导致不能履行合同，应在不可抗力事件发生后立即通知另一方，并于事件发生之日起【15】日内向对方寄送有关官方权威机构出具的证明，双方应根据不可抗力的影响程度协商确定变更或解除本合同。</w:t>
      </w:r>
    </w:p>
    <w:p>
      <w:pPr>
        <w:keepNext w:val="0"/>
        <w:keepLines w:val="0"/>
        <w:pageBreakBefore w:val="0"/>
        <w:widowControl w:val="0"/>
        <w:kinsoku/>
        <w:wordWrap/>
        <w:overflowPunct/>
        <w:topLinePunct w:val="0"/>
        <w:autoSpaceDE/>
        <w:autoSpaceDN/>
        <w:bidi w:val="0"/>
        <w:spacing w:line="560" w:lineRule="exact"/>
        <w:ind w:left="0" w:leftChars="0" w:right="0" w:rightChars="0" w:firstLine="562" w:firstLineChars="200"/>
        <w:jc w:val="both"/>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十三、通知</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bidi="ar"/>
        </w:rPr>
        <w:t>13.1本合同项下的所有通知、请求、主张、要求及其他通信均须采用书面形式以中文语言发出，在按以下地址电子邮件或快递（如DHL快递、EMS和顺丰速运）方式发送给有关各方后视为有效发出或做出：</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bidi="ar"/>
        </w:rPr>
        <w:t>发送至甲方：</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bidi="ar"/>
        </w:rPr>
        <w:t>电子邮件：【 】</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bidi="ar"/>
        </w:rPr>
        <w:t>地址：【 】</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rPr>
          <w:rFonts w:hint="eastAsia" w:ascii="仿宋_GB2312" w:hAnsi="仿宋_GB2312" w:eastAsia="仿宋_GB2312" w:cs="仿宋_GB2312"/>
          <w:color w:val="000000"/>
          <w:sz w:val="28"/>
          <w:szCs w:val="28"/>
          <w:lang w:bidi="ar"/>
        </w:rPr>
      </w:pPr>
      <w:r>
        <w:rPr>
          <w:rFonts w:hint="eastAsia" w:ascii="仿宋_GB2312" w:hAnsi="仿宋_GB2312" w:eastAsia="仿宋_GB2312" w:cs="仿宋_GB2312"/>
          <w:color w:val="000000"/>
          <w:sz w:val="28"/>
          <w:szCs w:val="28"/>
          <w:lang w:bidi="ar"/>
        </w:rPr>
        <w:t>收件人：【 】</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bidi="ar"/>
        </w:rPr>
        <w:t>联系电话：【 】</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bidi="ar"/>
        </w:rPr>
        <w:t>发送至乙方：</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bidi="ar"/>
        </w:rPr>
        <w:t>电子邮件：【 】</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bidi="ar"/>
        </w:rPr>
        <w:t>地址：【 】</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rPr>
          <w:rFonts w:hint="eastAsia" w:ascii="仿宋_GB2312" w:hAnsi="仿宋_GB2312" w:eastAsia="仿宋_GB2312" w:cs="仿宋_GB2312"/>
          <w:color w:val="000000"/>
          <w:sz w:val="28"/>
          <w:szCs w:val="28"/>
          <w:lang w:bidi="ar"/>
        </w:rPr>
      </w:pPr>
      <w:r>
        <w:rPr>
          <w:rFonts w:hint="eastAsia" w:ascii="仿宋_GB2312" w:hAnsi="仿宋_GB2312" w:eastAsia="仿宋_GB2312" w:cs="仿宋_GB2312"/>
          <w:color w:val="000000"/>
          <w:sz w:val="28"/>
          <w:szCs w:val="28"/>
          <w:lang w:bidi="ar"/>
        </w:rPr>
        <w:t>收件人：【 】</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bidi="ar"/>
        </w:rPr>
        <w:t>联系电话：【 】</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bidi="ar"/>
        </w:rPr>
        <w:t>13.2 如任一方变更联系方式，应按照以上方式向另一方发出书面通知，否则上述地址</w:t>
      </w:r>
      <w:r>
        <w:rPr>
          <w:rFonts w:hint="eastAsia" w:ascii="仿宋_GB2312" w:hAnsi="仿宋_GB2312" w:eastAsia="仿宋_GB2312" w:cs="仿宋_GB2312"/>
          <w:color w:val="000000"/>
          <w:sz w:val="28"/>
          <w:szCs w:val="28"/>
          <w:lang w:val="en-US" w:eastAsia="zh-CN" w:bidi="ar"/>
        </w:rPr>
        <w:t>仍</w:t>
      </w:r>
      <w:r>
        <w:rPr>
          <w:rFonts w:hint="eastAsia" w:ascii="仿宋_GB2312" w:hAnsi="仿宋_GB2312" w:eastAsia="仿宋_GB2312" w:cs="仿宋_GB2312"/>
          <w:color w:val="000000"/>
          <w:sz w:val="28"/>
          <w:szCs w:val="28"/>
          <w:lang w:bidi="ar"/>
        </w:rPr>
        <w:t>为有效送达地址。</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rPr>
          <w:rFonts w:hint="eastAsia" w:ascii="仿宋_GB2312" w:hAnsi="仿宋_GB2312" w:eastAsia="仿宋_GB2312" w:cs="仿宋_GB2312"/>
          <w:b/>
          <w:color w:val="000000"/>
          <w:sz w:val="28"/>
          <w:szCs w:val="28"/>
        </w:rPr>
      </w:pPr>
      <w:r>
        <w:rPr>
          <w:rFonts w:hint="eastAsia" w:ascii="仿宋_GB2312" w:hAnsi="仿宋_GB2312" w:eastAsia="仿宋_GB2312" w:cs="仿宋_GB2312"/>
          <w:color w:val="000000"/>
          <w:sz w:val="28"/>
          <w:szCs w:val="28"/>
          <w:lang w:bidi="ar"/>
        </w:rPr>
        <w:t>13.3 按照本条款发出的通知，在以下时间视为已被收件方收到：(i) 以电子邮件发出的通知，在发送之日的下一个工作日被视为已收到；或 (ii) 以快递发出的通知，在发送之日后的第三个工作日被视为已收到。</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bidi="ar"/>
        </w:rPr>
        <w:t>13.4 上述地址适用于本合同项下相关司法文书的送达。</w:t>
      </w:r>
    </w:p>
    <w:p>
      <w:pPr>
        <w:keepNext w:val="0"/>
        <w:keepLines w:val="0"/>
        <w:pageBreakBefore w:val="0"/>
        <w:widowControl w:val="0"/>
        <w:kinsoku/>
        <w:wordWrap/>
        <w:overflowPunct/>
        <w:topLinePunct w:val="0"/>
        <w:autoSpaceDE/>
        <w:autoSpaceDN/>
        <w:bidi w:val="0"/>
        <w:spacing w:line="560" w:lineRule="exact"/>
        <w:ind w:left="0" w:leftChars="0" w:right="0" w:rightChars="0" w:firstLine="562" w:firstLineChars="200"/>
        <w:jc w:val="both"/>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十四、合同组成</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14.1 本合同文件包括：（1）本合同及附件；（2）中标通知书；（3）询标纪要；（4）招标文件；（5）投标文件。如上述文件内容不一致的，按上述顺序进行解释。</w:t>
      </w:r>
    </w:p>
    <w:p>
      <w:pPr>
        <w:keepNext w:val="0"/>
        <w:keepLines w:val="0"/>
        <w:pageBreakBefore w:val="0"/>
        <w:widowControl w:val="0"/>
        <w:kinsoku/>
        <w:wordWrap/>
        <w:overflowPunct/>
        <w:topLinePunct w:val="0"/>
        <w:autoSpaceDE/>
        <w:autoSpaceDN/>
        <w:bidi w:val="0"/>
        <w:spacing w:line="560" w:lineRule="exact"/>
        <w:ind w:left="0" w:leftChars="0" w:right="0" w:rightChars="0" w:firstLine="562" w:firstLineChars="200"/>
        <w:jc w:val="both"/>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十五、合同生效及其他</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15.1 合同经双方法定代表人或授权代表签字（包含签章）并加盖单位公章或者合同章之日起生效。</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15.2 本合同未尽事宜，双方可签订补充协议予以确定。补充协议与本合同具有同等法律效力。</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15.3 本合同所订一切条款，未经双方书面确认，任何一方不得擅自变更或者修改。</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15.4 本合同一式【</w:t>
      </w:r>
      <w:r>
        <w:rPr>
          <w:rFonts w:hint="eastAsia" w:ascii="仿宋_GB2312" w:hAnsi="仿宋_GB2312" w:eastAsia="仿宋_GB2312" w:cs="仿宋_GB2312"/>
          <w:sz w:val="28"/>
          <w:szCs w:val="28"/>
          <w:lang w:val="en-US" w:eastAsia="zh-CN"/>
        </w:rPr>
        <w:t>伍</w:t>
      </w:r>
      <w:r>
        <w:rPr>
          <w:rFonts w:hint="eastAsia" w:ascii="仿宋_GB2312" w:hAnsi="仿宋_GB2312" w:eastAsia="仿宋_GB2312" w:cs="仿宋_GB2312"/>
          <w:sz w:val="28"/>
          <w:szCs w:val="28"/>
        </w:rPr>
        <w:t>】份，甲方持【</w:t>
      </w:r>
      <w:r>
        <w:rPr>
          <w:rFonts w:hint="eastAsia" w:ascii="仿宋_GB2312" w:hAnsi="仿宋_GB2312" w:eastAsia="仿宋_GB2312" w:cs="仿宋_GB2312"/>
          <w:sz w:val="28"/>
          <w:szCs w:val="28"/>
          <w:lang w:val="en-US" w:eastAsia="zh-CN"/>
        </w:rPr>
        <w:t>叁</w:t>
      </w:r>
      <w:r>
        <w:rPr>
          <w:rFonts w:hint="eastAsia" w:ascii="仿宋_GB2312" w:hAnsi="仿宋_GB2312" w:eastAsia="仿宋_GB2312" w:cs="仿宋_GB2312"/>
          <w:sz w:val="28"/>
          <w:szCs w:val="28"/>
        </w:rPr>
        <w:t>】份，乙方持【</w:t>
      </w:r>
      <w:r>
        <w:rPr>
          <w:rFonts w:hint="eastAsia" w:ascii="仿宋_GB2312" w:hAnsi="仿宋_GB2312" w:eastAsia="仿宋_GB2312" w:cs="仿宋_GB2312"/>
          <w:sz w:val="28"/>
          <w:szCs w:val="28"/>
          <w:lang w:val="en-US" w:eastAsia="zh-CN"/>
        </w:rPr>
        <w:t>贰</w:t>
      </w:r>
      <w:r>
        <w:rPr>
          <w:rFonts w:hint="eastAsia" w:ascii="仿宋_GB2312" w:hAnsi="仿宋_GB2312" w:eastAsia="仿宋_GB2312" w:cs="仿宋_GB2312"/>
          <w:sz w:val="28"/>
          <w:szCs w:val="28"/>
        </w:rPr>
        <w:t>】份，具有同等法律效力。</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sz w:val="28"/>
          <w:szCs w:val="28"/>
        </w:rPr>
        <w:t>15.5本合同包含以下附件，附件与本合同具有同等法律效力。</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附件</w:t>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：工程质量保修书</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w:t>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 xml:space="preserve">：安全文明施工协议书 </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w:t>
      </w: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：保密承诺书</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w:t>
      </w: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：廉政自律承诺书</w:t>
      </w:r>
    </w:p>
    <w:p>
      <w:pPr>
        <w:keepNext w:val="0"/>
        <w:keepLines w:val="0"/>
        <w:pageBreakBefore w:val="0"/>
        <w:widowControl w:val="0"/>
        <w:tabs>
          <w:tab w:val="right" w:pos="8306"/>
        </w:tabs>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（以下无正文）</w:t>
      </w:r>
    </w:p>
    <w:p>
      <w:pPr>
        <w:tabs>
          <w:tab w:val="right" w:pos="8306"/>
        </w:tabs>
        <w:adjustRightInd w:val="0"/>
        <w:snapToGrid w:val="0"/>
        <w:spacing w:after="312" w:afterLines="100" w:line="300" w:lineRule="auto"/>
        <w:rPr>
          <w:rFonts w:ascii="Times New Roman" w:hAnsi="Times New Roman"/>
          <w:sz w:val="23"/>
          <w:szCs w:val="23"/>
        </w:rPr>
      </w:pPr>
    </w:p>
    <w:p>
      <w:pPr>
        <w:rPr>
          <w:rFonts w:ascii="Times New Roman" w:hAnsi="Times New Roman"/>
          <w:sz w:val="23"/>
          <w:szCs w:val="23"/>
        </w:rPr>
      </w:pPr>
      <w:r>
        <w:rPr>
          <w:rFonts w:ascii="Times New Roman" w:hAnsi="Times New Roman"/>
          <w:sz w:val="23"/>
          <w:szCs w:val="23"/>
        </w:rPr>
        <w:br w:type="page"/>
      </w:r>
    </w:p>
    <w:p>
      <w:pPr>
        <w:keepNext w:val="0"/>
        <w:keepLines w:val="0"/>
        <w:pageBreakBefore w:val="0"/>
        <w:widowControl w:val="0"/>
        <w:tabs>
          <w:tab w:val="right" w:pos="8306"/>
        </w:tabs>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（本页为合同编号为【</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 】的建设工程施工合同的签署页）</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p>
    <w:tbl>
      <w:tblPr>
        <w:tblStyle w:val="15"/>
        <w:tblW w:w="996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981"/>
        <w:gridCol w:w="498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81" w:type="dxa"/>
          </w:tcPr>
          <w:p>
            <w:pPr>
              <w:spacing w:line="300" w:lineRule="auto"/>
              <w:rPr>
                <w:rFonts w:hint="eastAsia" w:ascii="黑体" w:hAnsi="黑体" w:eastAsia="黑体" w:cs="黑体"/>
                <w:sz w:val="28"/>
                <w:szCs w:val="28"/>
              </w:rPr>
            </w:pPr>
            <w:r>
              <w:rPr>
                <w:rFonts w:hint="eastAsia" w:ascii="黑体" w:hAnsi="黑体" w:eastAsia="黑体" w:cs="黑体"/>
                <w:sz w:val="28"/>
                <w:szCs w:val="28"/>
              </w:rPr>
              <w:t>甲方：</w:t>
            </w:r>
          </w:p>
        </w:tc>
        <w:tc>
          <w:tcPr>
            <w:tcW w:w="4981" w:type="dxa"/>
          </w:tcPr>
          <w:p>
            <w:pPr>
              <w:spacing w:line="300" w:lineRule="auto"/>
              <w:rPr>
                <w:rFonts w:hint="eastAsia" w:ascii="黑体" w:hAnsi="黑体" w:eastAsia="黑体" w:cs="黑体"/>
                <w:sz w:val="28"/>
                <w:szCs w:val="28"/>
              </w:rPr>
            </w:pPr>
            <w:r>
              <w:rPr>
                <w:rFonts w:hint="eastAsia" w:ascii="黑体" w:hAnsi="黑体" w:eastAsia="黑体" w:cs="黑体"/>
                <w:sz w:val="28"/>
                <w:szCs w:val="28"/>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81" w:type="dxa"/>
          </w:tcPr>
          <w:p>
            <w:pPr>
              <w:spacing w:line="300" w:lineRule="auto"/>
              <w:rPr>
                <w:rFonts w:hint="eastAsia" w:ascii="黑体" w:hAnsi="黑体" w:eastAsia="黑体" w:cs="黑体"/>
                <w:sz w:val="28"/>
                <w:szCs w:val="28"/>
              </w:rPr>
            </w:pPr>
            <w:r>
              <w:rPr>
                <w:rFonts w:hint="eastAsia" w:ascii="黑体" w:hAnsi="黑体" w:eastAsia="黑体" w:cs="黑体"/>
                <w:sz w:val="28"/>
                <w:szCs w:val="28"/>
              </w:rPr>
              <w:t>地址</w:t>
            </w:r>
            <w:r>
              <w:rPr>
                <w:rFonts w:hint="eastAsia" w:ascii="黑体" w:hAnsi="黑体" w:eastAsia="黑体" w:cs="黑体"/>
                <w:sz w:val="28"/>
                <w:szCs w:val="28"/>
                <w:lang w:eastAsia="zh-CN"/>
              </w:rPr>
              <w:t>：</w:t>
            </w:r>
          </w:p>
          <w:p>
            <w:pPr>
              <w:spacing w:line="300" w:lineRule="auto"/>
              <w:rPr>
                <w:rFonts w:hint="eastAsia" w:ascii="黑体" w:hAnsi="黑体" w:eastAsia="黑体" w:cs="黑体"/>
                <w:sz w:val="28"/>
                <w:szCs w:val="28"/>
              </w:rPr>
            </w:pPr>
          </w:p>
          <w:p>
            <w:pPr>
              <w:spacing w:line="300" w:lineRule="auto"/>
              <w:rPr>
                <w:rFonts w:hint="eastAsia" w:ascii="黑体" w:hAnsi="黑体" w:eastAsia="黑体" w:cs="黑体"/>
                <w:sz w:val="28"/>
                <w:szCs w:val="28"/>
              </w:rPr>
            </w:pPr>
          </w:p>
        </w:tc>
        <w:tc>
          <w:tcPr>
            <w:tcW w:w="4981" w:type="dxa"/>
          </w:tcPr>
          <w:p>
            <w:pPr>
              <w:spacing w:line="300" w:lineRule="auto"/>
              <w:rPr>
                <w:rFonts w:hint="eastAsia" w:ascii="黑体" w:hAnsi="黑体" w:eastAsia="黑体" w:cs="黑体"/>
                <w:sz w:val="28"/>
                <w:szCs w:val="28"/>
              </w:rPr>
            </w:pPr>
            <w:r>
              <w:rPr>
                <w:rFonts w:hint="eastAsia" w:ascii="黑体" w:hAnsi="黑体" w:eastAsia="黑体" w:cs="黑体"/>
                <w:sz w:val="28"/>
                <w:szCs w:val="28"/>
              </w:rPr>
              <w:t>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81" w:type="dxa"/>
          </w:tcPr>
          <w:p>
            <w:pPr>
              <w:spacing w:line="300" w:lineRule="auto"/>
              <w:rPr>
                <w:rFonts w:hint="eastAsia" w:ascii="黑体" w:hAnsi="黑体" w:eastAsia="黑体" w:cs="黑体"/>
                <w:sz w:val="28"/>
                <w:szCs w:val="28"/>
              </w:rPr>
            </w:pPr>
            <w:r>
              <w:rPr>
                <w:rFonts w:hint="eastAsia" w:ascii="黑体" w:hAnsi="黑体" w:eastAsia="黑体" w:cs="黑体"/>
                <w:sz w:val="28"/>
                <w:szCs w:val="28"/>
              </w:rPr>
              <w:t>法定代表人：</w:t>
            </w:r>
          </w:p>
        </w:tc>
        <w:tc>
          <w:tcPr>
            <w:tcW w:w="4981" w:type="dxa"/>
          </w:tcPr>
          <w:p>
            <w:pPr>
              <w:spacing w:line="300" w:lineRule="auto"/>
              <w:rPr>
                <w:rFonts w:hint="eastAsia" w:ascii="黑体" w:hAnsi="黑体" w:eastAsia="黑体" w:cs="黑体"/>
                <w:sz w:val="28"/>
                <w:szCs w:val="28"/>
              </w:rPr>
            </w:pPr>
            <w:r>
              <w:rPr>
                <w:rFonts w:hint="eastAsia" w:ascii="黑体" w:hAnsi="黑体" w:eastAsia="黑体" w:cs="黑体"/>
                <w:sz w:val="28"/>
                <w:szCs w:val="28"/>
              </w:rPr>
              <w:t>法定代表人：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81" w:type="dxa"/>
          </w:tcPr>
          <w:p>
            <w:pPr>
              <w:spacing w:line="300" w:lineRule="auto"/>
              <w:rPr>
                <w:rFonts w:hint="eastAsia" w:ascii="黑体" w:hAnsi="黑体" w:eastAsia="黑体" w:cs="黑体"/>
                <w:sz w:val="28"/>
                <w:szCs w:val="28"/>
              </w:rPr>
            </w:pPr>
            <w:r>
              <w:rPr>
                <w:rFonts w:hint="eastAsia" w:ascii="黑体" w:hAnsi="黑体" w:eastAsia="黑体" w:cs="黑体"/>
                <w:sz w:val="28"/>
                <w:szCs w:val="28"/>
              </w:rPr>
              <w:t xml:space="preserve">或  </w:t>
            </w:r>
          </w:p>
        </w:tc>
        <w:tc>
          <w:tcPr>
            <w:tcW w:w="4981" w:type="dxa"/>
          </w:tcPr>
          <w:p>
            <w:pPr>
              <w:spacing w:line="300" w:lineRule="auto"/>
              <w:rPr>
                <w:rFonts w:hint="eastAsia" w:ascii="黑体" w:hAnsi="黑体" w:eastAsia="黑体" w:cs="黑体"/>
                <w:sz w:val="28"/>
                <w:szCs w:val="28"/>
              </w:rPr>
            </w:pPr>
            <w:r>
              <w:rPr>
                <w:rFonts w:hint="eastAsia" w:ascii="黑体" w:hAnsi="黑体" w:eastAsia="黑体" w:cs="黑体"/>
                <w:sz w:val="28"/>
                <w:szCs w:val="28"/>
              </w:rPr>
              <w:t>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81" w:type="dxa"/>
          </w:tcPr>
          <w:p>
            <w:pPr>
              <w:spacing w:line="300" w:lineRule="auto"/>
              <w:rPr>
                <w:rFonts w:hint="eastAsia" w:ascii="黑体" w:hAnsi="黑体" w:eastAsia="黑体" w:cs="黑体"/>
                <w:sz w:val="28"/>
                <w:szCs w:val="28"/>
              </w:rPr>
            </w:pPr>
            <w:r>
              <w:rPr>
                <w:rFonts w:hint="eastAsia" w:ascii="黑体" w:hAnsi="黑体" w:eastAsia="黑体" w:cs="黑体"/>
                <w:sz w:val="28"/>
                <w:szCs w:val="28"/>
              </w:rPr>
              <w:t>授权代表</w:t>
            </w:r>
            <w:r>
              <w:rPr>
                <w:rFonts w:hint="eastAsia" w:ascii="黑体" w:hAnsi="黑体" w:eastAsia="黑体" w:cs="黑体"/>
                <w:sz w:val="28"/>
                <w:szCs w:val="28"/>
                <w:lang w:eastAsia="zh-CN"/>
              </w:rPr>
              <w:t>：</w:t>
            </w:r>
          </w:p>
          <w:p>
            <w:pPr>
              <w:spacing w:line="300" w:lineRule="auto"/>
              <w:rPr>
                <w:rFonts w:hint="eastAsia" w:ascii="黑体" w:hAnsi="黑体" w:eastAsia="黑体" w:cs="黑体"/>
                <w:sz w:val="28"/>
                <w:szCs w:val="28"/>
              </w:rPr>
            </w:pPr>
          </w:p>
          <w:p>
            <w:pPr>
              <w:spacing w:line="300" w:lineRule="auto"/>
              <w:rPr>
                <w:rFonts w:hint="eastAsia" w:ascii="黑体" w:hAnsi="黑体" w:eastAsia="黑体" w:cs="黑体"/>
                <w:sz w:val="28"/>
                <w:szCs w:val="28"/>
              </w:rPr>
            </w:pPr>
          </w:p>
        </w:tc>
        <w:tc>
          <w:tcPr>
            <w:tcW w:w="4981" w:type="dxa"/>
          </w:tcPr>
          <w:p>
            <w:pPr>
              <w:spacing w:line="300" w:lineRule="auto"/>
              <w:rPr>
                <w:rFonts w:hint="eastAsia" w:ascii="黑体" w:hAnsi="黑体" w:eastAsia="黑体" w:cs="黑体"/>
                <w:sz w:val="28"/>
                <w:szCs w:val="28"/>
              </w:rPr>
            </w:pPr>
            <w:r>
              <w:rPr>
                <w:rFonts w:hint="eastAsia" w:ascii="黑体" w:hAnsi="黑体" w:eastAsia="黑体" w:cs="黑体"/>
                <w:sz w:val="28"/>
                <w:szCs w:val="28"/>
              </w:rPr>
              <w:t>授权代表：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81" w:type="dxa"/>
          </w:tcPr>
          <w:p>
            <w:pPr>
              <w:spacing w:line="300" w:lineRule="auto"/>
              <w:rPr>
                <w:rFonts w:hint="eastAsia" w:ascii="黑体" w:hAnsi="黑体" w:eastAsia="黑体" w:cs="黑体"/>
                <w:sz w:val="28"/>
                <w:szCs w:val="28"/>
              </w:rPr>
            </w:pPr>
            <w:r>
              <w:rPr>
                <w:rFonts w:hint="eastAsia" w:ascii="黑体" w:hAnsi="黑体" w:eastAsia="黑体" w:cs="黑体"/>
                <w:sz w:val="28"/>
                <w:szCs w:val="28"/>
              </w:rPr>
              <w:t>签字日期：</w:t>
            </w:r>
          </w:p>
        </w:tc>
        <w:tc>
          <w:tcPr>
            <w:tcW w:w="4981" w:type="dxa"/>
          </w:tcPr>
          <w:p>
            <w:pPr>
              <w:spacing w:line="300" w:lineRule="auto"/>
              <w:rPr>
                <w:rFonts w:hint="eastAsia" w:ascii="黑体" w:hAnsi="黑体" w:eastAsia="黑体" w:cs="黑体"/>
                <w:sz w:val="28"/>
                <w:szCs w:val="28"/>
              </w:rPr>
            </w:pPr>
            <w:r>
              <w:rPr>
                <w:rFonts w:hint="eastAsia" w:ascii="黑体" w:hAnsi="黑体" w:eastAsia="黑体" w:cs="黑体"/>
                <w:sz w:val="28"/>
                <w:szCs w:val="28"/>
              </w:rPr>
              <w:t>签字日期：</w:t>
            </w:r>
          </w:p>
        </w:tc>
      </w:tr>
    </w:tbl>
    <w:p>
      <w:pPr>
        <w:adjustRightInd w:val="0"/>
        <w:snapToGrid w:val="0"/>
        <w:spacing w:after="312" w:afterLines="100" w:line="300" w:lineRule="auto"/>
        <w:ind w:firstLine="460" w:firstLineChars="200"/>
        <w:rPr>
          <w:rFonts w:ascii="Times New Roman" w:hAnsi="Times New Roman"/>
          <w:sz w:val="23"/>
          <w:szCs w:val="23"/>
        </w:rPr>
      </w:pPr>
    </w:p>
    <w:p>
      <w:pPr>
        <w:adjustRightInd w:val="0"/>
        <w:snapToGrid w:val="0"/>
        <w:spacing w:after="312" w:afterLines="100" w:line="300" w:lineRule="auto"/>
        <w:ind w:firstLine="460" w:firstLineChars="200"/>
        <w:rPr>
          <w:rFonts w:ascii="Times New Roman" w:hAnsi="Times New Roman"/>
          <w:sz w:val="23"/>
          <w:szCs w:val="23"/>
        </w:rPr>
      </w:pPr>
    </w:p>
    <w:p>
      <w:pPr>
        <w:adjustRightInd w:val="0"/>
        <w:snapToGrid w:val="0"/>
        <w:spacing w:after="312" w:afterLines="100" w:line="300" w:lineRule="auto"/>
        <w:ind w:firstLine="460" w:firstLineChars="200"/>
        <w:rPr>
          <w:rFonts w:ascii="Times New Roman" w:hAnsi="Times New Roman"/>
          <w:sz w:val="23"/>
          <w:szCs w:val="23"/>
        </w:rPr>
      </w:pPr>
    </w:p>
    <w:p>
      <w:pPr>
        <w:adjustRightInd w:val="0"/>
        <w:snapToGrid w:val="0"/>
        <w:spacing w:after="312" w:afterLines="100" w:line="300" w:lineRule="auto"/>
        <w:ind w:firstLine="460" w:firstLineChars="200"/>
        <w:rPr>
          <w:rFonts w:ascii="Times New Roman" w:hAnsi="Times New Roman"/>
          <w:sz w:val="23"/>
          <w:szCs w:val="23"/>
        </w:rPr>
      </w:pPr>
    </w:p>
    <w:p>
      <w:pPr>
        <w:adjustRightInd w:val="0"/>
        <w:snapToGrid w:val="0"/>
        <w:spacing w:after="312" w:afterLines="100" w:line="300" w:lineRule="auto"/>
        <w:ind w:firstLine="460" w:firstLineChars="200"/>
        <w:rPr>
          <w:rFonts w:ascii="Times New Roman" w:hAnsi="Times New Roman"/>
          <w:sz w:val="23"/>
          <w:szCs w:val="23"/>
        </w:rPr>
      </w:pPr>
    </w:p>
    <w:p>
      <w:pPr>
        <w:adjustRightInd w:val="0"/>
        <w:snapToGrid w:val="0"/>
        <w:spacing w:after="312" w:afterLines="100" w:line="300" w:lineRule="auto"/>
        <w:ind w:firstLine="460" w:firstLineChars="200"/>
        <w:rPr>
          <w:rFonts w:ascii="Times New Roman" w:hAnsi="Times New Roman"/>
          <w:sz w:val="23"/>
          <w:szCs w:val="23"/>
        </w:rPr>
      </w:pPr>
    </w:p>
    <w:p>
      <w:pPr>
        <w:adjustRightInd w:val="0"/>
        <w:snapToGrid w:val="0"/>
        <w:spacing w:after="312" w:afterLines="100" w:line="300" w:lineRule="auto"/>
        <w:ind w:firstLine="460" w:firstLineChars="200"/>
        <w:rPr>
          <w:rFonts w:ascii="Times New Roman" w:hAnsi="Times New Roman"/>
          <w:sz w:val="23"/>
          <w:szCs w:val="23"/>
        </w:rPr>
      </w:pPr>
    </w:p>
    <w:p>
      <w:pPr>
        <w:adjustRightInd w:val="0"/>
        <w:snapToGrid w:val="0"/>
        <w:spacing w:after="312" w:afterLines="100" w:line="300" w:lineRule="auto"/>
        <w:ind w:firstLine="460" w:firstLineChars="200"/>
        <w:rPr>
          <w:rFonts w:ascii="Times New Roman" w:hAnsi="Times New Roman"/>
          <w:sz w:val="23"/>
          <w:szCs w:val="23"/>
        </w:rPr>
      </w:pPr>
    </w:p>
    <w:p>
      <w:pPr>
        <w:adjustRightInd w:val="0"/>
        <w:snapToGrid w:val="0"/>
        <w:spacing w:after="312" w:afterLines="100" w:line="300" w:lineRule="auto"/>
        <w:ind w:firstLine="460" w:firstLineChars="200"/>
        <w:rPr>
          <w:rFonts w:ascii="Times New Roman" w:hAnsi="Times New Roman"/>
          <w:sz w:val="23"/>
          <w:szCs w:val="23"/>
        </w:rPr>
      </w:pPr>
    </w:p>
    <w:p>
      <w:pPr>
        <w:rPr>
          <w:rFonts w:ascii="Times New Roman" w:hAnsi="Times New Roman"/>
          <w:sz w:val="23"/>
          <w:szCs w:val="23"/>
        </w:rPr>
      </w:pPr>
      <w:r>
        <w:rPr>
          <w:rFonts w:ascii="Times New Roman" w:hAnsi="Times New Roman"/>
          <w:sz w:val="23"/>
          <w:szCs w:val="23"/>
        </w:rPr>
        <w:br w:type="page"/>
      </w:r>
    </w:p>
    <w:p>
      <w:pPr>
        <w:pStyle w:val="18"/>
        <w:keepNext w:val="0"/>
        <w:keepLines w:val="0"/>
        <w:pageBreakBefore w:val="0"/>
        <w:widowControl w:val="0"/>
        <w:tabs>
          <w:tab w:val="left" w:pos="540"/>
        </w:tabs>
        <w:kinsoku/>
        <w:wordWrap/>
        <w:overflowPunct/>
        <w:topLinePunct w:val="0"/>
        <w:autoSpaceDE/>
        <w:autoSpaceDN/>
        <w:bidi w:val="0"/>
        <w:adjustRightInd/>
        <w:snapToGrid w:val="0"/>
        <w:spacing w:line="560" w:lineRule="exact"/>
        <w:ind w:left="0" w:leftChars="0" w:right="0" w:rightChars="0" w:firstLine="0" w:firstLineChars="0"/>
        <w:textAlignment w:val="auto"/>
        <w:outlineLvl w:val="9"/>
        <w:rPr>
          <w:rFonts w:hint="eastAsia" w:ascii="黑体" w:hAnsi="黑体" w:eastAsia="黑体" w:cs="黑体"/>
          <w:b w:val="0"/>
          <w:bCs w:val="0"/>
          <w:sz w:val="32"/>
          <w:szCs w:val="32"/>
        </w:rPr>
      </w:pPr>
      <w:r>
        <w:rPr>
          <w:rFonts w:hint="eastAsia" w:ascii="黑体" w:hAnsi="黑体" w:eastAsia="黑体" w:cs="黑体"/>
          <w:b w:val="0"/>
          <w:bCs w:val="0"/>
          <w:sz w:val="32"/>
          <w:szCs w:val="32"/>
        </w:rPr>
        <w:t>附件</w:t>
      </w:r>
      <w:r>
        <w:rPr>
          <w:rFonts w:hint="eastAsia" w:ascii="黑体" w:hAnsi="黑体" w:eastAsia="黑体" w:cs="黑体"/>
          <w:b w:val="0"/>
          <w:bCs w:val="0"/>
          <w:sz w:val="32"/>
          <w:szCs w:val="32"/>
          <w:lang w:val="en-US" w:eastAsia="zh-CN"/>
        </w:rPr>
        <w:t>1</w:t>
      </w:r>
      <w:r>
        <w:rPr>
          <w:rFonts w:hint="eastAsia" w:ascii="黑体" w:hAnsi="黑体" w:eastAsia="黑体" w:cs="黑体"/>
          <w:b w:val="0"/>
          <w:bCs w:val="0"/>
          <w:sz w:val="32"/>
          <w:szCs w:val="32"/>
        </w:rPr>
        <w:t>：</w:t>
      </w:r>
    </w:p>
    <w:p>
      <w:pPr>
        <w:pStyle w:val="18"/>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0" w:firstLineChars="0"/>
        <w:jc w:val="center"/>
        <w:textAlignment w:val="auto"/>
        <w:outlineLvl w:val="9"/>
        <w:rPr>
          <w:rFonts w:hint="eastAsia" w:ascii="黑体" w:hAnsi="黑体" w:eastAsia="黑体" w:cs="黑体"/>
          <w:b w:val="0"/>
          <w:bCs w:val="0"/>
          <w:color w:val="000000"/>
          <w:sz w:val="28"/>
          <w:szCs w:val="28"/>
        </w:rPr>
      </w:pPr>
      <w:r>
        <w:rPr>
          <w:rFonts w:hint="eastAsia" w:ascii="黑体" w:hAnsi="黑体" w:eastAsia="黑体" w:cs="黑体"/>
          <w:b w:val="0"/>
          <w:bCs w:val="0"/>
          <w:color w:val="000000"/>
          <w:sz w:val="28"/>
          <w:szCs w:val="28"/>
        </w:rPr>
        <w:t>工程质量保修书</w:t>
      </w:r>
    </w:p>
    <w:p>
      <w:pPr>
        <w:pStyle w:val="18"/>
        <w:keepNext w:val="0"/>
        <w:keepLines w:val="0"/>
        <w:pageBreakBefore w:val="0"/>
        <w:widowControl w:val="0"/>
        <w:tabs>
          <w:tab w:val="left" w:pos="426"/>
        </w:tabs>
        <w:kinsoku/>
        <w:wordWrap/>
        <w:overflowPunct/>
        <w:topLinePunct w:val="0"/>
        <w:autoSpaceDE/>
        <w:autoSpaceDN/>
        <w:bidi w:val="0"/>
        <w:adjustRightInd/>
        <w:snapToGrid w:val="0"/>
        <w:spacing w:line="560" w:lineRule="exact"/>
        <w:ind w:left="0" w:leftChars="0" w:right="0" w:rightChars="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甲方（全称）：</w:t>
      </w:r>
      <w:r>
        <w:rPr>
          <w:rFonts w:hint="eastAsia" w:ascii="仿宋_GB2312" w:hAnsi="仿宋_GB2312" w:eastAsia="仿宋_GB2312" w:cs="仿宋_GB2312"/>
          <w:sz w:val="28"/>
          <w:szCs w:val="28"/>
          <w:lang w:val="en-US" w:eastAsia="zh-CN"/>
        </w:rPr>
        <w:t>杭州萧山国际机场有限公司</w:t>
      </w:r>
    </w:p>
    <w:p>
      <w:pPr>
        <w:pStyle w:val="18"/>
        <w:keepNext w:val="0"/>
        <w:keepLines w:val="0"/>
        <w:pageBreakBefore w:val="0"/>
        <w:widowControl w:val="0"/>
        <w:tabs>
          <w:tab w:val="left" w:pos="426"/>
        </w:tabs>
        <w:kinsoku/>
        <w:wordWrap/>
        <w:overflowPunct/>
        <w:topLinePunct w:val="0"/>
        <w:autoSpaceDE/>
        <w:autoSpaceDN/>
        <w:bidi w:val="0"/>
        <w:adjustRightInd/>
        <w:snapToGrid w:val="0"/>
        <w:spacing w:line="560" w:lineRule="exact"/>
        <w:ind w:left="0" w:leftChars="0" w:right="0" w:rightChars="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乙方（全称）：   </w:t>
      </w:r>
    </w:p>
    <w:p>
      <w:pPr>
        <w:pStyle w:val="18"/>
        <w:keepNext w:val="0"/>
        <w:keepLines w:val="0"/>
        <w:pageBreakBefore w:val="0"/>
        <w:widowControl w:val="0"/>
        <w:tabs>
          <w:tab w:val="left" w:pos="426"/>
        </w:tabs>
        <w:kinsoku/>
        <w:wordWrap/>
        <w:overflowPunct/>
        <w:topLinePunct w:val="0"/>
        <w:autoSpaceDE/>
        <w:autoSpaceDN/>
        <w:bidi w:val="0"/>
        <w:adjustRightInd/>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甲方和乙方根据《中华人民共和国建筑法》和《建设工程质量管理条例》，经协商一致就【</w:t>
      </w:r>
      <w:r>
        <w:rPr>
          <w:rFonts w:hint="eastAsia" w:ascii="仿宋_GB2312" w:hAnsi="仿宋_GB2312" w:eastAsia="仿宋_GB2312" w:cs="仿宋_GB2312"/>
          <w:sz w:val="28"/>
          <w:szCs w:val="28"/>
          <w:lang w:val="en-US" w:eastAsia="zh-CN"/>
        </w:rPr>
        <w:t>杭州萧山国际机场</w:t>
      </w:r>
      <w:r>
        <w:rPr>
          <w:rFonts w:hint="eastAsia" w:ascii="仿宋_GB2312" w:hAnsi="仿宋_GB2312" w:eastAsia="仿宋_GB2312" w:cs="仿宋_GB2312"/>
          <w:sz w:val="28"/>
          <w:szCs w:val="28"/>
        </w:rPr>
        <w:t>T3航站楼值机岛开包间</w:t>
      </w:r>
      <w:r>
        <w:rPr>
          <w:rFonts w:hint="eastAsia" w:ascii="仿宋_GB2312" w:hAnsi="仿宋_GB2312" w:eastAsia="仿宋_GB2312" w:cs="仿宋_GB2312"/>
          <w:sz w:val="28"/>
          <w:szCs w:val="28"/>
          <w:lang w:eastAsia="zh-CN"/>
        </w:rPr>
        <w:t>后端增加隔断项目</w:t>
      </w:r>
      <w:r>
        <w:rPr>
          <w:rFonts w:hint="eastAsia" w:ascii="仿宋_GB2312" w:hAnsi="仿宋_GB2312" w:eastAsia="仿宋_GB2312" w:cs="仿宋_GB2312"/>
          <w:sz w:val="28"/>
          <w:szCs w:val="28"/>
        </w:rPr>
        <w:t>】（工程全称）签订工程质量保修书。</w:t>
      </w:r>
    </w:p>
    <w:p>
      <w:pPr>
        <w:pStyle w:val="18"/>
        <w:keepNext w:val="0"/>
        <w:keepLines w:val="0"/>
        <w:pageBreakBefore w:val="0"/>
        <w:widowControl w:val="0"/>
        <w:tabs>
          <w:tab w:val="left" w:pos="426"/>
        </w:tabs>
        <w:kinsoku/>
        <w:wordWrap/>
        <w:overflowPunct/>
        <w:topLinePunct w:val="0"/>
        <w:autoSpaceDE/>
        <w:autoSpaceDN/>
        <w:bidi w:val="0"/>
        <w:adjustRightInd/>
        <w:snapToGrid w:val="0"/>
        <w:spacing w:line="560" w:lineRule="exact"/>
        <w:ind w:left="0" w:leftChars="0" w:right="0" w:rightChars="0" w:firstLine="562" w:firstLineChars="200"/>
        <w:jc w:val="both"/>
        <w:textAlignment w:val="auto"/>
        <w:outlineLvl w:val="9"/>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一、工程质量保修范围和内容</w:t>
      </w:r>
    </w:p>
    <w:p>
      <w:pPr>
        <w:pStyle w:val="18"/>
        <w:keepNext w:val="0"/>
        <w:keepLines w:val="0"/>
        <w:pageBreakBefore w:val="0"/>
        <w:widowControl w:val="0"/>
        <w:tabs>
          <w:tab w:val="left" w:pos="426"/>
        </w:tabs>
        <w:kinsoku/>
        <w:wordWrap/>
        <w:overflowPunct/>
        <w:topLinePunct w:val="0"/>
        <w:autoSpaceDE/>
        <w:autoSpaceDN/>
        <w:bidi w:val="0"/>
        <w:adjustRightInd/>
        <w:snapToGrid w:val="0"/>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乙方在质量保修期内，按照有关法律规定和合同约定，承担工程质量保修责任。</w:t>
      </w:r>
    </w:p>
    <w:p>
      <w:pPr>
        <w:pStyle w:val="18"/>
        <w:keepNext w:val="0"/>
        <w:keepLines w:val="0"/>
        <w:pageBreakBefore w:val="0"/>
        <w:widowControl w:val="0"/>
        <w:tabs>
          <w:tab w:val="left" w:pos="426"/>
        </w:tabs>
        <w:kinsoku/>
        <w:wordWrap/>
        <w:overflowPunct/>
        <w:topLinePunct w:val="0"/>
        <w:autoSpaceDE/>
        <w:autoSpaceDN/>
        <w:bidi w:val="0"/>
        <w:adjustRightInd/>
        <w:snapToGrid w:val="0"/>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本工程合同承包范围内乙方负责施工的所有工程项目]</w:t>
      </w:r>
    </w:p>
    <w:p>
      <w:pPr>
        <w:pStyle w:val="18"/>
        <w:keepNext w:val="0"/>
        <w:keepLines w:val="0"/>
        <w:pageBreakBefore w:val="0"/>
        <w:widowControl w:val="0"/>
        <w:tabs>
          <w:tab w:val="left" w:pos="426"/>
        </w:tabs>
        <w:kinsoku/>
        <w:wordWrap/>
        <w:overflowPunct/>
        <w:topLinePunct w:val="0"/>
        <w:autoSpaceDE/>
        <w:autoSpaceDN/>
        <w:bidi w:val="0"/>
        <w:adjustRightInd/>
        <w:snapToGrid w:val="0"/>
        <w:spacing w:line="560" w:lineRule="exact"/>
        <w:ind w:left="0" w:leftChars="0" w:right="0" w:rightChars="0" w:firstLine="562" w:firstLineChars="200"/>
        <w:jc w:val="both"/>
        <w:textAlignment w:val="auto"/>
        <w:outlineLvl w:val="9"/>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二、质量保修期</w:t>
      </w:r>
    </w:p>
    <w:p>
      <w:pPr>
        <w:pStyle w:val="18"/>
        <w:keepNext w:val="0"/>
        <w:keepLines w:val="0"/>
        <w:pageBreakBefore w:val="0"/>
        <w:widowControl w:val="0"/>
        <w:tabs>
          <w:tab w:val="left" w:pos="426"/>
        </w:tabs>
        <w:kinsoku/>
        <w:wordWrap/>
        <w:overflowPunct/>
        <w:topLinePunct w:val="0"/>
        <w:autoSpaceDE/>
        <w:autoSpaceDN/>
        <w:bidi w:val="0"/>
        <w:adjustRightInd/>
        <w:snapToGrid w:val="0"/>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根据《建设工程质量管理条例》及有关规定，工程的质量保修期如下：</w:t>
      </w:r>
    </w:p>
    <w:p>
      <w:pPr>
        <w:pStyle w:val="18"/>
        <w:keepNext w:val="0"/>
        <w:keepLines w:val="0"/>
        <w:pageBreakBefore w:val="0"/>
        <w:widowControl w:val="0"/>
        <w:numPr>
          <w:ilvl w:val="0"/>
          <w:numId w:val="6"/>
        </w:numPr>
        <w:tabs>
          <w:tab w:val="left" w:pos="426"/>
        </w:tabs>
        <w:kinsoku/>
        <w:wordWrap/>
        <w:overflowPunct/>
        <w:topLinePunct w:val="0"/>
        <w:autoSpaceDE/>
        <w:autoSpaceDN/>
        <w:bidi w:val="0"/>
        <w:adjustRightInd/>
        <w:snapToGrid w:val="0"/>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地基基础工程和主体结构工程为设计文件规定的工程合理使用年限；</w:t>
      </w:r>
    </w:p>
    <w:p>
      <w:pPr>
        <w:pStyle w:val="18"/>
        <w:keepNext w:val="0"/>
        <w:keepLines w:val="0"/>
        <w:pageBreakBefore w:val="0"/>
        <w:widowControl w:val="0"/>
        <w:numPr>
          <w:ilvl w:val="0"/>
          <w:numId w:val="6"/>
        </w:numPr>
        <w:tabs>
          <w:tab w:val="left" w:pos="426"/>
        </w:tabs>
        <w:kinsoku/>
        <w:wordWrap/>
        <w:overflowPunct/>
        <w:topLinePunct w:val="0"/>
        <w:autoSpaceDE/>
        <w:autoSpaceDN/>
        <w:bidi w:val="0"/>
        <w:adjustRightInd/>
        <w:snapToGrid w:val="0"/>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屋面防水工程、有防水要求的卫生间、房间和外墙面的防渗为【</w:t>
      </w: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rPr>
        <w:t>】年；</w:t>
      </w:r>
    </w:p>
    <w:p>
      <w:pPr>
        <w:pStyle w:val="18"/>
        <w:keepNext w:val="0"/>
        <w:keepLines w:val="0"/>
        <w:pageBreakBefore w:val="0"/>
        <w:widowControl w:val="0"/>
        <w:numPr>
          <w:ilvl w:val="0"/>
          <w:numId w:val="6"/>
        </w:numPr>
        <w:tabs>
          <w:tab w:val="left" w:pos="426"/>
        </w:tabs>
        <w:kinsoku/>
        <w:wordWrap/>
        <w:overflowPunct/>
        <w:topLinePunct w:val="0"/>
        <w:autoSpaceDE/>
        <w:autoSpaceDN/>
        <w:bidi w:val="0"/>
        <w:adjustRightInd/>
        <w:snapToGrid w:val="0"/>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装修工程为【</w:t>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】年；</w:t>
      </w:r>
    </w:p>
    <w:p>
      <w:pPr>
        <w:pStyle w:val="18"/>
        <w:keepNext w:val="0"/>
        <w:keepLines w:val="0"/>
        <w:pageBreakBefore w:val="0"/>
        <w:widowControl w:val="0"/>
        <w:numPr>
          <w:ilvl w:val="0"/>
          <w:numId w:val="6"/>
        </w:numPr>
        <w:tabs>
          <w:tab w:val="left" w:pos="426"/>
        </w:tabs>
        <w:kinsoku/>
        <w:wordWrap/>
        <w:overflowPunct/>
        <w:topLinePunct w:val="0"/>
        <w:autoSpaceDE/>
        <w:autoSpaceDN/>
        <w:bidi w:val="0"/>
        <w:adjustRightInd/>
        <w:snapToGrid w:val="0"/>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电气管线、给排水管道、设备安装工程为【</w:t>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】年；</w:t>
      </w:r>
    </w:p>
    <w:p>
      <w:pPr>
        <w:pStyle w:val="18"/>
        <w:keepNext w:val="0"/>
        <w:keepLines w:val="0"/>
        <w:pageBreakBefore w:val="0"/>
        <w:widowControl w:val="0"/>
        <w:numPr>
          <w:ilvl w:val="0"/>
          <w:numId w:val="6"/>
        </w:numPr>
        <w:tabs>
          <w:tab w:val="left" w:pos="426"/>
        </w:tabs>
        <w:kinsoku/>
        <w:wordWrap/>
        <w:overflowPunct/>
        <w:topLinePunct w:val="0"/>
        <w:autoSpaceDE/>
        <w:autoSpaceDN/>
        <w:bidi w:val="0"/>
        <w:adjustRightInd/>
        <w:snapToGrid w:val="0"/>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供热与供冷系统为【</w:t>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】个采暖期、供冷期；</w:t>
      </w:r>
    </w:p>
    <w:p>
      <w:pPr>
        <w:pStyle w:val="18"/>
        <w:keepNext w:val="0"/>
        <w:keepLines w:val="0"/>
        <w:pageBreakBefore w:val="0"/>
        <w:widowControl w:val="0"/>
        <w:numPr>
          <w:ilvl w:val="0"/>
          <w:numId w:val="6"/>
        </w:numPr>
        <w:tabs>
          <w:tab w:val="left" w:pos="426"/>
        </w:tabs>
        <w:kinsoku/>
        <w:wordWrap/>
        <w:overflowPunct/>
        <w:topLinePunct w:val="0"/>
        <w:autoSpaceDE/>
        <w:autoSpaceDN/>
        <w:bidi w:val="0"/>
        <w:adjustRightInd/>
        <w:snapToGrid w:val="0"/>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住宅小区内的给排水设施、道路等配套工程为【</w:t>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】年；</w:t>
      </w:r>
    </w:p>
    <w:p>
      <w:pPr>
        <w:pStyle w:val="18"/>
        <w:keepNext w:val="0"/>
        <w:keepLines w:val="0"/>
        <w:pageBreakBefore w:val="0"/>
        <w:widowControl w:val="0"/>
        <w:numPr>
          <w:ilvl w:val="0"/>
          <w:numId w:val="6"/>
        </w:numPr>
        <w:tabs>
          <w:tab w:val="left" w:pos="426"/>
        </w:tabs>
        <w:kinsoku/>
        <w:wordWrap/>
        <w:overflowPunct/>
        <w:topLinePunct w:val="0"/>
        <w:autoSpaceDE/>
        <w:autoSpaceDN/>
        <w:bidi w:val="0"/>
        <w:adjustRightInd/>
        <w:snapToGrid w:val="0"/>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其他项目保修期限约定如下：【</w:t>
      </w:r>
      <w:r>
        <w:rPr>
          <w:rFonts w:hint="eastAsia" w:ascii="仿宋_GB2312" w:hAnsi="仿宋_GB2312" w:eastAsia="仿宋_GB2312" w:cs="仿宋_GB2312"/>
          <w:sz w:val="28"/>
          <w:szCs w:val="28"/>
          <w:lang w:val="en-US" w:eastAsia="zh-CN"/>
        </w:rPr>
        <w:t>本工程保修期为2年</w:t>
      </w:r>
      <w:r>
        <w:rPr>
          <w:rFonts w:hint="eastAsia" w:ascii="仿宋_GB2312" w:hAnsi="仿宋_GB2312" w:eastAsia="仿宋_GB2312" w:cs="仿宋_GB2312"/>
          <w:sz w:val="28"/>
          <w:szCs w:val="28"/>
        </w:rPr>
        <w:t>】</w:t>
      </w:r>
    </w:p>
    <w:p>
      <w:pPr>
        <w:pStyle w:val="18"/>
        <w:keepNext w:val="0"/>
        <w:keepLines w:val="0"/>
        <w:pageBreakBefore w:val="0"/>
        <w:widowControl w:val="0"/>
        <w:tabs>
          <w:tab w:val="left" w:pos="426"/>
        </w:tabs>
        <w:kinsoku/>
        <w:wordWrap/>
        <w:overflowPunct/>
        <w:topLinePunct w:val="0"/>
        <w:autoSpaceDE/>
        <w:autoSpaceDN/>
        <w:bidi w:val="0"/>
        <w:adjustRightInd/>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质量保修期自工程竣工验收合格之日起计算。</w:t>
      </w:r>
    </w:p>
    <w:p>
      <w:pPr>
        <w:pStyle w:val="18"/>
        <w:keepNext w:val="0"/>
        <w:keepLines w:val="0"/>
        <w:pageBreakBefore w:val="0"/>
        <w:widowControl w:val="0"/>
        <w:numPr>
          <w:ilvl w:val="0"/>
          <w:numId w:val="5"/>
        </w:numPr>
        <w:tabs>
          <w:tab w:val="left" w:pos="426"/>
        </w:tabs>
        <w:kinsoku/>
        <w:wordWrap/>
        <w:overflowPunct/>
        <w:topLinePunct w:val="0"/>
        <w:autoSpaceDE/>
        <w:autoSpaceDN/>
        <w:bidi w:val="0"/>
        <w:adjustRightInd/>
        <w:snapToGrid w:val="0"/>
        <w:spacing w:line="560" w:lineRule="exact"/>
        <w:ind w:left="0" w:leftChars="0" w:right="0" w:rightChars="0" w:firstLine="562" w:firstLineChars="200"/>
        <w:jc w:val="both"/>
        <w:textAlignment w:val="auto"/>
        <w:outlineLvl w:val="9"/>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缺陷责任期</w:t>
      </w:r>
    </w:p>
    <w:p>
      <w:pPr>
        <w:pStyle w:val="18"/>
        <w:keepNext w:val="0"/>
        <w:keepLines w:val="0"/>
        <w:pageBreakBefore w:val="0"/>
        <w:widowControl w:val="0"/>
        <w:tabs>
          <w:tab w:val="left" w:pos="426"/>
        </w:tabs>
        <w:kinsoku/>
        <w:wordWrap/>
        <w:overflowPunct/>
        <w:topLinePunct w:val="0"/>
        <w:autoSpaceDE/>
        <w:autoSpaceDN/>
        <w:bidi w:val="0"/>
        <w:adjustRightInd/>
        <w:snapToGrid w:val="0"/>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工程缺陷责任期为24个月，缺陷责任期自工程竣工验收合格之日起计算。单位工程先于全部工程进行验收，单位工程缺陷责任期自单位工程验收合格之日起算。</w:t>
      </w:r>
    </w:p>
    <w:p>
      <w:pPr>
        <w:pStyle w:val="18"/>
        <w:keepNext w:val="0"/>
        <w:keepLines w:val="0"/>
        <w:pageBreakBefore w:val="0"/>
        <w:widowControl w:val="0"/>
        <w:tabs>
          <w:tab w:val="left" w:pos="426"/>
        </w:tabs>
        <w:kinsoku/>
        <w:wordWrap/>
        <w:overflowPunct/>
        <w:topLinePunct w:val="0"/>
        <w:autoSpaceDE/>
        <w:autoSpaceDN/>
        <w:bidi w:val="0"/>
        <w:adjustRightInd/>
        <w:snapToGrid w:val="0"/>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缺陷责任期届满后，经甲方确认核实，乙方不存在违约情形以及质量保修不存在问题后15天内无息支付质量保证金。</w:t>
      </w:r>
    </w:p>
    <w:p>
      <w:pPr>
        <w:pStyle w:val="18"/>
        <w:keepNext w:val="0"/>
        <w:keepLines w:val="0"/>
        <w:pageBreakBefore w:val="0"/>
        <w:widowControl w:val="0"/>
        <w:tabs>
          <w:tab w:val="left" w:pos="426"/>
        </w:tabs>
        <w:kinsoku/>
        <w:wordWrap/>
        <w:overflowPunct/>
        <w:topLinePunct w:val="0"/>
        <w:autoSpaceDE/>
        <w:autoSpaceDN/>
        <w:bidi w:val="0"/>
        <w:adjustRightInd/>
        <w:snapToGrid w:val="0"/>
        <w:spacing w:line="560" w:lineRule="exact"/>
        <w:ind w:left="0" w:leftChars="0" w:right="0" w:rightChars="0" w:firstLine="562" w:firstLineChars="200"/>
        <w:jc w:val="both"/>
        <w:textAlignment w:val="auto"/>
        <w:outlineLvl w:val="9"/>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四、质量保修责任</w:t>
      </w:r>
    </w:p>
    <w:p>
      <w:pPr>
        <w:pStyle w:val="18"/>
        <w:keepNext w:val="0"/>
        <w:keepLines w:val="0"/>
        <w:pageBreakBefore w:val="0"/>
        <w:widowControl w:val="0"/>
        <w:tabs>
          <w:tab w:val="left" w:pos="426"/>
        </w:tabs>
        <w:kinsoku/>
        <w:wordWrap/>
        <w:overflowPunct/>
        <w:topLinePunct w:val="0"/>
        <w:autoSpaceDE/>
        <w:autoSpaceDN/>
        <w:bidi w:val="0"/>
        <w:adjustRightInd/>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1．属于保修范围、内容的项目，乙方应当在接到保修通知之日起【</w:t>
      </w: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】天内派人至甲方现场进行维修。乙方不在约定期限内派人至甲方现场进行维修的，甲方可以自行委托他人修理。费用从质量保证金中扣除。修复部分的质保期自修复完毕之日起重新开始计算。</w:t>
      </w:r>
    </w:p>
    <w:p>
      <w:pPr>
        <w:pStyle w:val="18"/>
        <w:keepNext w:val="0"/>
        <w:keepLines w:val="0"/>
        <w:pageBreakBefore w:val="0"/>
        <w:widowControl w:val="0"/>
        <w:tabs>
          <w:tab w:val="left" w:pos="426"/>
        </w:tabs>
        <w:kinsoku/>
        <w:wordWrap/>
        <w:overflowPunct/>
        <w:topLinePunct w:val="0"/>
        <w:autoSpaceDE/>
        <w:autoSpaceDN/>
        <w:bidi w:val="0"/>
        <w:adjustRightInd/>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2．发生紧急事故需抢修的，乙方在接到事故通知后，应当立即到达事故现场进行持续抢修直至修复。</w:t>
      </w:r>
    </w:p>
    <w:p>
      <w:pPr>
        <w:pStyle w:val="18"/>
        <w:keepNext w:val="0"/>
        <w:keepLines w:val="0"/>
        <w:pageBreakBefore w:val="0"/>
        <w:widowControl w:val="0"/>
        <w:tabs>
          <w:tab w:val="left" w:pos="426"/>
        </w:tabs>
        <w:kinsoku/>
        <w:wordWrap/>
        <w:overflowPunct/>
        <w:topLinePunct w:val="0"/>
        <w:autoSpaceDE/>
        <w:autoSpaceDN/>
        <w:bidi w:val="0"/>
        <w:adjustRightInd/>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对于涉及结构安全的质量问题，应当按照《建设工程质量管理条例》的规定，立即向当地建设行政主管部门和有关部门报告，采取安全防范措施，并由原设计人或者具有相应资质等级的设计人提出保修方案，由乙方实施保修。</w:t>
      </w:r>
    </w:p>
    <w:p>
      <w:pPr>
        <w:pStyle w:val="18"/>
        <w:keepNext w:val="0"/>
        <w:keepLines w:val="0"/>
        <w:pageBreakBefore w:val="0"/>
        <w:widowControl w:val="0"/>
        <w:tabs>
          <w:tab w:val="left" w:pos="426"/>
        </w:tabs>
        <w:kinsoku/>
        <w:wordWrap/>
        <w:overflowPunct/>
        <w:topLinePunct w:val="0"/>
        <w:autoSpaceDE/>
        <w:autoSpaceDN/>
        <w:bidi w:val="0"/>
        <w:adjustRightInd/>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4．质量保修完成后，由甲方组织验收。验收不合格的，甲方有权自行委托第三方修理，全部费用由乙方承担，由甲方与第三方确认后直接从质量保证金中扣除。</w:t>
      </w:r>
    </w:p>
    <w:p>
      <w:pPr>
        <w:pStyle w:val="18"/>
        <w:keepNext w:val="0"/>
        <w:keepLines w:val="0"/>
        <w:pageBreakBefore w:val="0"/>
        <w:widowControl w:val="0"/>
        <w:tabs>
          <w:tab w:val="left" w:pos="426"/>
        </w:tabs>
        <w:kinsoku/>
        <w:wordWrap/>
        <w:overflowPunct/>
        <w:topLinePunct w:val="0"/>
        <w:autoSpaceDE/>
        <w:autoSpaceDN/>
        <w:bidi w:val="0"/>
        <w:adjustRightInd/>
        <w:snapToGrid w:val="0"/>
        <w:spacing w:line="560" w:lineRule="exact"/>
        <w:ind w:left="0" w:leftChars="0" w:right="0" w:rightChars="0" w:firstLine="562" w:firstLineChars="200"/>
        <w:jc w:val="both"/>
        <w:textAlignment w:val="auto"/>
        <w:outlineLvl w:val="9"/>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五、保修费用</w:t>
      </w:r>
    </w:p>
    <w:p>
      <w:pPr>
        <w:pStyle w:val="18"/>
        <w:keepNext w:val="0"/>
        <w:keepLines w:val="0"/>
        <w:pageBreakBefore w:val="0"/>
        <w:widowControl w:val="0"/>
        <w:tabs>
          <w:tab w:val="left" w:pos="426"/>
        </w:tabs>
        <w:kinsoku/>
        <w:wordWrap/>
        <w:overflowPunct/>
        <w:topLinePunct w:val="0"/>
        <w:autoSpaceDE/>
        <w:autoSpaceDN/>
        <w:bidi w:val="0"/>
        <w:adjustRightInd/>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保修费用由造成质量缺陷的责任方承担；对责任方的确定产生疑问或争议的，依甲方委托的鉴定机构所出具的独立报告来确定。</w:t>
      </w:r>
    </w:p>
    <w:p>
      <w:pPr>
        <w:pStyle w:val="18"/>
        <w:keepNext w:val="0"/>
        <w:keepLines w:val="0"/>
        <w:pageBreakBefore w:val="0"/>
        <w:widowControl w:val="0"/>
        <w:tabs>
          <w:tab w:val="left" w:pos="426"/>
        </w:tabs>
        <w:kinsoku/>
        <w:wordWrap/>
        <w:overflowPunct/>
        <w:topLinePunct w:val="0"/>
        <w:autoSpaceDE/>
        <w:autoSpaceDN/>
        <w:bidi w:val="0"/>
        <w:adjustRightInd/>
        <w:snapToGrid w:val="0"/>
        <w:spacing w:line="560" w:lineRule="exact"/>
        <w:ind w:left="0" w:leftChars="0" w:right="0" w:rightChars="0" w:firstLine="562" w:firstLineChars="200"/>
        <w:jc w:val="both"/>
        <w:textAlignment w:val="auto"/>
        <w:outlineLvl w:val="9"/>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 xml:space="preserve">六、双方约定的其他工程质量保修事项： </w:t>
      </w:r>
    </w:p>
    <w:p>
      <w:pPr>
        <w:pStyle w:val="18"/>
        <w:keepNext w:val="0"/>
        <w:keepLines w:val="0"/>
        <w:pageBreakBefore w:val="0"/>
        <w:widowControl w:val="0"/>
        <w:tabs>
          <w:tab w:val="left" w:pos="426"/>
        </w:tabs>
        <w:kinsoku/>
        <w:wordWrap/>
        <w:overflowPunct/>
        <w:topLinePunct w:val="0"/>
        <w:autoSpaceDE/>
        <w:autoSpaceDN/>
        <w:bidi w:val="0"/>
        <w:adjustRightInd/>
        <w:snapToGrid w:val="0"/>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1．在乙方人员到达之前，甲方可采取适当的应急措施，费用由乙方承担。</w:t>
      </w:r>
    </w:p>
    <w:p>
      <w:pPr>
        <w:pStyle w:val="18"/>
        <w:keepNext w:val="0"/>
        <w:keepLines w:val="0"/>
        <w:pageBreakBefore w:val="0"/>
        <w:widowControl w:val="0"/>
        <w:tabs>
          <w:tab w:val="left" w:pos="426"/>
        </w:tabs>
        <w:kinsoku/>
        <w:wordWrap/>
        <w:overflowPunct/>
        <w:topLinePunct w:val="0"/>
        <w:autoSpaceDE/>
        <w:autoSpaceDN/>
        <w:bidi w:val="0"/>
        <w:adjustRightInd/>
        <w:snapToGrid w:val="0"/>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遇下列特殊情况的，乙方同意甲方或管理单位可以对一定金额（材料安装类5000元，土建类10000元）以内的维修项目进行应急处理，先行委托其他单位进行维修，所产生的维修费用由乙方承担。乙方应于收到通知后7日内支付甲方出具的通知书中确定的金额。</w:t>
      </w:r>
    </w:p>
    <w:p>
      <w:pPr>
        <w:pStyle w:val="18"/>
        <w:keepNext w:val="0"/>
        <w:keepLines w:val="0"/>
        <w:pageBreakBefore w:val="0"/>
        <w:widowControl w:val="0"/>
        <w:tabs>
          <w:tab w:val="left" w:pos="426"/>
        </w:tabs>
        <w:kinsoku/>
        <w:wordWrap/>
        <w:overflowPunct/>
        <w:topLinePunct w:val="0"/>
        <w:autoSpaceDE/>
        <w:autoSpaceDN/>
        <w:bidi w:val="0"/>
        <w:adjustRightInd/>
        <w:snapToGrid w:val="0"/>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a．紧急抢修事故时，为避免损失进一步扩大；</w:t>
      </w:r>
    </w:p>
    <w:p>
      <w:pPr>
        <w:pStyle w:val="18"/>
        <w:keepNext w:val="0"/>
        <w:keepLines w:val="0"/>
        <w:pageBreakBefore w:val="0"/>
        <w:widowControl w:val="0"/>
        <w:tabs>
          <w:tab w:val="left" w:pos="426"/>
        </w:tabs>
        <w:kinsoku/>
        <w:wordWrap/>
        <w:overflowPunct/>
        <w:topLinePunct w:val="0"/>
        <w:autoSpaceDE/>
        <w:autoSpaceDN/>
        <w:bidi w:val="0"/>
        <w:adjustRightInd/>
        <w:snapToGrid w:val="0"/>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b．直接影响到工程正常运行或危害人身财产及财产安全时；</w:t>
      </w:r>
    </w:p>
    <w:p>
      <w:pPr>
        <w:pStyle w:val="18"/>
        <w:keepNext w:val="0"/>
        <w:keepLines w:val="0"/>
        <w:pageBreakBefore w:val="0"/>
        <w:widowControl w:val="0"/>
        <w:tabs>
          <w:tab w:val="left" w:pos="426"/>
        </w:tabs>
        <w:kinsoku/>
        <w:wordWrap/>
        <w:overflowPunct/>
        <w:topLinePunct w:val="0"/>
        <w:autoSpaceDE/>
        <w:autoSpaceDN/>
        <w:bidi w:val="0"/>
        <w:adjustRightInd/>
        <w:snapToGrid w:val="0"/>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甲方或工程管理单位认为需召开维保工作协调会时，乙方应当准时参加，会议上提出的问题必须当场确定解决方案，乙方对其派出与会人员的签字确认负全部责任，并应当执行会议决定。否则，视作乙方未履行维修义务。</w:t>
      </w:r>
    </w:p>
    <w:p>
      <w:pPr>
        <w:pStyle w:val="18"/>
        <w:keepNext w:val="0"/>
        <w:keepLines w:val="0"/>
        <w:pageBreakBefore w:val="0"/>
        <w:widowControl w:val="0"/>
        <w:tabs>
          <w:tab w:val="left" w:pos="426"/>
        </w:tabs>
        <w:kinsoku/>
        <w:wordWrap/>
        <w:overflowPunct/>
        <w:topLinePunct w:val="0"/>
        <w:autoSpaceDE/>
        <w:autoSpaceDN/>
        <w:bidi w:val="0"/>
        <w:adjustRightInd/>
        <w:snapToGrid w:val="0"/>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4．因工程质量问题发生工程维修费用或对第三人赔偿损失的，甲方通知乙方应承担的费用或损失金额，乙方应于收到通知后7日内支付甲方出具的通知书中确定的金额。</w:t>
      </w:r>
    </w:p>
    <w:p>
      <w:pPr>
        <w:pStyle w:val="18"/>
        <w:keepNext w:val="0"/>
        <w:keepLines w:val="0"/>
        <w:pageBreakBefore w:val="0"/>
        <w:widowControl w:val="0"/>
        <w:tabs>
          <w:tab w:val="left" w:pos="426"/>
        </w:tabs>
        <w:kinsoku/>
        <w:wordWrap/>
        <w:overflowPunct/>
        <w:topLinePunct w:val="0"/>
        <w:autoSpaceDE/>
        <w:autoSpaceDN/>
        <w:bidi w:val="0"/>
        <w:adjustRightInd/>
        <w:snapToGrid w:val="0"/>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乙方负责保修的质量，工程保修项目完成后须经甲方或工程管理单位代表验收签字方视为完成相应保修项目。工程保修项目应保证在六个月内不出现同类问题，否则，即使保修期满也应继续维修。对于更换了重要组件或整个设备的较大维修项目，保修日期应从设备更换或大修之日起重新按国家有关最低标准确定。</w:t>
      </w:r>
    </w:p>
    <w:p>
      <w:pPr>
        <w:pStyle w:val="18"/>
        <w:keepNext w:val="0"/>
        <w:keepLines w:val="0"/>
        <w:pageBreakBefore w:val="0"/>
        <w:widowControl w:val="0"/>
        <w:tabs>
          <w:tab w:val="left" w:pos="426"/>
        </w:tabs>
        <w:kinsoku/>
        <w:wordWrap/>
        <w:overflowPunct/>
        <w:topLinePunct w:val="0"/>
        <w:autoSpaceDE/>
        <w:autoSpaceDN/>
        <w:bidi w:val="0"/>
        <w:adjustRightInd/>
        <w:snapToGrid w:val="0"/>
        <w:spacing w:line="560" w:lineRule="exact"/>
        <w:ind w:left="0" w:leftChars="0" w:right="0" w:rightChars="0" w:firstLine="560" w:firstLineChars="200"/>
        <w:jc w:val="left"/>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对同一工程质量问题经乙方维修两次后，再次发生该质量问题的，甲方工程管理部门有权安排自行维修或委托其他单位维修，所产生相关费用包括维修费等均由乙方承担。乙方应于收到通知后7日内支付甲方出具的通知书中确定的金额。</w:t>
      </w:r>
    </w:p>
    <w:p>
      <w:pPr>
        <w:pStyle w:val="18"/>
        <w:keepNext w:val="0"/>
        <w:keepLines w:val="0"/>
        <w:pageBreakBefore w:val="0"/>
        <w:widowControl w:val="0"/>
        <w:tabs>
          <w:tab w:val="left" w:pos="426"/>
        </w:tabs>
        <w:kinsoku/>
        <w:wordWrap/>
        <w:overflowPunct/>
        <w:topLinePunct w:val="0"/>
        <w:autoSpaceDE/>
        <w:autoSpaceDN/>
        <w:bidi w:val="0"/>
        <w:adjustRightInd/>
        <w:snapToGrid w:val="0"/>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6．工程质量保修书由甲方、乙方在工程竣工验收前共同盖章，作为本施工合同附件，其有效期限至质保期届满且甲方书面确认乙方完成全部保修工作止。</w:t>
      </w:r>
    </w:p>
    <w:p>
      <w:pPr>
        <w:pStyle w:val="18"/>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textAlignment w:val="auto"/>
        <w:outlineLvl w:val="9"/>
        <w:rPr>
          <w:rFonts w:hint="eastAsia" w:ascii="仿宋_GB2312" w:hAnsi="仿宋_GB2312" w:eastAsia="仿宋_GB2312" w:cs="仿宋_GB2312"/>
          <w:sz w:val="28"/>
          <w:szCs w:val="28"/>
        </w:rPr>
      </w:pPr>
    </w:p>
    <w:p>
      <w:pPr>
        <w:pStyle w:val="18"/>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甲方(公章)：                     乙方(公章)：           </w:t>
      </w:r>
    </w:p>
    <w:p>
      <w:pPr>
        <w:keepNext w:val="0"/>
        <w:keepLines w:val="0"/>
        <w:pageBreakBefore w:val="0"/>
        <w:widowControl w:val="0"/>
        <w:kinsoku/>
        <w:wordWrap/>
        <w:overflowPunct/>
        <w:topLinePunct w:val="0"/>
        <w:autoSpaceDE/>
        <w:autoSpaceDN/>
        <w:bidi w:val="0"/>
        <w:adjustRightInd/>
        <w:spacing w:line="560" w:lineRule="exact"/>
        <w:ind w:left="0" w:leftChars="0" w:right="0" w:rightChars="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br w:type="page"/>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left"/>
        <w:textAlignment w:val="auto"/>
        <w:outlineLvl w:val="9"/>
        <w:rPr>
          <w:rFonts w:ascii="Times New Roman" w:hAnsi="Times New Roman"/>
          <w:b/>
          <w:bCs/>
          <w:sz w:val="23"/>
          <w:szCs w:val="23"/>
        </w:rPr>
      </w:pPr>
      <w:r>
        <w:rPr>
          <w:rFonts w:hint="eastAsia" w:ascii="黑体" w:hAnsi="黑体" w:eastAsia="黑体" w:cs="黑体"/>
          <w:b w:val="0"/>
          <w:bCs w:val="0"/>
          <w:sz w:val="32"/>
          <w:szCs w:val="32"/>
        </w:rPr>
        <w:t>附件</w:t>
      </w:r>
      <w:r>
        <w:rPr>
          <w:rFonts w:hint="eastAsia" w:ascii="黑体" w:hAnsi="黑体" w:eastAsia="黑体" w:cs="黑体"/>
          <w:b w:val="0"/>
          <w:bCs w:val="0"/>
          <w:sz w:val="32"/>
          <w:szCs w:val="32"/>
          <w:lang w:val="en-US" w:eastAsia="zh-CN"/>
        </w:rPr>
        <w:t>2</w:t>
      </w:r>
      <w:r>
        <w:rPr>
          <w:rFonts w:hint="eastAsia" w:ascii="黑体" w:hAnsi="黑体" w:eastAsia="黑体" w:cs="黑体"/>
          <w:b w:val="0"/>
          <w:bCs w:val="0"/>
          <w:sz w:val="32"/>
          <w:szCs w:val="32"/>
        </w:rPr>
        <w:t>：</w:t>
      </w:r>
      <w:r>
        <w:rPr>
          <w:rFonts w:ascii="Times New Roman" w:hAnsi="Times New Roman"/>
          <w:b/>
          <w:bCs/>
          <w:sz w:val="23"/>
          <w:szCs w:val="23"/>
        </w:rPr>
        <w:t xml:space="preserve"> </w:t>
      </w:r>
      <w:bookmarkStart w:id="15" w:name="_Hlk534811958"/>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黑体" w:hAnsi="黑体" w:eastAsia="黑体" w:cs="黑体"/>
          <w:b w:val="0"/>
          <w:bCs w:val="0"/>
          <w:color w:val="000000"/>
          <w:sz w:val="28"/>
          <w:szCs w:val="28"/>
        </w:rPr>
      </w:pPr>
      <w:r>
        <w:rPr>
          <w:rFonts w:hint="eastAsia" w:ascii="黑体" w:hAnsi="黑体" w:eastAsia="黑体" w:cs="黑体"/>
          <w:b w:val="0"/>
          <w:bCs w:val="0"/>
          <w:color w:val="000000"/>
          <w:sz w:val="28"/>
          <w:szCs w:val="28"/>
        </w:rPr>
        <w:t>安全文明施工协议书</w:t>
      </w:r>
      <w:bookmarkEnd w:id="15"/>
    </w:p>
    <w:p>
      <w:pPr>
        <w:pStyle w:val="18"/>
        <w:keepNext w:val="0"/>
        <w:keepLines w:val="0"/>
        <w:pageBreakBefore w:val="0"/>
        <w:widowControl w:val="0"/>
        <w:tabs>
          <w:tab w:val="left" w:pos="426"/>
        </w:tabs>
        <w:kinsoku/>
        <w:wordWrap/>
        <w:overflowPunct/>
        <w:topLinePunct w:val="0"/>
        <w:autoSpaceDE/>
        <w:autoSpaceDN/>
        <w:bidi w:val="0"/>
        <w:snapToGrid w:val="0"/>
        <w:spacing w:line="560" w:lineRule="exact"/>
        <w:ind w:left="0" w:leftChars="0" w:right="0" w:rightChars="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甲方（全称）：</w:t>
      </w:r>
      <w:r>
        <w:rPr>
          <w:rFonts w:hint="eastAsia" w:ascii="仿宋_GB2312" w:hAnsi="仿宋_GB2312" w:eastAsia="仿宋_GB2312" w:cs="仿宋_GB2312"/>
          <w:sz w:val="28"/>
          <w:szCs w:val="28"/>
          <w:lang w:val="en-US" w:eastAsia="zh-CN"/>
        </w:rPr>
        <w:t>杭州萧山国际机场有限公司</w:t>
      </w:r>
    </w:p>
    <w:p>
      <w:pPr>
        <w:pStyle w:val="18"/>
        <w:keepNext w:val="0"/>
        <w:keepLines w:val="0"/>
        <w:pageBreakBefore w:val="0"/>
        <w:widowControl w:val="0"/>
        <w:tabs>
          <w:tab w:val="left" w:pos="426"/>
        </w:tabs>
        <w:kinsoku/>
        <w:wordWrap/>
        <w:overflowPunct/>
        <w:topLinePunct w:val="0"/>
        <w:autoSpaceDE/>
        <w:autoSpaceDN/>
        <w:bidi w:val="0"/>
        <w:snapToGrid w:val="0"/>
        <w:spacing w:line="560" w:lineRule="exact"/>
        <w:ind w:left="0" w:leftChars="0" w:right="0" w:rightChars="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乙方（全称）：   </w:t>
      </w:r>
    </w:p>
    <w:p>
      <w:pPr>
        <w:pStyle w:val="18"/>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为了保护公民人身和国家财产安全，保障机场安全、有序运行和工程施工安全，保持良好的施工、生活秩序和饮食、环境卫生，维护双方的合法利益，明确双方责任，确保</w:t>
      </w:r>
      <w:r>
        <w:rPr>
          <w:rFonts w:hint="eastAsia" w:ascii="仿宋_GB2312" w:hAnsi="仿宋_GB2312" w:eastAsia="仿宋_GB2312" w:cs="仿宋_GB2312"/>
          <w:sz w:val="28"/>
          <w:szCs w:val="28"/>
          <w:lang w:val="en-US" w:eastAsia="zh-CN"/>
        </w:rPr>
        <w:t>杭州萧山国际机场</w:t>
      </w:r>
      <w:r>
        <w:rPr>
          <w:rFonts w:hint="eastAsia" w:ascii="仿宋_GB2312" w:hAnsi="仿宋_GB2312" w:eastAsia="仿宋_GB2312" w:cs="仿宋_GB2312"/>
          <w:sz w:val="28"/>
          <w:szCs w:val="28"/>
        </w:rPr>
        <w:t>T3航站楼值机岛开包间</w:t>
      </w:r>
      <w:r>
        <w:rPr>
          <w:rFonts w:hint="eastAsia" w:ascii="仿宋_GB2312" w:hAnsi="仿宋_GB2312" w:eastAsia="仿宋_GB2312" w:cs="仿宋_GB2312"/>
          <w:sz w:val="28"/>
          <w:szCs w:val="28"/>
          <w:lang w:eastAsia="zh-CN"/>
        </w:rPr>
        <w:t>后端增加隔断项目</w:t>
      </w:r>
      <w:r>
        <w:rPr>
          <w:rFonts w:hint="eastAsia" w:ascii="仿宋_GB2312" w:hAnsi="仿宋_GB2312" w:eastAsia="仿宋_GB2312" w:cs="仿宋_GB2312"/>
          <w:sz w:val="28"/>
          <w:szCs w:val="28"/>
        </w:rPr>
        <w:t xml:space="preserve">工程建设的顺利进行。根据国家现行的有关法律、法规和安全生产规范、规程及标准，经双方协商，签订本《安全文明施工协议书》。 </w:t>
      </w:r>
    </w:p>
    <w:p>
      <w:pPr>
        <w:pStyle w:val="18"/>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一、甲方对乙方实行安全目标管理，安全目标的具体内容是：</w:t>
      </w:r>
    </w:p>
    <w:p>
      <w:pPr>
        <w:pStyle w:val="18"/>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1、无责任死亡事故和群伤事件。</w:t>
      </w:r>
    </w:p>
    <w:p>
      <w:pPr>
        <w:pStyle w:val="18"/>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2、无重大经济责任事故。</w:t>
      </w:r>
    </w:p>
    <w:p>
      <w:pPr>
        <w:pStyle w:val="18"/>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3、无空防安全事故。</w:t>
      </w:r>
    </w:p>
    <w:p>
      <w:pPr>
        <w:pStyle w:val="18"/>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4、无影响机场运行的不安全事件。</w:t>
      </w:r>
    </w:p>
    <w:p>
      <w:pPr>
        <w:pStyle w:val="18"/>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5、无七类重大刑事案件（杀人、绑架、强奸、放火、爆炸、劫持、故意伤害致死）及其它严重、恶性案件。</w:t>
      </w:r>
    </w:p>
    <w:p>
      <w:pPr>
        <w:pStyle w:val="18"/>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6、无因未足额、及时发放工资发生劳资纠纷。</w:t>
      </w:r>
    </w:p>
    <w:p>
      <w:pPr>
        <w:pStyle w:val="18"/>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7、无集体食物中毒事件。</w:t>
      </w:r>
    </w:p>
    <w:p>
      <w:pPr>
        <w:pStyle w:val="18"/>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8、无计划外生育。</w:t>
      </w:r>
    </w:p>
    <w:p>
      <w:pPr>
        <w:pStyle w:val="18"/>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9、无因上述原因引发无序维权事件。</w:t>
      </w:r>
    </w:p>
    <w:p>
      <w:pPr>
        <w:pStyle w:val="18"/>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上述情况的认定按国家和行业的有关规定和标准执行。</w:t>
      </w:r>
    </w:p>
    <w:p>
      <w:pPr>
        <w:pStyle w:val="18"/>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二、甲方的权利和义务</w:t>
      </w:r>
    </w:p>
    <w:p>
      <w:pPr>
        <w:pStyle w:val="18"/>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甲方有权对乙方执行国家和行业法律、法规、规章和技术标准以及履行工程合同和本协议书情况进行监督、检查和考核，有权监督乙方消除不安全隐患，乙方懈怠或拒绝本协议条款组织安全文明施工的，经甲方书面通知未按时限和要求整改的，甲方有权对违反协议行为追究违约责任或责令乙方停工整改直至终止合同。</w:t>
      </w:r>
    </w:p>
    <w:p>
      <w:pPr>
        <w:pStyle w:val="18"/>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11、甲方联系和协调机场公安机关，督促施工单位按有关规定申报暂住登记和申领《居住证》，并协助乙方联系机场公安局商定有关工地安全保卫事宜。</w:t>
      </w:r>
    </w:p>
    <w:p>
      <w:pPr>
        <w:pStyle w:val="18"/>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12、甲方利用施工例会等定期分析和掌握工程的治安情况，通报当前治安形势，交流工作经验，协助处理相关问题。</w:t>
      </w:r>
    </w:p>
    <w:p>
      <w:pPr>
        <w:pStyle w:val="18"/>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13、乙方未按要求配备安全设施、设备、器材，未在限定期限内整改的，甲方有权直接购置并配足，另增加20%的管理费，费用由乙方承担。</w:t>
      </w:r>
    </w:p>
    <w:p>
      <w:pPr>
        <w:pStyle w:val="18"/>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14、依据民航行业和</w:t>
      </w:r>
      <w:r>
        <w:rPr>
          <w:rFonts w:hint="eastAsia" w:ascii="仿宋_GB2312" w:hAnsi="仿宋_GB2312" w:eastAsia="仿宋_GB2312" w:cs="仿宋_GB2312"/>
          <w:sz w:val="28"/>
          <w:szCs w:val="28"/>
          <w:lang w:val="en-US" w:eastAsia="zh-CN"/>
        </w:rPr>
        <w:t>机场相关</w:t>
      </w:r>
      <w:r>
        <w:rPr>
          <w:rFonts w:hint="eastAsia" w:ascii="仿宋_GB2312" w:hAnsi="仿宋_GB2312" w:eastAsia="仿宋_GB2312" w:cs="仿宋_GB2312"/>
          <w:sz w:val="28"/>
          <w:szCs w:val="28"/>
        </w:rPr>
        <w:t>要求，工地及临舍实施封闭管理，进出工地的人员和车辆实行通行证管理制度，甲方协助乙方及时办理相关人员和车辆的施工通行证件。甲方组织乙方项目部管理人员、班组长参加专门的安全教育培训和考试（主要是机场运行、空防、不停航施工等方面安全知识），乙方应按行业规范对施工人员进行安全教育培训，乙方不履行安全教育培训的，甲方可强制组织有偿培训及其它强制措施。</w:t>
      </w:r>
    </w:p>
    <w:p>
      <w:pPr>
        <w:pStyle w:val="18"/>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15、甲方建立由监理、施工、设计单位为成员的安全管理网络，组织、协调安全管理工作，审核乙方及相关管理人员、特种作业人员的资质，督查乙方开展安全风险识别和评估，视情审查相应的安全技术措施。</w:t>
      </w:r>
    </w:p>
    <w:p>
      <w:pPr>
        <w:pStyle w:val="18"/>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16、甲方对乙方的临时设施（包括临时宿舍）进行统一规划和监管，完成后临时设施场地应按甲方要求恢复原状。</w:t>
      </w:r>
    </w:p>
    <w:p>
      <w:pPr>
        <w:pStyle w:val="18"/>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17、甲方应当向乙方提供施工现场及毗邻区域内供水、排水、供电、供热、通信、广播电视等地下管线资料，气象和水文观测资料，相邻建筑物和构筑物、地下工程的有关资料，并保证资料的真实、准确、完整。乙方因建设工程需要，向甲方查询前款规定的资料时，甲方应当及时提供。</w:t>
      </w:r>
    </w:p>
    <w:p>
      <w:pPr>
        <w:pStyle w:val="18"/>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18、甲方不得对乙方提出不符合建设工程安全生产法律、法规和强制性标准的要求，不得要求乙方购买、租赁、使用不符合安全施工要求的安全防护用具、机械设备、施工机具及配件、消防设施和器材等，不得随意压缩合同约定的工期。</w:t>
      </w:r>
    </w:p>
    <w:p>
      <w:pPr>
        <w:pStyle w:val="18"/>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19、甲方应按合同约定如期支付乙方工程款。</w:t>
      </w:r>
    </w:p>
    <w:p>
      <w:pPr>
        <w:pStyle w:val="18"/>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三、乙方的安全、文明权利和义务</w:t>
      </w:r>
    </w:p>
    <w:p>
      <w:pPr>
        <w:pStyle w:val="18"/>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遵守《中华人民共和国安全生产法》、《中华人民共和国建筑法》、《建设工程安全管理条例》、《浙江省建筑业管理条例》、《建筑施工安全检查标准》、《杭州市建设工地职工宿舍安全使用与管理》、《</w:t>
      </w:r>
      <w:r>
        <w:rPr>
          <w:rFonts w:hint="eastAsia" w:ascii="仿宋_GB2312" w:hAnsi="仿宋_GB2312" w:eastAsia="仿宋_GB2312" w:cs="仿宋_GB2312"/>
          <w:sz w:val="28"/>
          <w:szCs w:val="28"/>
          <w:lang w:val="en-US" w:eastAsia="zh-CN"/>
        </w:rPr>
        <w:t>杭州萧山国际</w:t>
      </w:r>
      <w:r>
        <w:rPr>
          <w:rFonts w:hint="eastAsia" w:ascii="仿宋_GB2312" w:hAnsi="仿宋_GB2312" w:eastAsia="仿宋_GB2312" w:cs="仿宋_GB2312"/>
          <w:sz w:val="28"/>
          <w:szCs w:val="28"/>
        </w:rPr>
        <w:t>机场建设工程安全文明施工管理规定》和《</w:t>
      </w:r>
      <w:r>
        <w:rPr>
          <w:rFonts w:hint="eastAsia" w:ascii="仿宋_GB2312" w:hAnsi="仿宋_GB2312" w:eastAsia="仿宋_GB2312" w:cs="仿宋_GB2312"/>
          <w:sz w:val="28"/>
          <w:szCs w:val="28"/>
          <w:lang w:val="en-US" w:eastAsia="zh-CN"/>
        </w:rPr>
        <w:t>杭州萧山国际</w:t>
      </w:r>
      <w:r>
        <w:rPr>
          <w:rFonts w:hint="eastAsia" w:ascii="仿宋_GB2312" w:hAnsi="仿宋_GB2312" w:eastAsia="仿宋_GB2312" w:cs="仿宋_GB2312"/>
          <w:sz w:val="28"/>
          <w:szCs w:val="28"/>
        </w:rPr>
        <w:t>机场建设工程安全文明施工应用手册》以及其他安全文明的法律、法规，遵守机场有关安全管理的规章制度。</w:t>
      </w:r>
    </w:p>
    <w:p>
      <w:pPr>
        <w:pStyle w:val="18"/>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（一）安全文明施工管理</w:t>
      </w:r>
    </w:p>
    <w:p>
      <w:pPr>
        <w:pStyle w:val="18"/>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20、落实施工安全责任，所涉工程依法实行总分包制的，总包单位应对施工安全负总责，以安全责任书的方式确定各分包单位的安全责任，乙方应层层签订安全责任书。</w:t>
      </w:r>
    </w:p>
    <w:p>
      <w:pPr>
        <w:pStyle w:val="18"/>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21、乙方应开展风险管理，结合风险评估结果有针对性地制定和落实施工安全技术措施。</w:t>
      </w:r>
    </w:p>
    <w:p>
      <w:pPr>
        <w:pStyle w:val="18"/>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22、乙方安全管理规章制度、操作规程、安全技术措施和专项施工方案以及项目经理、专职安全员、特种行业作业人员及其资格资质须向甲方备案，并持证上岗。对下列危险性较大的部分分项工程应当制定专项施工方案，按国家法律法规进行专家验证，且须经乙方技术负责人、总监理工程师审核签字后方可实施，并由专职安全生产管理人员进行现场监督： </w:t>
      </w:r>
    </w:p>
    <w:p>
      <w:pPr>
        <w:pStyle w:val="18"/>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22.1 基坑与降水工程； </w:t>
      </w:r>
    </w:p>
    <w:p>
      <w:pPr>
        <w:pStyle w:val="18"/>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22.2 土方开挖工程； </w:t>
      </w:r>
    </w:p>
    <w:p>
      <w:pPr>
        <w:pStyle w:val="18"/>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22.3 模板工程； </w:t>
      </w:r>
    </w:p>
    <w:p>
      <w:pPr>
        <w:pStyle w:val="18"/>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22.4 起重吊装工程； </w:t>
      </w:r>
    </w:p>
    <w:p>
      <w:pPr>
        <w:pStyle w:val="18"/>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22.5 脚手架工程； </w:t>
      </w:r>
    </w:p>
    <w:p>
      <w:pPr>
        <w:pStyle w:val="18"/>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22.6 焊接、切割、爆破、拆除作业工程； </w:t>
      </w:r>
    </w:p>
    <w:p>
      <w:pPr>
        <w:pStyle w:val="18"/>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22.7国务院建设行政主管部门或其它有关部门规定的其它危险性较大的工程。</w:t>
      </w:r>
    </w:p>
    <w:p>
      <w:pPr>
        <w:pStyle w:val="18"/>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23、乙方不得在机场和机场净空保护区范围内施放烟花、爆竹、气球等升空物体；建筑生活垃圾定点集中堆放，及时清运，不得随意焚烧垃圾等物品制造烟雾；不得饲养动物；不得随意丢弃飘浮物。</w:t>
      </w:r>
    </w:p>
    <w:p>
      <w:pPr>
        <w:pStyle w:val="18"/>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24、乙方必须按照甲方的规划要求搭设临时设施，并经甲方验收合格方准使用。但甲方的验收并不免除乙方对其搭设的临时设施的安全承担全部责任。</w:t>
      </w:r>
    </w:p>
    <w:p>
      <w:pPr>
        <w:pStyle w:val="18"/>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25、施工现场实行封闭式管理，沿工地四周连续设置围档，大门应设专职保安实施不间断的监管，并设监控设施。围档材料要求坚固、稳定、统一、整洁、美观，宜采用硬质材料。围挡设置高度不低于2.5米，施工区域与机场控制区间应设置硬质围档，并加装防攀爬设施。</w:t>
      </w:r>
    </w:p>
    <w:p>
      <w:pPr>
        <w:pStyle w:val="18"/>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26、乙方应做好装修施工阶段成品保护工作，按照“谁主管、谁负责；谁使用、谁负责；谁管理、谁负责”的原则，制定成品保护管理办法，层层签订成品保护责任书，真正落实成品保护现场管理的各项措施。</w:t>
      </w:r>
    </w:p>
    <w:p>
      <w:pPr>
        <w:pStyle w:val="18"/>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27、为保障民工合法权益，乙方还应承担以下义务：</w:t>
      </w:r>
    </w:p>
    <w:p>
      <w:pPr>
        <w:pStyle w:val="18"/>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27.1乙方应当在民工上岗作业之前，与下属劳务单位（或施工班组）共同对每位民工进行安全施工、规范用电、消防安全、文明行车、遵纪守法等方面的知识培训，特殊岗位必须进行资格审查，建立相关的管理制度及工作应急预案，对民工的工作、生活进行严格管理，并提供必要的工作保障和生活服务。</w:t>
      </w:r>
    </w:p>
    <w:p>
      <w:pPr>
        <w:pStyle w:val="18"/>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27.2乙方应当监管下属劳务单位在招录民工时必须与民工班组签订详细书面合同（无下属劳务单位的，乙方直接与下属施工班组签订），就具体的工种、工价、工作量、出勤、签工、质量控制、工期、验收、结算方式、何时支付工资、付款方式等要素进行约定，并且与每位民工签订书面劳动合同。</w:t>
      </w:r>
    </w:p>
    <w:p>
      <w:pPr>
        <w:pStyle w:val="18"/>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27.3乙方与下属劳务单位（或施工班组）双方就单价、工程量、造价、质量控制、结算方式、工期、验收、何时付款、付款方式等事项进行约定，临时增加的工程量必须以乙方出具的施工联系单作为依据，双方及时签字确认。</w:t>
      </w:r>
    </w:p>
    <w:p>
      <w:pPr>
        <w:pStyle w:val="18"/>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27.4乙方要按合同约定如期支付下属劳务单位（或施工班组）工程进度款，优先支付民工工资款，乙方与下属劳务单位（或施工班组）双方就民工工资款专设监管账户，未经乙方同意下属劳务单位（或施工班组）无法出账，做到专款专用。乙方对下属劳务单位（或施工班组）发放民工工资应当派员进行指导、监督，确保及时足额发放。</w:t>
      </w:r>
    </w:p>
    <w:p>
      <w:pPr>
        <w:pStyle w:val="18"/>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27.5乙方支付下属劳务单位（或施工班组）进度款之前，有义务查阅下属劳务单位（或施工班组）前期民工工资足额发放的书面材料。</w:t>
      </w:r>
    </w:p>
    <w:p>
      <w:pPr>
        <w:pStyle w:val="18"/>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27.6乙方应制定相关约束性制度，落实措施，预防、杜绝下属劳务单位（或施工班组）无序维权事件发生。</w:t>
      </w:r>
    </w:p>
    <w:p>
      <w:pPr>
        <w:pStyle w:val="18"/>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27.7若民工或下属劳务单位（或施工班组）维权，乙方应负相应举证义务。</w:t>
      </w:r>
    </w:p>
    <w:p>
      <w:pPr>
        <w:pStyle w:val="18"/>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27.8一旦发生民工无序维权，乙方主要领导应当及时到场，督促下属劳务单位（或施工班组）负责人劝离民工，并积极配合甲方相关部门协调处置。</w:t>
      </w:r>
    </w:p>
    <w:p>
      <w:pPr>
        <w:pStyle w:val="18"/>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甲方对乙方的上述工作有随时监督检查的权利，乙方应积极配合甲方的检查。</w:t>
      </w:r>
    </w:p>
    <w:p>
      <w:pPr>
        <w:pStyle w:val="18"/>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（二）空防安全管理  </w:t>
      </w:r>
    </w:p>
    <w:p>
      <w:pPr>
        <w:pStyle w:val="18"/>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28、必须严格遵守民用航空安全、空防管理的法律、法规和机场安全管理的各项规章制度。属于机场不停航施工项目或需进入机场控制区施工的项目，其人员和车辆实行机场控制区通行证管理制度。</w:t>
      </w:r>
    </w:p>
    <w:p>
      <w:pPr>
        <w:pStyle w:val="18"/>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29、通行证的办理遵从《</w:t>
      </w:r>
      <w:r>
        <w:rPr>
          <w:rFonts w:hint="eastAsia" w:ascii="仿宋_GB2312" w:hAnsi="仿宋_GB2312" w:eastAsia="仿宋_GB2312" w:cs="仿宋_GB2312"/>
          <w:sz w:val="28"/>
          <w:szCs w:val="28"/>
          <w:lang w:val="en-US" w:eastAsia="zh-CN"/>
        </w:rPr>
        <w:t>杭州萧山国际</w:t>
      </w:r>
      <w:r>
        <w:rPr>
          <w:rFonts w:hint="eastAsia" w:ascii="仿宋_GB2312" w:hAnsi="仿宋_GB2312" w:eastAsia="仿宋_GB2312" w:cs="仿宋_GB2312"/>
          <w:sz w:val="28"/>
          <w:szCs w:val="28"/>
        </w:rPr>
        <w:t>机场控制区通行证管理办法》规定。在申请办理人员通行证时应当提供真实有效的身份证明、证照及其它相关资料，并进行背景调查，防止有违法、犯罪记录的人员进入施工队伍；在申请办理车辆通行证时应当提供车辆、设备的有效证件和检验记录，并对其真实性负责。上述通行证由乙方提出申请，报甲方备案，办证费用由乙方自理。</w:t>
      </w:r>
    </w:p>
    <w:p>
      <w:pPr>
        <w:pStyle w:val="18"/>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30、进入机场控制区施工的人员和车辆需由甲方派员负责引领并主动接受机场管理人员的安全检查，服从机场相关职能部门的监管，无通行证者一律不得进入。</w:t>
      </w:r>
    </w:p>
    <w:p>
      <w:pPr>
        <w:pStyle w:val="18"/>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31、应当加强通行证的管理，建立管理台帐。通行证仅限持证本人、本车使用，严禁转借、涂改和冒用；持证人员发生调离、辞退、开除等情况的，应及时收回通行证交由甲方报机场公安机关注销；如发生人员和车辆通行证遗失的，应在第一时间向甲方报告；持证车辆重新调配或报废的，应及时将通行证交由甲方申报注销。上述环节因乙方管理不力发生问题的，乙方应承担由此引发的一切后果和责任。</w:t>
      </w:r>
    </w:p>
    <w:p>
      <w:pPr>
        <w:pStyle w:val="18"/>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32、距运行中的控制区围界5米内严禁堆放材料、设施和停放车辆、机具。临近控制区一侧施工围栏必须做到符合高度要求，牢固可靠。施工期间，属于机场不停航施工或需进入机场控制区施工的，安全员必须坚守岗位并加强巡查和管理，同时加强对施工人员的空防安全教育，杜绝施工人员攀爬、翻越、跨越隔离围栏及其他安全防护设施和向控制区内传递物品等影响机场运行、空防安全的事件。</w:t>
      </w:r>
    </w:p>
    <w:p>
      <w:pPr>
        <w:pStyle w:val="18"/>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（三）不停航施工安全管理（仅指进入控制区从事不停航施工项目）</w:t>
      </w:r>
    </w:p>
    <w:p>
      <w:pPr>
        <w:pStyle w:val="18"/>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不停航施工是指在机场不关闭并按照航班计划接受和放行航空器的情况下，在飞行区、部分航站区内实施工程作业。不停航施工的项目单位，必须严格遵守《民用机场运行安全管理规定》（191号令），严格按照甲方制定的有关《不停航施工组织管理方案》进行施工，主要包括但不限于以下内容：</w:t>
      </w:r>
    </w:p>
    <w:p>
      <w:pPr>
        <w:pStyle w:val="18"/>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33.1在机场有飞行任务期间，禁止在跑道端之外300米以内、跑道中心线两侧60米以内的区域进行任何施工作业。如乙方需在跑道端300米以外、跑道中心线两侧60米以外区域施工的，机具、车辆的高度不得穿透障碍物限制面。除特别批准外，在滑行道、机坪道面边线以外施工的，应当与道（坪）边线保持7.5米加上本机场使用最大机型翼展宽度0.5倍的距离。</w:t>
      </w:r>
    </w:p>
    <w:p>
      <w:pPr>
        <w:pStyle w:val="18"/>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33.2实行不停航施工的区域，开挖的明沟和施工材料堆放处，必须根据甲方要求用桔黄色小旗标识以示警告；在低能见度的白天和夜间，应当按照甲方要求加设红色恒定灯光；材料和临时堆放的施工垃圾应当采取防止被风或飞机尾流吹散的措施。</w:t>
      </w:r>
    </w:p>
    <w:p>
      <w:pPr>
        <w:pStyle w:val="18"/>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33.3施工机具须停放在指定安全区域内。机场开放运行期间，必须严格控制施工机械的活动范围，杜绝出现机具、车辆侵入飞行活动区或超越机场净空限制面等情况。</w:t>
      </w:r>
    </w:p>
    <w:p>
      <w:pPr>
        <w:pStyle w:val="18"/>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（四）社会治安管理</w:t>
      </w:r>
    </w:p>
    <w:p>
      <w:pPr>
        <w:pStyle w:val="18"/>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34、遵守国家治安管理法律法规和甲方制定的各项社会治安综合治理管理规定，建立社会治安综合治理网络并纳入甲方社会治安综合治理网络体系，配备专职（兼职）综治联络员，负责治安、交通、消防、帮教、计生等综合治理工作，建立和健全群防群治力量及各项治安保卫制度，治安联络员名单和有关制度要报甲方和机场公安机关治安管理部门备案。</w:t>
      </w:r>
    </w:p>
    <w:p>
      <w:pPr>
        <w:pStyle w:val="18"/>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35、进出口大门应设立门卫，人员和车辆凭甲方制发的施工通行证进出，并接受甲方安保人员或机场公安管理人员查验。</w:t>
      </w:r>
    </w:p>
    <w:p>
      <w:pPr>
        <w:pStyle w:val="18"/>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36、做好内部的治安防范工作，对重要部位和物资、设备，要落实人防、物防和技防的措施，积极配合公安机关组织的治安联防活动。</w:t>
      </w:r>
    </w:p>
    <w:p>
      <w:pPr>
        <w:pStyle w:val="18"/>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37、加强对施工人员的遵纪守法教育，预防“黄、毒、赌”、斗殴、偷窃等违法违纪行为的发生，主动接受甲方和机场公安机关的指导、检查、监督、考核。</w:t>
      </w:r>
    </w:p>
    <w:p>
      <w:pPr>
        <w:pStyle w:val="18"/>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38、认真排查、调处各类矛盾，及时消除不稳定因素，杜绝各类社会矛盾引发的群体性事件的发生。</w:t>
      </w:r>
    </w:p>
    <w:p>
      <w:pPr>
        <w:pStyle w:val="18"/>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39、制定包括重大安全生产事故、重大道路交通事故、重大消防安全事故、重大刑事案件以及群体性事件等突发性事件在内的应急处置预案，一旦发生，及时报告甲方和上级主管部门并做好处置工作。</w:t>
      </w:r>
    </w:p>
    <w:p>
      <w:pPr>
        <w:pStyle w:val="18"/>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40、员工宿舍必须定人定位，不得男女混住，不准留宿身份不明的人员，留客住宿必须经项目部负责人同意，并登记备查，保证生产、生活区的安全。    </w:t>
      </w:r>
    </w:p>
    <w:p>
      <w:pPr>
        <w:pStyle w:val="18"/>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41、加强对施工人员的管理，外来人员拟居住30天以下的，应及时到机场公安机关申报暂住登记；拟居住30天以上的年满16周岁人员，应在10天内到机场公安机关申领《居住证》。</w:t>
      </w:r>
    </w:p>
    <w:p>
      <w:pPr>
        <w:pStyle w:val="18"/>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42、负责工程建设期间施工队伍中的计划生育工作，做好孕情监测，确保无计划外生育的情况发生。</w:t>
      </w:r>
    </w:p>
    <w:p>
      <w:pPr>
        <w:pStyle w:val="18"/>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（五）消防安全管理</w:t>
      </w:r>
    </w:p>
    <w:p>
      <w:pPr>
        <w:pStyle w:val="18"/>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43、遵守国家消防法律法规，建立和健全消防管理规章制度，明确消防安全责任人，健全消防安全网络（配备专职或兼职消防员），建立消防应急队伍，并报甲方和机场公安局消防部门备案。</w:t>
      </w:r>
    </w:p>
    <w:p>
      <w:pPr>
        <w:pStyle w:val="18"/>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44、 制定用火、用电、使用易燃易爆及危险化学物品等各项消防安全操作规程，设置消防通道、消防水源、配备必须的消防设备和灭火器材，并在重点场所重点部位设置消防警示标志。</w:t>
      </w:r>
    </w:p>
    <w:p>
      <w:pPr>
        <w:pStyle w:val="18"/>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45、施工中使用明火，使用电、气进行焊接和切割作业，须经机场公安消防管理部门审查批准，并在施工现场设置专门的防火监护人、接火盆、配足有效的灭火器材、清理附近的可燃物等。</w:t>
      </w:r>
    </w:p>
    <w:p>
      <w:pPr>
        <w:pStyle w:val="18"/>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46、对施工人员进行消防安全教育，使其熟悉本岗位防火措施、遇险报警、初期扑救及自救逃生的知识和技能。</w:t>
      </w:r>
    </w:p>
    <w:p>
      <w:pPr>
        <w:pStyle w:val="18"/>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47、自行搭建临时用房应符合防火设计规范，建立、健全员工宿舍消防安全管理规章制度，加强员工宿舍消防安全、用电安全管理，严禁不按规定用火和私拉乱接电线、严禁使用大功率电器。</w:t>
      </w:r>
    </w:p>
    <w:p>
      <w:pPr>
        <w:pStyle w:val="18"/>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（六）交通安全管理</w:t>
      </w:r>
    </w:p>
    <w:p>
      <w:pPr>
        <w:pStyle w:val="18"/>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48、加强对下属员工、驾驶人员、承运单位的道路交通安全法律法规宣传教育，车辆进出机场和施工场地均应服从交警及其他交通管理人员的指挥和管理。</w:t>
      </w:r>
    </w:p>
    <w:p>
      <w:pPr>
        <w:pStyle w:val="18"/>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49、与承运单位或驾驶员签订《交通安全责任书》，并实行交通安全检查考核制度，配备交通安全联络员，对运输车辆驾驶员和施工人员进行交通安全教育并做好教育台帐，减少或控制交通违法行为的发生。</w:t>
      </w:r>
    </w:p>
    <w:p>
      <w:pPr>
        <w:pStyle w:val="18"/>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50、确保各类运输车辆技术状况良好，不得使用假牌、假证、无号牌、无行驶证、无保险和带故障、检验不合格的运输车辆。</w:t>
      </w:r>
    </w:p>
    <w:p>
      <w:pPr>
        <w:pStyle w:val="18"/>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51、所有运输车辆均应办理施工通行证并按指定路线和限定速度行驶，不得违反车辆装载规定，严禁沿路抛洒装载物。进入控制区施工车辆应安装并开启黄色警示灯。</w:t>
      </w:r>
    </w:p>
    <w:p>
      <w:pPr>
        <w:pStyle w:val="18"/>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52、在施工现场内及进、出口处设置必要的交通标志，预防交通事故的发生。</w:t>
      </w:r>
    </w:p>
    <w:p>
      <w:pPr>
        <w:pStyle w:val="18"/>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53、占用、挖掘道路，跨越道路架设、铺设管线以及大型机械进出机场须提前与甲方协商，征得甲方和机场公安局交警队同意，并采取防护措施和设置明显警示标志方可实施。</w:t>
      </w:r>
    </w:p>
    <w:p>
      <w:pPr>
        <w:pStyle w:val="18"/>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四、违约责任</w:t>
      </w:r>
    </w:p>
    <w:p>
      <w:pPr>
        <w:pStyle w:val="18"/>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54、本《安全文明施工协议书》是工程施工合同的重要组成部分，协议双方必须严格遵守和履行，如有违反，甲方可以追究乙方责任；乙方违约情况严重，或是社会影响恶劣，又或是造成甲方或第三方重大损失，甲方可解除施工合同且不须向乙方承担任何补偿、赔偿的责任。</w:t>
      </w:r>
    </w:p>
    <w:p>
      <w:pPr>
        <w:pStyle w:val="18"/>
        <w:keepNext w:val="0"/>
        <w:keepLines w:val="0"/>
        <w:pageBreakBefore w:val="0"/>
        <w:widowControl w:val="0"/>
        <w:kinsoku/>
        <w:wordWrap/>
        <w:overflowPunct/>
        <w:topLinePunct w:val="0"/>
        <w:autoSpaceDE/>
        <w:autoSpaceDN/>
        <w:bidi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55、乙方在生产施工中一旦发生责任事故造成甲方或第三方损害而未予赔偿的，甲方有权直接从应付工程款中扣除或支付赔偿费用，如甲方的损失超过应付工程款的，甲方有权向乙方追偿实际损失。乙方违反安全文明施工管理、空防安全管理、不停航施工安全管理、社会治安管理、消防安全管理或交通安全管理条款的并造成甲方损失的，甲方有权要求乙方承担损失赔偿责任。若导致甲方遭受第三方的索赔，则甲方有权要求乙方承担该等赔偿责任。</w:t>
      </w:r>
    </w:p>
    <w:p>
      <w:pPr>
        <w:pStyle w:val="18"/>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56、乙方未尽本协议应尽义务，致使民工或下属劳务单位（或施工班组）无序维权事件发生的，甲方可按争议金额暂扣乙方部分工程款，作为该事件的应急使用款。最终根据该争议仲裁、判决或协商结果，从乙方工程款中直接扣除。</w:t>
      </w:r>
    </w:p>
    <w:p>
      <w:pPr>
        <w:pStyle w:val="18"/>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乙方未尽本协应尽义务，致使民工采取堵路、封门、冲关、静坐、上访、私贴标语、殴打他人、损毁财物、扰乱秩序、绝食、自焚、自杀等方式维权的，乙方应当承担全部经济损失及赔偿责任，给甲方造成损失的，除赔偿甲方的全部损失外，乙方应对甲方承担违约责任：每发生事件一次支付违约金人民币一万元，在事件中每受伤一人支付违约金人民币五万元，每死亡一人支付违约金人民币一百万元，该笔款项甲方有权从工程款中直接扣除，不足抵扣部分由乙方及时补足。乙方构成本项违约的事实，以公安部门的接处警记录或实际损害结果的发生为准。</w:t>
      </w:r>
    </w:p>
    <w:p>
      <w:pPr>
        <w:pStyle w:val="18"/>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57、乙方确认本协议约定的违约金、罚款或赔偿金标准合理，乙方同意受甲方依据本协议书所制定的具体违约金、罚款或赔偿金标准的约束，乙方确认其已明白无误地了解该等具体的扣罚标准，乙方承担了该等违约金、罚款和/或赔偿金并不免除其应按合同约定予以全面履行的义务和责任。</w:t>
      </w:r>
    </w:p>
    <w:p>
      <w:pPr>
        <w:pStyle w:val="18"/>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五、本协议书附于《</w:t>
      </w:r>
      <w:r>
        <w:rPr>
          <w:rFonts w:hint="eastAsia" w:ascii="仿宋_GB2312" w:hAnsi="仿宋_GB2312" w:eastAsia="仿宋_GB2312" w:cs="仿宋_GB2312"/>
          <w:sz w:val="28"/>
          <w:szCs w:val="28"/>
          <w:u w:val="single"/>
          <w:lang w:val="en-US" w:eastAsia="zh-CN"/>
        </w:rPr>
        <w:t>杭州萧山国际机场</w:t>
      </w:r>
      <w:r>
        <w:rPr>
          <w:rFonts w:hint="eastAsia" w:ascii="仿宋_GB2312" w:hAnsi="仿宋_GB2312" w:eastAsia="仿宋_GB2312" w:cs="仿宋_GB2312"/>
          <w:sz w:val="28"/>
          <w:szCs w:val="28"/>
          <w:u w:val="single"/>
        </w:rPr>
        <w:t>T3航站楼值机岛开包间</w:t>
      </w:r>
      <w:r>
        <w:rPr>
          <w:rFonts w:hint="eastAsia" w:ascii="仿宋_GB2312" w:hAnsi="仿宋_GB2312" w:eastAsia="仿宋_GB2312" w:cs="仿宋_GB2312"/>
          <w:sz w:val="28"/>
          <w:szCs w:val="28"/>
          <w:u w:val="single"/>
          <w:lang w:eastAsia="zh-CN"/>
        </w:rPr>
        <w:t>后端增加隔断项目</w:t>
      </w:r>
      <w:r>
        <w:rPr>
          <w:rFonts w:hint="eastAsia" w:ascii="仿宋_GB2312" w:hAnsi="仿宋_GB2312" w:eastAsia="仿宋_GB2312" w:cs="仿宋_GB2312"/>
          <w:sz w:val="28"/>
          <w:szCs w:val="28"/>
        </w:rPr>
        <w:t>施工合同》后，本协议书自甲方、乙方共同盖章后生效。</w:t>
      </w:r>
    </w:p>
    <w:p>
      <w:pPr>
        <w:pStyle w:val="18"/>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p>
    <w:p>
      <w:pPr>
        <w:pStyle w:val="18"/>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p>
    <w:p>
      <w:pPr>
        <w:pStyle w:val="18"/>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甲方（盖章）：                 乙方（盖章）：</w:t>
      </w:r>
    </w:p>
    <w:p>
      <w:pPr>
        <w:spacing w:before="312" w:beforeLines="100" w:line="300" w:lineRule="auto"/>
        <w:rPr>
          <w:rFonts w:ascii="Times New Roman" w:hAnsi="Times New Roman"/>
          <w:sz w:val="23"/>
          <w:szCs w:val="23"/>
        </w:rPr>
      </w:pPr>
    </w:p>
    <w:p>
      <w:pPr>
        <w:widowControl/>
        <w:jc w:val="left"/>
        <w:rPr>
          <w:rFonts w:ascii="Times New Roman" w:hAnsi="Times New Roman" w:eastAsiaTheme="minorEastAsia"/>
          <w:sz w:val="23"/>
          <w:szCs w:val="23"/>
        </w:rPr>
      </w:pPr>
    </w:p>
    <w:p>
      <w:pPr>
        <w:widowControl/>
        <w:jc w:val="left"/>
        <w:rPr>
          <w:rFonts w:ascii="Times New Roman" w:hAnsi="Times New Roman" w:eastAsiaTheme="minorEastAsia"/>
          <w:sz w:val="23"/>
          <w:szCs w:val="23"/>
        </w:rPr>
      </w:pPr>
      <w:r>
        <w:rPr>
          <w:rFonts w:ascii="Times New Roman" w:hAnsi="Times New Roman" w:eastAsiaTheme="minorEastAsia"/>
          <w:sz w:val="23"/>
          <w:szCs w:val="23"/>
        </w:rPr>
        <w:br w:type="page"/>
      </w:r>
    </w:p>
    <w:p>
      <w:pPr>
        <w:keepNext w:val="0"/>
        <w:keepLines w:val="0"/>
        <w:pageBreakBefore/>
        <w:widowControl w:val="0"/>
        <w:kinsoku/>
        <w:wordWrap/>
        <w:overflowPunct/>
        <w:topLinePunct w:val="0"/>
        <w:autoSpaceDE/>
        <w:autoSpaceDN/>
        <w:bidi w:val="0"/>
        <w:adjustRightInd/>
        <w:snapToGrid/>
        <w:spacing w:line="560" w:lineRule="exact"/>
        <w:ind w:left="0" w:leftChars="0" w:right="0" w:rightChars="0" w:firstLine="0" w:firstLineChars="0"/>
        <w:jc w:val="left"/>
        <w:textAlignment w:val="auto"/>
        <w:outlineLvl w:val="9"/>
        <w:rPr>
          <w:rFonts w:hint="eastAsia" w:ascii="黑体" w:hAnsi="黑体" w:eastAsia="黑体" w:cs="黑体"/>
          <w:sz w:val="32"/>
          <w:szCs w:val="32"/>
        </w:rPr>
      </w:pPr>
      <w:bookmarkStart w:id="16" w:name="_Hlk126741364"/>
      <w:r>
        <w:rPr>
          <w:rFonts w:hint="eastAsia" w:ascii="黑体" w:hAnsi="黑体" w:eastAsia="黑体" w:cs="黑体"/>
          <w:sz w:val="32"/>
          <w:szCs w:val="32"/>
        </w:rPr>
        <w:t>附件</w:t>
      </w:r>
      <w:r>
        <w:rPr>
          <w:rFonts w:hint="eastAsia" w:ascii="黑体" w:hAnsi="黑体" w:eastAsia="黑体" w:cs="黑体"/>
          <w:sz w:val="32"/>
          <w:szCs w:val="32"/>
          <w:lang w:val="en-US" w:eastAsia="zh-CN"/>
        </w:rPr>
        <w:t>2</w:t>
      </w:r>
      <w:r>
        <w:rPr>
          <w:rFonts w:hint="eastAsia" w:ascii="黑体" w:hAnsi="黑体" w:eastAsia="黑体" w:cs="黑体"/>
          <w:sz w:val="32"/>
          <w:szCs w:val="32"/>
        </w:rPr>
        <w:t>附件</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center"/>
        <w:textAlignment w:val="auto"/>
        <w:outlineLvl w:val="9"/>
        <w:rPr>
          <w:rFonts w:hint="eastAsia" w:ascii="黑体" w:hAnsi="黑体" w:eastAsia="黑体" w:cs="黑体"/>
          <w:b w:val="0"/>
          <w:bCs/>
          <w:color w:val="auto"/>
          <w:sz w:val="28"/>
          <w:szCs w:val="28"/>
          <w:highlight w:val="none"/>
        </w:rPr>
      </w:pPr>
      <w:r>
        <w:rPr>
          <w:rFonts w:hint="eastAsia" w:ascii="黑体" w:hAnsi="黑体" w:eastAsia="黑体" w:cs="黑体"/>
          <w:b w:val="0"/>
          <w:bCs/>
          <w:color w:val="auto"/>
          <w:sz w:val="28"/>
          <w:szCs w:val="28"/>
          <w:highlight w:val="none"/>
        </w:rPr>
        <w:t>杭州萧山国际机场基建项目安全文明施工考核办法</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为了加强机场基建项目安全文明施工管理，保障机场安全有序运行，保证工程项目安全顺利建成。根据国家相关法律、法规和安全生产规范、规程、标准及与施工项目部签订的《杭州萧山国际机场安全文明施工协议书》，制定本考核办法。</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562" w:firstLineChars="200"/>
        <w:jc w:val="both"/>
        <w:textAlignment w:val="auto"/>
        <w:outlineLvl w:val="9"/>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一、考核原则</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一）预先通知原则。动力部（包括临时成立的检查小组）对于发现的安全问题隐患，首先开具《安全隐患整改通知书》（以下简称“整改通知书”，附后），施工项目部接到《整改通知书》后在指定期限内未整改到位的，按照本考核办法予以收取违约金，未预先书面通知的不予收取违约金。</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二）奖励与收取违约金相结合原则。通过考核与评比，在杭州萧山国际机场有限公司或动力部组织的各类检查评比中，获得好评的的施工项目部将按照相关规定予以奖励；对违反国家相关法律、法规和安全生产规范、规程、标准及《杭州萧山国际机场安全文明施工协议书》的，将严格按照本考核办法扣罚。</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三）考核与结算相结合原则。动力部（包括临时成立的检查小组）对其查出的安全问题隐患，经通知仍未整改的，开具《安全文明施工工作联系单》（以下简称“联系单”，附后）督促跟踪整改，并做好备案记录，一并于项目竣工后结算。</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（四）考核与经济利益直接挂钩原则。以《安全文明施工工作联系单》确认的奖惩数额为准。</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562" w:firstLineChars="200"/>
        <w:jc w:val="both"/>
        <w:textAlignment w:val="auto"/>
        <w:outlineLvl w:val="9"/>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二、适用范围</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本考核办法适用于参与杭州萧山国际机场基本建设的各施工单位。与总包单位签订分包合同的分包单位纳入对总包单位的考核，不作为被考核主体。</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562" w:firstLineChars="200"/>
        <w:jc w:val="both"/>
        <w:textAlignment w:val="auto"/>
        <w:outlineLvl w:val="9"/>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三、考核程序</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一）《整改通知书》的开具和签发。日常安全检查中发现施工项目部有违反国家相关法律、法规和安全生产规范、规程、标准及《杭州萧山国际机场安全文明施工协议书》行为的，由检查人员开具《整改通知书》，内容包括存在的安全隐患、整改建议和整改时限，经责任施工项目部或责任监理项目部签章后由检查人员签字、检查部门签章后生效。《整改通知书》一式三份，检查人员、责任施工项目部、责任监理项目部各持一份。</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二）安全问题隐患的整改。施工项目部收到《整改通知书》后，应在指定的整改期限内将整改内容、措施逐一落实；确因客观因素或特殊原因无法按期整改到位的，项目部须以书面形式说明原因和明确后续整改期限，经监理部签署意见后报《整改通知书》签发人，经同意并签字后方可推迟整改期限，附在《整改通知书》后。</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三）《安全文明施工工作联系单》的开具和签发。《整改通知书》签发人会同责任施工、监理项目部人员按整改期限对安全问题隐患整改落实情况进行复查，对未整改落实的安全问题隐患由复查人员对照《杭州萧山国际机场基本建设安全文明施工违约金标准》（以下简称“违约金标准”，附后）开具《安全文明施工工作联系单》，内容包括整改通知书编号、违约金通知单编号和未按要求整改内容描述以及违约金额度，经责任施工或监理项目部签章后，由检查人员签字，检查部门盖章后签发。《安全文明施工工作联系单》一式四份，签发人、责任施工项目部、责任监理项目部各持一份，报动力部一份。</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（四）考核最终汇总兑现。各施工项目工程结束后由动力部计算出累计收取违约金总数，从工程进度款中扣除。</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562" w:firstLineChars="200"/>
        <w:jc w:val="both"/>
        <w:textAlignment w:val="auto"/>
        <w:outlineLvl w:val="9"/>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四、其它</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（一）施工项目部突破《杭州萧山国际机场安全文明施工协议书》安全控制目标内容之一的，不属于本办法考核范围，由动力部依据有关规定直接收取违约金。</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（二）《违约金标准》中所称的“协议”是指杭州萧山国际机场有限公司与施工项目部签订的《杭州萧山国际机场安全文明施工协议书》及各种协议文件；“建标”是指《建筑施工安全检查标准》（JGJ59-2011）。</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（三）施工项目部收到《安全文明施工工作联系单》后，在指定期限内仍未整改到位，加倍收取违约金直至整改到位为止。</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（四）本考核办法未作规定，但已违反国家相关法律、法规和安全生产规范、规程、标准及《杭州萧山国际机场安全文明施工协议书》的行为，由动力部参照《违约金标准》相关规定收取违约金。</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0" w:firstLineChars="0"/>
        <w:jc w:val="center"/>
        <w:textAlignment w:val="auto"/>
        <w:outlineLvl w:val="9"/>
        <w:rPr>
          <w:rFonts w:hint="eastAsia" w:ascii="黑体" w:hAnsi="黑体" w:eastAsia="黑体" w:cs="黑体"/>
          <w:color w:val="auto"/>
          <w:sz w:val="28"/>
          <w:szCs w:val="28"/>
          <w:highlight w:val="none"/>
        </w:rPr>
      </w:pPr>
      <w:r>
        <w:rPr>
          <w:rFonts w:hint="eastAsia" w:ascii="仿宋_GB2312" w:hAnsi="仿宋_GB2312" w:eastAsia="仿宋_GB2312" w:cs="仿宋_GB2312"/>
          <w:color w:val="auto"/>
          <w:sz w:val="22"/>
          <w:szCs w:val="22"/>
          <w:highlight w:val="none"/>
        </w:rPr>
        <w:br w:type="page"/>
      </w:r>
      <w:r>
        <w:rPr>
          <w:rFonts w:hint="eastAsia" w:ascii="黑体" w:hAnsi="黑体" w:eastAsia="黑体" w:cs="黑体"/>
          <w:color w:val="auto"/>
          <w:sz w:val="28"/>
          <w:szCs w:val="28"/>
          <w:highlight w:val="none"/>
        </w:rPr>
        <w:t>基建项目安全文明施工违约金标准</w:t>
      </w:r>
    </w:p>
    <w:p>
      <w:pPr>
        <w:widowControl/>
        <w:adjustRightInd w:val="0"/>
        <w:snapToGrid w:val="0"/>
        <w:spacing w:line="360" w:lineRule="exact"/>
        <w:ind w:firstLine="440" w:firstLineChars="200"/>
        <w:rPr>
          <w:rFonts w:hint="eastAsia" w:ascii="仿宋_GB2312" w:hAnsi="仿宋_GB2312" w:eastAsia="仿宋_GB2312" w:cs="仿宋_GB2312"/>
          <w:color w:val="auto"/>
          <w:sz w:val="22"/>
          <w:szCs w:val="22"/>
          <w:highlight w:val="none"/>
        </w:rPr>
      </w:pPr>
    </w:p>
    <w:tbl>
      <w:tblPr>
        <w:tblStyle w:val="14"/>
        <w:tblW w:w="10720" w:type="dxa"/>
        <w:jc w:val="center"/>
        <w:tblLayout w:type="fixed"/>
        <w:tblCellMar>
          <w:top w:w="0" w:type="dxa"/>
          <w:left w:w="0" w:type="dxa"/>
          <w:bottom w:w="0" w:type="dxa"/>
          <w:right w:w="0" w:type="dxa"/>
        </w:tblCellMar>
      </w:tblPr>
      <w:tblGrid>
        <w:gridCol w:w="1162"/>
        <w:gridCol w:w="7013"/>
        <w:gridCol w:w="855"/>
        <w:gridCol w:w="1690"/>
      </w:tblGrid>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序列号</w:t>
            </w:r>
          </w:p>
        </w:tc>
        <w:tc>
          <w:tcPr>
            <w:tcW w:w="70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内       容</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依据</w:t>
            </w:r>
          </w:p>
        </w:tc>
        <w:tc>
          <w:tcPr>
            <w:tcW w:w="16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扣分标准</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p>
        </w:tc>
        <w:tc>
          <w:tcPr>
            <w:tcW w:w="70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不停航施工</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p>
        </w:tc>
        <w:tc>
          <w:tcPr>
            <w:tcW w:w="16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w:t>
            </w:r>
          </w:p>
        </w:tc>
        <w:tc>
          <w:tcPr>
            <w:tcW w:w="70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未按照杭州国际机场不停航施工组织方案、安全保障措施进行施工作业影响机场正常运行或造成不安全事件的</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方案</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20000元/次</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w:t>
            </w:r>
          </w:p>
        </w:tc>
        <w:tc>
          <w:tcPr>
            <w:tcW w:w="70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无故不参加各类不停航施工例会、专题会议的</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1000元/次</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1.3</w:t>
            </w:r>
          </w:p>
        </w:tc>
        <w:tc>
          <w:tcPr>
            <w:tcW w:w="70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未对施工人员进行空防安全和运行安全教育培训或教育培训无台帐记录的</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方案</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100元/人</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1.4</w:t>
            </w:r>
          </w:p>
        </w:tc>
        <w:tc>
          <w:tcPr>
            <w:tcW w:w="70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施工进场前未对施工人员进行安全教育或交底的</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100元/次</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1.5</w:t>
            </w:r>
          </w:p>
        </w:tc>
        <w:tc>
          <w:tcPr>
            <w:tcW w:w="70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管理人员擅离岗位、未实施全程监管或未有效履行安全管理职责的</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方案</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1000元/次</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1.6</w:t>
            </w:r>
          </w:p>
        </w:tc>
        <w:tc>
          <w:tcPr>
            <w:tcW w:w="70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现场不服从机场或动力部现场管理人员指挥、管理的</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1000元/次</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1.7</w:t>
            </w:r>
          </w:p>
        </w:tc>
        <w:tc>
          <w:tcPr>
            <w:tcW w:w="70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未按规定设置或撤除关闭标志、警戒围栏、警示灯具的</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方案</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10000元/次</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1.8</w:t>
            </w:r>
          </w:p>
        </w:tc>
        <w:tc>
          <w:tcPr>
            <w:tcW w:w="70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施工人员、车辆、机具擅自侵入飞行活动区或超出净空限制面高度的</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6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20000元/次</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1.9</w:t>
            </w:r>
          </w:p>
        </w:tc>
        <w:tc>
          <w:tcPr>
            <w:tcW w:w="70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施工人员攀爬、翻越、跨越隔离围栏及其他安全防护设施或向控制区内传递物品等，尚未影响机场正常运行的</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6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1000元/次</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1.10</w:t>
            </w:r>
          </w:p>
        </w:tc>
        <w:tc>
          <w:tcPr>
            <w:tcW w:w="70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施工人员、车辆、机具擅自超越指定施工活动范围或机具不按指定区域停放的</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1000元/次</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1.11</w:t>
            </w:r>
          </w:p>
        </w:tc>
        <w:tc>
          <w:tcPr>
            <w:tcW w:w="70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距控制区围界5米内堆放材料、设备或停放车辆、机具，造成空防安全隐患的</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6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200元/处、次</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1.12</w:t>
            </w:r>
          </w:p>
        </w:tc>
        <w:tc>
          <w:tcPr>
            <w:tcW w:w="70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不按要求作业，挖破或挖断地下管线</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20000元/次</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1.13</w:t>
            </w:r>
          </w:p>
        </w:tc>
        <w:tc>
          <w:tcPr>
            <w:tcW w:w="70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未按规定对材料、临时堆放物、施工垃圾采取防风、防尾流吹散措施的</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6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500元/处、次</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1.14</w:t>
            </w:r>
          </w:p>
        </w:tc>
        <w:tc>
          <w:tcPr>
            <w:tcW w:w="70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施工现场随意丢弃生活垃圾及易漂浮物的</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6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200元/件</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1.15</w:t>
            </w:r>
          </w:p>
        </w:tc>
        <w:tc>
          <w:tcPr>
            <w:tcW w:w="70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未做到工完场清，沿线道面、施工现场遗留工具、材料、垃圾未及时清理清扫的</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1000元/次</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1.16</w:t>
            </w:r>
          </w:p>
        </w:tc>
        <w:tc>
          <w:tcPr>
            <w:tcW w:w="70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进入控制区施工的车辆存在灯光、转向、制动等机械故障和尾部无放大号的</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方案</w:t>
            </w:r>
          </w:p>
        </w:tc>
        <w:tc>
          <w:tcPr>
            <w:tcW w:w="16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100元/辆、次</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1.17</w:t>
            </w:r>
          </w:p>
        </w:tc>
        <w:tc>
          <w:tcPr>
            <w:tcW w:w="70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在控制区内行驶车辆未安装或未开启黄色警示灯的</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50元/处次</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1.18</w:t>
            </w:r>
          </w:p>
        </w:tc>
        <w:tc>
          <w:tcPr>
            <w:tcW w:w="70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控制区车辆驾驶员在控制区内有违章驾驶行为的</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500元/次</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1.19</w:t>
            </w:r>
          </w:p>
        </w:tc>
        <w:tc>
          <w:tcPr>
            <w:tcW w:w="70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无应急处置预案和机制，发生紧急情况未能及时有效处置，影响机场正常运行的</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20000元/次</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1.20</w:t>
            </w:r>
          </w:p>
        </w:tc>
        <w:tc>
          <w:tcPr>
            <w:tcW w:w="70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发生其它违反《民用机场运行安全管理规定》（191号令）和杭州萧山国际机场安全运行管理规定行为的</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方案</w:t>
            </w:r>
          </w:p>
        </w:tc>
        <w:tc>
          <w:tcPr>
            <w:tcW w:w="16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视情收取违约金</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p>
        </w:tc>
        <w:tc>
          <w:tcPr>
            <w:tcW w:w="70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空防安全</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p>
        </w:tc>
        <w:tc>
          <w:tcPr>
            <w:tcW w:w="16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2.1</w:t>
            </w:r>
          </w:p>
        </w:tc>
        <w:tc>
          <w:tcPr>
            <w:tcW w:w="70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进入控制区的人员不服从机场管理人员的管理、检查的</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100元/人、次</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2.2</w:t>
            </w:r>
          </w:p>
        </w:tc>
        <w:tc>
          <w:tcPr>
            <w:tcW w:w="70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把关不严，提供虚假证明、证件或其它相关资料申办控制区人员通行证的</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200元/次</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2.3</w:t>
            </w:r>
          </w:p>
        </w:tc>
        <w:tc>
          <w:tcPr>
            <w:tcW w:w="70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提供虚假车辆、设备证件、检验记录和保险凭证申办《车辆通行证》的</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200元/辆、次</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2.4</w:t>
            </w:r>
          </w:p>
        </w:tc>
        <w:tc>
          <w:tcPr>
            <w:tcW w:w="70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车辆证件、检验记录和保险凭证过期失效未补办后续手续，仍进入控制区施工作业的</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50元/辆、次</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2.5</w:t>
            </w:r>
          </w:p>
        </w:tc>
        <w:tc>
          <w:tcPr>
            <w:tcW w:w="70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未建立控制区通行证统一保管制度，无控制区通行证管理台帐或台帐记录不全的</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500元/次</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2.6</w:t>
            </w:r>
          </w:p>
        </w:tc>
        <w:tc>
          <w:tcPr>
            <w:tcW w:w="70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发生无证施工人员进入控制区的</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50元/人次</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2.7</w:t>
            </w:r>
          </w:p>
        </w:tc>
        <w:tc>
          <w:tcPr>
            <w:tcW w:w="70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发生施工人员转借、涂改、冒用他人通行证的</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1000元/人次</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2.8</w:t>
            </w:r>
          </w:p>
        </w:tc>
        <w:tc>
          <w:tcPr>
            <w:tcW w:w="70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人员、车辆通行证保管不善，造成丢失；或通行证遗失不及时上报的</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500元/张、次</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2.9</w:t>
            </w:r>
          </w:p>
        </w:tc>
        <w:tc>
          <w:tcPr>
            <w:tcW w:w="70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人员调离、辞退、开除，车辆重新调配，或通行证到期，证件未在规定时限内交回注销的</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200元/张、次</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2.10</w:t>
            </w:r>
          </w:p>
        </w:tc>
        <w:tc>
          <w:tcPr>
            <w:tcW w:w="70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施工队伍中有违法、犯罪人员，隐瞒不报的</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2000元/人次</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2.11</w:t>
            </w:r>
          </w:p>
        </w:tc>
        <w:tc>
          <w:tcPr>
            <w:tcW w:w="70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毗邻控制区施工，未安装沿围界监控探头或监控探头存有盲区（段），监控无专人值守或值守人员离岗脱岗的</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视情收取违约金</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2.12</w:t>
            </w:r>
          </w:p>
        </w:tc>
        <w:tc>
          <w:tcPr>
            <w:tcW w:w="70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毗邻控制区施工，沿围界未设置专门看护的固定和巡逻保安岗位、保安人员擅离岗位或保安人员未履职管理的</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1000元/人、次</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2.13</w:t>
            </w:r>
          </w:p>
        </w:tc>
        <w:tc>
          <w:tcPr>
            <w:tcW w:w="70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在机场区域内燃放烟花、爆竹，或施放气球、风筝等升空物体的</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1000元/次</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2.14</w:t>
            </w:r>
          </w:p>
        </w:tc>
        <w:tc>
          <w:tcPr>
            <w:tcW w:w="70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在机场区域内饲养猫、狗、鸡、鸭等牲畜、动物的</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200元/次</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2.15</w:t>
            </w:r>
          </w:p>
        </w:tc>
        <w:tc>
          <w:tcPr>
            <w:tcW w:w="70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其它违反民用航空安全、法律、法规和机场空防安全管理规定的</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视情收取违约金</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p>
        </w:tc>
        <w:tc>
          <w:tcPr>
            <w:tcW w:w="70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安全生产</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3.1</w:t>
            </w:r>
          </w:p>
        </w:tc>
        <w:tc>
          <w:tcPr>
            <w:tcW w:w="70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安全生产管理体制</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3.1.1</w:t>
            </w:r>
          </w:p>
        </w:tc>
        <w:tc>
          <w:tcPr>
            <w:tcW w:w="70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安全管理制度不健全，项目经理、项目技术负责人等各类管理人员（包括安全员、资料员、质控员）未按相关规定要求到位的</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5000元/项</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3.1.2</w:t>
            </w:r>
          </w:p>
        </w:tc>
        <w:tc>
          <w:tcPr>
            <w:tcW w:w="70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安全制度执行不力，无考核机制或考核制度执行不严</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500元/项</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3.1.3</w:t>
            </w:r>
          </w:p>
        </w:tc>
        <w:tc>
          <w:tcPr>
            <w:tcW w:w="70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安全责任制未建立</w:t>
            </w:r>
          </w:p>
        </w:tc>
        <w:tc>
          <w:tcPr>
            <w:tcW w:w="855"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500元/项</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3.1.4</w:t>
            </w:r>
          </w:p>
        </w:tc>
        <w:tc>
          <w:tcPr>
            <w:tcW w:w="70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安全责任制不健全，未层层签订至班组或岗位的各级安全责任书</w:t>
            </w:r>
          </w:p>
        </w:tc>
        <w:tc>
          <w:tcPr>
            <w:tcW w:w="855"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1000元/项</w:t>
            </w:r>
          </w:p>
        </w:tc>
      </w:tr>
      <w:tr>
        <w:tblPrEx>
          <w:tblCellMar>
            <w:top w:w="0" w:type="dxa"/>
            <w:left w:w="0" w:type="dxa"/>
            <w:bottom w:w="0" w:type="dxa"/>
            <w:right w:w="0" w:type="dxa"/>
          </w:tblCellMar>
        </w:tblPrEx>
        <w:trPr>
          <w:trHeight w:val="283" w:hRule="atLeast"/>
          <w:jc w:val="center"/>
        </w:trPr>
        <w:tc>
          <w:tcPr>
            <w:tcW w:w="116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3.1.5</w:t>
            </w:r>
          </w:p>
        </w:tc>
        <w:tc>
          <w:tcPr>
            <w:tcW w:w="70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各级各部门未执行责任制的</w:t>
            </w:r>
          </w:p>
        </w:tc>
        <w:tc>
          <w:tcPr>
            <w:tcW w:w="855"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500元/项</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3.1.6</w:t>
            </w:r>
          </w:p>
        </w:tc>
        <w:tc>
          <w:tcPr>
            <w:tcW w:w="70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经济承包中无安全生产、文明施工目标管理或目标管理不落实</w:t>
            </w:r>
          </w:p>
        </w:tc>
        <w:tc>
          <w:tcPr>
            <w:tcW w:w="855"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1000元/项</w:t>
            </w:r>
          </w:p>
        </w:tc>
      </w:tr>
      <w:tr>
        <w:tblPrEx>
          <w:tblCellMar>
            <w:top w:w="0" w:type="dxa"/>
            <w:left w:w="0" w:type="dxa"/>
            <w:bottom w:w="0" w:type="dxa"/>
            <w:right w:w="0" w:type="dxa"/>
          </w:tblCellMar>
        </w:tblPrEx>
        <w:trPr>
          <w:trHeight w:val="283" w:hRule="atLeast"/>
          <w:jc w:val="center"/>
        </w:trPr>
        <w:tc>
          <w:tcPr>
            <w:tcW w:w="116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3.1.7</w:t>
            </w:r>
          </w:p>
        </w:tc>
        <w:tc>
          <w:tcPr>
            <w:tcW w:w="70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未制定各工种安全技术操作规程的</w:t>
            </w:r>
          </w:p>
        </w:tc>
        <w:tc>
          <w:tcPr>
            <w:tcW w:w="855"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500元/项</w:t>
            </w:r>
          </w:p>
        </w:tc>
      </w:tr>
      <w:tr>
        <w:tblPrEx>
          <w:tblCellMar>
            <w:top w:w="0" w:type="dxa"/>
            <w:left w:w="0" w:type="dxa"/>
            <w:bottom w:w="0" w:type="dxa"/>
            <w:right w:w="0" w:type="dxa"/>
          </w:tblCellMar>
        </w:tblPrEx>
        <w:trPr>
          <w:trHeight w:val="283" w:hRule="atLeast"/>
          <w:jc w:val="center"/>
        </w:trPr>
        <w:tc>
          <w:tcPr>
            <w:tcW w:w="116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3.1.8</w:t>
            </w:r>
          </w:p>
        </w:tc>
        <w:tc>
          <w:tcPr>
            <w:tcW w:w="70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专（兼）职安全员不按规定如数到位的</w:t>
            </w:r>
          </w:p>
        </w:tc>
        <w:tc>
          <w:tcPr>
            <w:tcW w:w="855"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500元/人</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3.1.9</w:t>
            </w:r>
          </w:p>
        </w:tc>
        <w:tc>
          <w:tcPr>
            <w:tcW w:w="70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单位内部安全网络未建立或不健全</w:t>
            </w:r>
          </w:p>
        </w:tc>
        <w:tc>
          <w:tcPr>
            <w:tcW w:w="855"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300元/次</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3.1.10</w:t>
            </w:r>
          </w:p>
        </w:tc>
        <w:tc>
          <w:tcPr>
            <w:tcW w:w="70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拒绝或拖延加入基建安全网络</w:t>
            </w:r>
          </w:p>
        </w:tc>
        <w:tc>
          <w:tcPr>
            <w:tcW w:w="855"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200元/次</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3.1.11</w:t>
            </w:r>
          </w:p>
        </w:tc>
        <w:tc>
          <w:tcPr>
            <w:tcW w:w="70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无故不参加动力部组织的各种安全会议、网络活动</w:t>
            </w:r>
          </w:p>
        </w:tc>
        <w:tc>
          <w:tcPr>
            <w:tcW w:w="855"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200元/次</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3.1.12</w:t>
            </w:r>
          </w:p>
        </w:tc>
        <w:tc>
          <w:tcPr>
            <w:tcW w:w="70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不按规定开展各级、各类安全教育培训，未按规定设置民工学校</w:t>
            </w:r>
          </w:p>
        </w:tc>
        <w:tc>
          <w:tcPr>
            <w:tcW w:w="855"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500元/次</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3.1.13</w:t>
            </w:r>
          </w:p>
        </w:tc>
        <w:tc>
          <w:tcPr>
            <w:tcW w:w="70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对施工人员无安全教育或安全教育无针对性</w:t>
            </w:r>
          </w:p>
        </w:tc>
        <w:tc>
          <w:tcPr>
            <w:tcW w:w="855"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200元/次</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3.1.14</w:t>
            </w:r>
          </w:p>
        </w:tc>
        <w:tc>
          <w:tcPr>
            <w:tcW w:w="70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无日常安全检查、定期安全检查、专项安全检查记录或记录不全</w:t>
            </w:r>
          </w:p>
        </w:tc>
        <w:tc>
          <w:tcPr>
            <w:tcW w:w="855"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100元/次</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3.1.15</w:t>
            </w:r>
          </w:p>
        </w:tc>
        <w:tc>
          <w:tcPr>
            <w:tcW w:w="70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无安全管理台账或安全管理台账缺失不全</w:t>
            </w:r>
          </w:p>
        </w:tc>
        <w:tc>
          <w:tcPr>
            <w:tcW w:w="855"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2000元/次</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3.1.16</w:t>
            </w:r>
          </w:p>
        </w:tc>
        <w:tc>
          <w:tcPr>
            <w:tcW w:w="70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对查出的隐患整改做不到定人、定时间、定措施进行整改落实的</w:t>
            </w:r>
          </w:p>
        </w:tc>
        <w:tc>
          <w:tcPr>
            <w:tcW w:w="855"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1000元/次</w:t>
            </w:r>
          </w:p>
        </w:tc>
      </w:tr>
      <w:tr>
        <w:tblPrEx>
          <w:tblCellMar>
            <w:top w:w="0" w:type="dxa"/>
            <w:left w:w="0" w:type="dxa"/>
            <w:bottom w:w="0" w:type="dxa"/>
            <w:right w:w="0" w:type="dxa"/>
          </w:tblCellMar>
        </w:tblPrEx>
        <w:trPr>
          <w:trHeight w:val="283" w:hRule="atLeast"/>
          <w:jc w:val="center"/>
        </w:trPr>
        <w:tc>
          <w:tcPr>
            <w:tcW w:w="116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3.1.17</w:t>
            </w:r>
          </w:p>
        </w:tc>
        <w:tc>
          <w:tcPr>
            <w:tcW w:w="70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对隐患整改通知书所列项目未如期整改完成的</w:t>
            </w:r>
          </w:p>
        </w:tc>
        <w:tc>
          <w:tcPr>
            <w:tcW w:w="855"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1000元/张</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3.2</w:t>
            </w:r>
          </w:p>
        </w:tc>
        <w:tc>
          <w:tcPr>
            <w:tcW w:w="70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施工组织</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3.2.1</w:t>
            </w:r>
          </w:p>
        </w:tc>
        <w:tc>
          <w:tcPr>
            <w:tcW w:w="70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无施工组织设计或施工组织设计未经审批的</w:t>
            </w:r>
          </w:p>
        </w:tc>
        <w:tc>
          <w:tcPr>
            <w:tcW w:w="855"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10000元/次</w:t>
            </w:r>
          </w:p>
        </w:tc>
      </w:tr>
      <w:tr>
        <w:tblPrEx>
          <w:tblCellMar>
            <w:top w:w="0" w:type="dxa"/>
            <w:left w:w="0" w:type="dxa"/>
            <w:bottom w:w="0" w:type="dxa"/>
            <w:right w:w="0" w:type="dxa"/>
          </w:tblCellMar>
        </w:tblPrEx>
        <w:trPr>
          <w:trHeight w:val="283" w:hRule="atLeast"/>
          <w:jc w:val="center"/>
        </w:trPr>
        <w:tc>
          <w:tcPr>
            <w:tcW w:w="116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3.2.2</w:t>
            </w:r>
          </w:p>
        </w:tc>
        <w:tc>
          <w:tcPr>
            <w:tcW w:w="70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施工组织设计中无安全措施或安全措施不全面、无针对性</w:t>
            </w:r>
          </w:p>
        </w:tc>
        <w:tc>
          <w:tcPr>
            <w:tcW w:w="855"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500元/次</w:t>
            </w:r>
          </w:p>
        </w:tc>
      </w:tr>
      <w:tr>
        <w:tblPrEx>
          <w:tblCellMar>
            <w:top w:w="0" w:type="dxa"/>
            <w:left w:w="0" w:type="dxa"/>
            <w:bottom w:w="0" w:type="dxa"/>
            <w:right w:w="0" w:type="dxa"/>
          </w:tblCellMar>
        </w:tblPrEx>
        <w:trPr>
          <w:trHeight w:val="283" w:hRule="atLeast"/>
          <w:jc w:val="center"/>
        </w:trPr>
        <w:tc>
          <w:tcPr>
            <w:tcW w:w="116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3.2.3</w:t>
            </w:r>
          </w:p>
        </w:tc>
        <w:tc>
          <w:tcPr>
            <w:tcW w:w="70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专业性较强、危险性较大的项目，未单独编制专项安全施工组织设计、未制定专项施工方案或未经过专家论证的</w:t>
            </w:r>
          </w:p>
        </w:tc>
        <w:tc>
          <w:tcPr>
            <w:tcW w:w="855"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10000元/次</w:t>
            </w:r>
          </w:p>
        </w:tc>
      </w:tr>
      <w:tr>
        <w:tblPrEx>
          <w:tblCellMar>
            <w:top w:w="0" w:type="dxa"/>
            <w:left w:w="0" w:type="dxa"/>
            <w:bottom w:w="0" w:type="dxa"/>
            <w:right w:w="0" w:type="dxa"/>
          </w:tblCellMar>
        </w:tblPrEx>
        <w:trPr>
          <w:trHeight w:val="283" w:hRule="atLeast"/>
          <w:jc w:val="center"/>
        </w:trPr>
        <w:tc>
          <w:tcPr>
            <w:tcW w:w="116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3.2.4</w:t>
            </w:r>
          </w:p>
        </w:tc>
        <w:tc>
          <w:tcPr>
            <w:tcW w:w="70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施工组织设计安全措施未落实或落实有漏项的</w:t>
            </w:r>
          </w:p>
        </w:tc>
        <w:tc>
          <w:tcPr>
            <w:tcW w:w="855"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500元/条</w:t>
            </w:r>
          </w:p>
        </w:tc>
      </w:tr>
      <w:tr>
        <w:tblPrEx>
          <w:tblCellMar>
            <w:top w:w="0" w:type="dxa"/>
            <w:left w:w="0" w:type="dxa"/>
            <w:bottom w:w="0" w:type="dxa"/>
            <w:right w:w="0" w:type="dxa"/>
          </w:tblCellMar>
        </w:tblPrEx>
        <w:trPr>
          <w:trHeight w:val="283" w:hRule="atLeast"/>
          <w:jc w:val="center"/>
        </w:trPr>
        <w:tc>
          <w:tcPr>
            <w:tcW w:w="116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3.2.5</w:t>
            </w:r>
          </w:p>
        </w:tc>
        <w:tc>
          <w:tcPr>
            <w:tcW w:w="70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不按规定进行安全技术交底，或交底不全、交底针对性不强</w:t>
            </w:r>
          </w:p>
        </w:tc>
        <w:tc>
          <w:tcPr>
            <w:tcW w:w="855"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500元/次</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w:t>
            </w:r>
          </w:p>
        </w:tc>
        <w:tc>
          <w:tcPr>
            <w:tcW w:w="70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现场安全设施和措施</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3.3.1</w:t>
            </w:r>
          </w:p>
        </w:tc>
        <w:tc>
          <w:tcPr>
            <w:tcW w:w="70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使用国家明令淘汰、禁止使用的危及施工安全的工艺、设备、材料的。</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1000元</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3.3.2</w:t>
            </w:r>
          </w:p>
        </w:tc>
        <w:tc>
          <w:tcPr>
            <w:tcW w:w="70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地面开挖作业未对毗邻建筑物、构筑物和地下管线等采取专项防护措施的</w:t>
            </w:r>
          </w:p>
        </w:tc>
        <w:tc>
          <w:tcPr>
            <w:tcW w:w="855"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CellMar>
            <w:top w:w="0" w:type="dxa"/>
            <w:left w:w="0" w:type="dxa"/>
            <w:bottom w:w="0" w:type="dxa"/>
            <w:right w:w="0" w:type="dxa"/>
          </w:tblCellMar>
        </w:tblPrEx>
        <w:trPr>
          <w:trHeight w:val="283" w:hRule="atLeast"/>
          <w:jc w:val="center"/>
        </w:trPr>
        <w:tc>
          <w:tcPr>
            <w:tcW w:w="116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3.3.3</w:t>
            </w:r>
          </w:p>
        </w:tc>
        <w:tc>
          <w:tcPr>
            <w:tcW w:w="70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基坑支护无方案或不按方案实施的</w:t>
            </w:r>
          </w:p>
        </w:tc>
        <w:tc>
          <w:tcPr>
            <w:tcW w:w="855"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10000元/次</w:t>
            </w:r>
          </w:p>
        </w:tc>
      </w:tr>
      <w:tr>
        <w:tblPrEx>
          <w:tblCellMar>
            <w:top w:w="0" w:type="dxa"/>
            <w:left w:w="0" w:type="dxa"/>
            <w:bottom w:w="0" w:type="dxa"/>
            <w:right w:w="0" w:type="dxa"/>
          </w:tblCellMar>
        </w:tblPrEx>
        <w:trPr>
          <w:trHeight w:val="283" w:hRule="atLeast"/>
          <w:jc w:val="center"/>
        </w:trPr>
        <w:tc>
          <w:tcPr>
            <w:tcW w:w="116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3.3.4</w:t>
            </w:r>
          </w:p>
        </w:tc>
        <w:tc>
          <w:tcPr>
            <w:tcW w:w="70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未按规定进行基坑支护变形监测和对毗邻建筑物、重要管线、道路进行沉降观测的</w:t>
            </w:r>
          </w:p>
        </w:tc>
        <w:tc>
          <w:tcPr>
            <w:tcW w:w="855"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5000元/次</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3.3.5</w:t>
            </w:r>
          </w:p>
        </w:tc>
        <w:tc>
          <w:tcPr>
            <w:tcW w:w="70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支护设施产生局部变形未采取措施调整的</w:t>
            </w:r>
          </w:p>
        </w:tc>
        <w:tc>
          <w:tcPr>
            <w:tcW w:w="855"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1000元/处</w:t>
            </w:r>
          </w:p>
        </w:tc>
      </w:tr>
      <w:tr>
        <w:tblPrEx>
          <w:tblCellMar>
            <w:top w:w="0" w:type="dxa"/>
            <w:left w:w="0" w:type="dxa"/>
            <w:bottom w:w="0" w:type="dxa"/>
            <w:right w:w="0" w:type="dxa"/>
          </w:tblCellMar>
        </w:tblPrEx>
        <w:trPr>
          <w:trHeight w:val="283" w:hRule="atLeast"/>
          <w:jc w:val="center"/>
        </w:trPr>
        <w:tc>
          <w:tcPr>
            <w:tcW w:w="116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3.3.6</w:t>
            </w:r>
          </w:p>
        </w:tc>
        <w:tc>
          <w:tcPr>
            <w:tcW w:w="70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基坑施工未设置有效排水措施，或深基础施工采用坑外降水，无防止临近建筑危险沉降措施的</w:t>
            </w:r>
          </w:p>
        </w:tc>
        <w:tc>
          <w:tcPr>
            <w:tcW w:w="855"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1000元/次</w:t>
            </w:r>
          </w:p>
        </w:tc>
      </w:tr>
      <w:tr>
        <w:tblPrEx>
          <w:tblCellMar>
            <w:top w:w="0" w:type="dxa"/>
            <w:left w:w="0" w:type="dxa"/>
            <w:bottom w:w="0" w:type="dxa"/>
            <w:right w:w="0" w:type="dxa"/>
          </w:tblCellMar>
        </w:tblPrEx>
        <w:trPr>
          <w:trHeight w:val="283" w:hRule="atLeast"/>
          <w:jc w:val="center"/>
        </w:trPr>
        <w:tc>
          <w:tcPr>
            <w:tcW w:w="116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3.3.7</w:t>
            </w:r>
          </w:p>
        </w:tc>
        <w:tc>
          <w:tcPr>
            <w:tcW w:w="70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积土、料具堆放、机械设备施工距槽边距离小于设计规定，又无措施的</w:t>
            </w:r>
          </w:p>
        </w:tc>
        <w:tc>
          <w:tcPr>
            <w:tcW w:w="855"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3.3.8</w:t>
            </w:r>
          </w:p>
        </w:tc>
        <w:tc>
          <w:tcPr>
            <w:tcW w:w="70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基坑内作业人员无必要安全防护措施和充足照明的</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6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200元/人、处</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3.3.9</w:t>
            </w:r>
          </w:p>
        </w:tc>
        <w:tc>
          <w:tcPr>
            <w:tcW w:w="70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支模架施工未按施工专项方案实施的</w:t>
            </w:r>
          </w:p>
        </w:tc>
        <w:tc>
          <w:tcPr>
            <w:tcW w:w="855"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6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CellMar>
            <w:top w:w="0" w:type="dxa"/>
            <w:left w:w="0" w:type="dxa"/>
            <w:bottom w:w="0" w:type="dxa"/>
            <w:right w:w="0" w:type="dxa"/>
          </w:tblCellMar>
        </w:tblPrEx>
        <w:trPr>
          <w:trHeight w:val="283" w:hRule="atLeast"/>
          <w:jc w:val="center"/>
        </w:trPr>
        <w:tc>
          <w:tcPr>
            <w:tcW w:w="116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3.3.10</w:t>
            </w:r>
          </w:p>
        </w:tc>
        <w:tc>
          <w:tcPr>
            <w:tcW w:w="70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临边无防护措施，防护设施不规范或有空档、超过间隙的</w:t>
            </w:r>
          </w:p>
        </w:tc>
        <w:tc>
          <w:tcPr>
            <w:tcW w:w="855"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6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3.3.11</w:t>
            </w:r>
          </w:p>
        </w:tc>
        <w:tc>
          <w:tcPr>
            <w:tcW w:w="70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高处作业不按规定设置防坠网或防坠网规格、材质、覆盖面积不符合要求的</w:t>
            </w:r>
          </w:p>
        </w:tc>
        <w:tc>
          <w:tcPr>
            <w:tcW w:w="855"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6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3.3.12</w:t>
            </w:r>
          </w:p>
        </w:tc>
        <w:tc>
          <w:tcPr>
            <w:tcW w:w="70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各种洞（井）口、梯口、通道口无防护措施，防护措施不符合要求或不严密，未形成定型化、工具化的</w:t>
            </w:r>
          </w:p>
        </w:tc>
        <w:tc>
          <w:tcPr>
            <w:tcW w:w="855"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6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3.3.13</w:t>
            </w:r>
          </w:p>
        </w:tc>
        <w:tc>
          <w:tcPr>
            <w:tcW w:w="70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电梯井不封闭，电梯井内每隔两层(不大于l0m)少一道平网的</w:t>
            </w:r>
          </w:p>
        </w:tc>
        <w:tc>
          <w:tcPr>
            <w:tcW w:w="855"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6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3.3.14</w:t>
            </w:r>
          </w:p>
        </w:tc>
        <w:tc>
          <w:tcPr>
            <w:tcW w:w="70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通道口无防护棚，通道口防护不严或防护棚不牢固、材质不符合要求的</w:t>
            </w:r>
          </w:p>
        </w:tc>
        <w:tc>
          <w:tcPr>
            <w:tcW w:w="855"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6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CellMar>
            <w:top w:w="0" w:type="dxa"/>
            <w:left w:w="0" w:type="dxa"/>
            <w:bottom w:w="0" w:type="dxa"/>
            <w:right w:w="0" w:type="dxa"/>
          </w:tblCellMar>
        </w:tblPrEx>
        <w:trPr>
          <w:trHeight w:val="283" w:hRule="atLeast"/>
          <w:jc w:val="center"/>
        </w:trPr>
        <w:tc>
          <w:tcPr>
            <w:tcW w:w="116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3.3.15</w:t>
            </w:r>
          </w:p>
        </w:tc>
        <w:tc>
          <w:tcPr>
            <w:tcW w:w="70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脚手架、升降、吊装等设施设备的拆装队伍没有取得资格证书的</w:t>
            </w:r>
          </w:p>
        </w:tc>
        <w:tc>
          <w:tcPr>
            <w:tcW w:w="855"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500元/个</w:t>
            </w:r>
          </w:p>
        </w:tc>
      </w:tr>
      <w:tr>
        <w:tblPrEx>
          <w:tblCellMar>
            <w:top w:w="0" w:type="dxa"/>
            <w:left w:w="0" w:type="dxa"/>
            <w:bottom w:w="0" w:type="dxa"/>
            <w:right w:w="0" w:type="dxa"/>
          </w:tblCellMar>
        </w:tblPrEx>
        <w:trPr>
          <w:trHeight w:val="283" w:hRule="atLeast"/>
          <w:jc w:val="center"/>
        </w:trPr>
        <w:tc>
          <w:tcPr>
            <w:tcW w:w="116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3.3.16</w:t>
            </w:r>
          </w:p>
        </w:tc>
        <w:tc>
          <w:tcPr>
            <w:tcW w:w="70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脚手架、脚手板等不按要求搭设，空隙过大或材质不符合要求的</w:t>
            </w:r>
          </w:p>
        </w:tc>
        <w:tc>
          <w:tcPr>
            <w:tcW w:w="855"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3.3.17</w:t>
            </w:r>
          </w:p>
        </w:tc>
        <w:tc>
          <w:tcPr>
            <w:tcW w:w="70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安全密目网不牢固、不严密或材质、设置不符合要求的</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6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3.3.18</w:t>
            </w:r>
          </w:p>
        </w:tc>
        <w:tc>
          <w:tcPr>
            <w:tcW w:w="70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脚手架超载或荷载不均匀、堆放杂物或垃圾清理不及时的</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6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CellMar>
            <w:top w:w="0" w:type="dxa"/>
            <w:left w:w="0" w:type="dxa"/>
            <w:bottom w:w="0" w:type="dxa"/>
            <w:right w:w="0" w:type="dxa"/>
          </w:tblCellMar>
        </w:tblPrEx>
        <w:trPr>
          <w:trHeight w:val="283" w:hRule="atLeast"/>
          <w:jc w:val="center"/>
        </w:trPr>
        <w:tc>
          <w:tcPr>
            <w:tcW w:w="116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3.3.19</w:t>
            </w:r>
          </w:p>
        </w:tc>
        <w:tc>
          <w:tcPr>
            <w:tcW w:w="70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未设专用通道或通道设置不符合要求的</w:t>
            </w:r>
          </w:p>
        </w:tc>
        <w:tc>
          <w:tcPr>
            <w:tcW w:w="855"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3.3.20</w:t>
            </w:r>
          </w:p>
        </w:tc>
        <w:tc>
          <w:tcPr>
            <w:tcW w:w="70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脚手架拆卸时不实行区域隔离，无专人看护等保护性安全措施的</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200元/次</w:t>
            </w:r>
          </w:p>
        </w:tc>
      </w:tr>
      <w:tr>
        <w:tblPrEx>
          <w:tblCellMar>
            <w:top w:w="0" w:type="dxa"/>
            <w:left w:w="0" w:type="dxa"/>
            <w:bottom w:w="0" w:type="dxa"/>
            <w:right w:w="0" w:type="dxa"/>
          </w:tblCellMar>
        </w:tblPrEx>
        <w:trPr>
          <w:trHeight w:val="283" w:hRule="atLeast"/>
          <w:jc w:val="center"/>
        </w:trPr>
        <w:tc>
          <w:tcPr>
            <w:tcW w:w="116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3.3.21</w:t>
            </w:r>
          </w:p>
        </w:tc>
        <w:tc>
          <w:tcPr>
            <w:tcW w:w="70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移动脚手架安全措施不到位，存在安全隐患的</w:t>
            </w:r>
          </w:p>
        </w:tc>
        <w:tc>
          <w:tcPr>
            <w:tcW w:w="855"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200元/次</w:t>
            </w:r>
          </w:p>
        </w:tc>
      </w:tr>
      <w:tr>
        <w:tblPrEx>
          <w:tblCellMar>
            <w:top w:w="0" w:type="dxa"/>
            <w:left w:w="0" w:type="dxa"/>
            <w:bottom w:w="0" w:type="dxa"/>
            <w:right w:w="0" w:type="dxa"/>
          </w:tblCellMar>
        </w:tblPrEx>
        <w:trPr>
          <w:trHeight w:val="283" w:hRule="atLeast"/>
          <w:jc w:val="center"/>
        </w:trPr>
        <w:tc>
          <w:tcPr>
            <w:tcW w:w="116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3.3.22</w:t>
            </w:r>
          </w:p>
        </w:tc>
        <w:tc>
          <w:tcPr>
            <w:tcW w:w="70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卸料台搭设不符合设计要求或不按规范要求搭建的</w:t>
            </w:r>
          </w:p>
        </w:tc>
        <w:tc>
          <w:tcPr>
            <w:tcW w:w="855"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3.3.23</w:t>
            </w:r>
          </w:p>
        </w:tc>
        <w:tc>
          <w:tcPr>
            <w:tcW w:w="70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升降、吊装作业未设警戒区、无专业人员指挥、无专人警戒或管理的</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6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100元/处</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3.3.24</w:t>
            </w:r>
          </w:p>
        </w:tc>
        <w:tc>
          <w:tcPr>
            <w:tcW w:w="70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升降、吊装设备无围栏、防护门，无安全警示等安全设施的</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6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300元/处</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3.3.25</w:t>
            </w:r>
          </w:p>
        </w:tc>
        <w:tc>
          <w:tcPr>
            <w:tcW w:w="70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升降、吊装设备无防坠装置或防坠装置不符合设计、规范要求的</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6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3.3.26</w:t>
            </w:r>
          </w:p>
        </w:tc>
        <w:tc>
          <w:tcPr>
            <w:tcW w:w="70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升降、吊装设备钢丝绳绳径倍数不足、磨损、断丝超标，地锚埋没不符合设计要求</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6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3.3.27</w:t>
            </w:r>
          </w:p>
        </w:tc>
        <w:tc>
          <w:tcPr>
            <w:tcW w:w="70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升降、吊装设备无专人日常维护，未按规定定期检验、检查或检查无记录，检验检查出的问题不及时整改的</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6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300元/次</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3.3.28</w:t>
            </w:r>
          </w:p>
        </w:tc>
        <w:tc>
          <w:tcPr>
            <w:tcW w:w="70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违章操作或违章使用升降、吊装设备，超重作业的</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6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300元/次</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3.3.29</w:t>
            </w:r>
          </w:p>
        </w:tc>
        <w:tc>
          <w:tcPr>
            <w:tcW w:w="70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移动式吊装装置不符合设计、方案和规范要求，存在安全隐患的</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6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3.3.30</w:t>
            </w:r>
          </w:p>
        </w:tc>
        <w:tc>
          <w:tcPr>
            <w:tcW w:w="70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钢丝绳、绳卡、地锚等不符合规范和安全要求,或钢丝绳锈蚀、缺油、磨损超标的</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6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CellMar>
            <w:top w:w="0" w:type="dxa"/>
            <w:left w:w="0" w:type="dxa"/>
            <w:bottom w:w="0" w:type="dxa"/>
            <w:right w:w="0" w:type="dxa"/>
          </w:tblCellMar>
        </w:tblPrEx>
        <w:trPr>
          <w:trHeight w:val="283" w:hRule="atLeast"/>
          <w:jc w:val="center"/>
        </w:trPr>
        <w:tc>
          <w:tcPr>
            <w:tcW w:w="116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3.3.31</w:t>
            </w:r>
          </w:p>
        </w:tc>
        <w:tc>
          <w:tcPr>
            <w:tcW w:w="70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无防风、避雷装置和措施，或防风避雷装置措施不符合要求的</w:t>
            </w:r>
          </w:p>
        </w:tc>
        <w:tc>
          <w:tcPr>
            <w:tcW w:w="855"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3.3.32</w:t>
            </w:r>
          </w:p>
        </w:tc>
        <w:tc>
          <w:tcPr>
            <w:tcW w:w="70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各类用电设施、设备、施工机具未做保护接零、无漏电保护装置的</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6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CellMar>
            <w:top w:w="0" w:type="dxa"/>
            <w:left w:w="0" w:type="dxa"/>
            <w:bottom w:w="0" w:type="dxa"/>
            <w:right w:w="0" w:type="dxa"/>
          </w:tblCellMar>
        </w:tblPrEx>
        <w:trPr>
          <w:trHeight w:val="283" w:hRule="atLeast"/>
          <w:jc w:val="center"/>
        </w:trPr>
        <w:tc>
          <w:tcPr>
            <w:tcW w:w="116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3.3.33</w:t>
            </w:r>
          </w:p>
        </w:tc>
        <w:tc>
          <w:tcPr>
            <w:tcW w:w="70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机具、设备使用无安全防护装置或保险装置的</w:t>
            </w:r>
          </w:p>
        </w:tc>
        <w:tc>
          <w:tcPr>
            <w:tcW w:w="855"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500元/项</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3.3.34</w:t>
            </w:r>
          </w:p>
        </w:tc>
        <w:tc>
          <w:tcPr>
            <w:tcW w:w="70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使用Ⅰ类手持电动工具不按规定穿戴绝缘用品的</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6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200元/人</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3.3.35</w:t>
            </w:r>
          </w:p>
        </w:tc>
        <w:tc>
          <w:tcPr>
            <w:tcW w:w="70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施工机具无人操作时未切断电源的</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3.3.36</w:t>
            </w:r>
          </w:p>
        </w:tc>
        <w:tc>
          <w:tcPr>
            <w:tcW w:w="70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电焊机无防雨罩的，焊把线接头超过3处或绝缘老化的</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6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100元/处</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3.3.37</w:t>
            </w:r>
          </w:p>
        </w:tc>
        <w:tc>
          <w:tcPr>
            <w:tcW w:w="70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各机械作业场所无防雨棚和作业台不安全的</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6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100元/处</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3.4</w:t>
            </w:r>
          </w:p>
        </w:tc>
        <w:tc>
          <w:tcPr>
            <w:tcW w:w="70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现场安全管理</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3.4.1</w:t>
            </w:r>
          </w:p>
        </w:tc>
        <w:tc>
          <w:tcPr>
            <w:tcW w:w="70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各类操作人员无证上岗的</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300元/人、次</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3.4.2</w:t>
            </w:r>
          </w:p>
        </w:tc>
        <w:tc>
          <w:tcPr>
            <w:tcW w:w="70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专业性较强、危险性较大施工作业，现场无专业人员、安全管理人员旁站看护的</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500元/次</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3.4.3</w:t>
            </w:r>
          </w:p>
        </w:tc>
        <w:tc>
          <w:tcPr>
            <w:tcW w:w="70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作业人员不服管理、违反规章制度和操作规程冒险作业的</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300元/次</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3.4.4</w:t>
            </w:r>
          </w:p>
        </w:tc>
        <w:tc>
          <w:tcPr>
            <w:tcW w:w="70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施工人员不戴安全帽、高处作业人员不系安全带或不按要求系安全带</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200元/人</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3.4.5</w:t>
            </w:r>
          </w:p>
        </w:tc>
        <w:tc>
          <w:tcPr>
            <w:tcW w:w="70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现场未按规定采取设置安全网等保障措施的</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CellMar>
            <w:top w:w="0" w:type="dxa"/>
            <w:left w:w="0" w:type="dxa"/>
            <w:bottom w:w="0" w:type="dxa"/>
            <w:right w:w="0" w:type="dxa"/>
          </w:tblCellMar>
        </w:tblPrEx>
        <w:trPr>
          <w:trHeight w:val="283" w:hRule="atLeast"/>
          <w:jc w:val="center"/>
        </w:trPr>
        <w:tc>
          <w:tcPr>
            <w:tcW w:w="116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3.4.6</w:t>
            </w:r>
          </w:p>
        </w:tc>
        <w:tc>
          <w:tcPr>
            <w:tcW w:w="70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施工人员在施工现场抽烟的</w:t>
            </w:r>
          </w:p>
        </w:tc>
        <w:tc>
          <w:tcPr>
            <w:tcW w:w="855"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50元/人</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3.5</w:t>
            </w:r>
          </w:p>
        </w:tc>
        <w:tc>
          <w:tcPr>
            <w:tcW w:w="70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施工用电</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3.5.1</w:t>
            </w:r>
          </w:p>
        </w:tc>
        <w:tc>
          <w:tcPr>
            <w:tcW w:w="70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外电小于安全距离无防护措施、防护措施不符合要求的</w:t>
            </w:r>
          </w:p>
        </w:tc>
        <w:tc>
          <w:tcPr>
            <w:tcW w:w="855"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1000元/处</w:t>
            </w:r>
          </w:p>
        </w:tc>
      </w:tr>
      <w:tr>
        <w:tblPrEx>
          <w:tblCellMar>
            <w:top w:w="0" w:type="dxa"/>
            <w:left w:w="0" w:type="dxa"/>
            <w:bottom w:w="0" w:type="dxa"/>
            <w:right w:w="0" w:type="dxa"/>
          </w:tblCellMar>
        </w:tblPrEx>
        <w:trPr>
          <w:trHeight w:val="283" w:hRule="atLeast"/>
          <w:jc w:val="center"/>
        </w:trPr>
        <w:tc>
          <w:tcPr>
            <w:tcW w:w="116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3.5.2</w:t>
            </w:r>
          </w:p>
        </w:tc>
        <w:tc>
          <w:tcPr>
            <w:tcW w:w="70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未采用TN—S接零保护系统的、三级漏电保护系统的；专用保护零线（PE线）设置不符合要求的、或保护零线（PE线）与工作零线（N线）混接的；纯动力电未用四芯电缆的，动力带照明电未使用五芯电缆的</w:t>
            </w:r>
          </w:p>
        </w:tc>
        <w:tc>
          <w:tcPr>
            <w:tcW w:w="855"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3.5.3</w:t>
            </w:r>
          </w:p>
        </w:tc>
        <w:tc>
          <w:tcPr>
            <w:tcW w:w="70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开关箱(末级)无漏电保护或保护器失灵、漏电保护装置参数不匹配</w:t>
            </w:r>
          </w:p>
        </w:tc>
        <w:tc>
          <w:tcPr>
            <w:tcW w:w="855"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CellMar>
            <w:top w:w="0" w:type="dxa"/>
            <w:left w:w="0" w:type="dxa"/>
            <w:bottom w:w="0" w:type="dxa"/>
            <w:right w:w="0" w:type="dxa"/>
          </w:tblCellMar>
        </w:tblPrEx>
        <w:trPr>
          <w:trHeight w:val="283" w:hRule="atLeast"/>
          <w:jc w:val="center"/>
        </w:trPr>
        <w:tc>
          <w:tcPr>
            <w:tcW w:w="116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3.5.4</w:t>
            </w:r>
          </w:p>
        </w:tc>
        <w:tc>
          <w:tcPr>
            <w:tcW w:w="70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违反“—机、一闸、一漏、一箱”的配置原则</w:t>
            </w:r>
          </w:p>
        </w:tc>
        <w:tc>
          <w:tcPr>
            <w:tcW w:w="855"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CellMar>
            <w:top w:w="0" w:type="dxa"/>
            <w:left w:w="0" w:type="dxa"/>
            <w:bottom w:w="0" w:type="dxa"/>
            <w:right w:w="0" w:type="dxa"/>
          </w:tblCellMar>
        </w:tblPrEx>
        <w:trPr>
          <w:trHeight w:val="283" w:hRule="atLeast"/>
          <w:jc w:val="center"/>
        </w:trPr>
        <w:tc>
          <w:tcPr>
            <w:tcW w:w="116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3.5.5</w:t>
            </w:r>
          </w:p>
        </w:tc>
        <w:tc>
          <w:tcPr>
            <w:tcW w:w="70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安装位置不当、周围杂物多不便操作、存在安全隐患</w:t>
            </w:r>
          </w:p>
        </w:tc>
        <w:tc>
          <w:tcPr>
            <w:tcW w:w="855"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CellMar>
            <w:top w:w="0" w:type="dxa"/>
            <w:left w:w="0" w:type="dxa"/>
            <w:bottom w:w="0" w:type="dxa"/>
            <w:right w:w="0" w:type="dxa"/>
          </w:tblCellMar>
        </w:tblPrEx>
        <w:trPr>
          <w:trHeight w:val="283" w:hRule="atLeast"/>
          <w:jc w:val="center"/>
        </w:trPr>
        <w:tc>
          <w:tcPr>
            <w:tcW w:w="116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3.5.6</w:t>
            </w:r>
          </w:p>
        </w:tc>
        <w:tc>
          <w:tcPr>
            <w:tcW w:w="70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电箱下引出线混乱、配电箱内多路配电无标记的</w:t>
            </w:r>
          </w:p>
        </w:tc>
        <w:tc>
          <w:tcPr>
            <w:tcW w:w="855"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3.5.7</w:t>
            </w:r>
          </w:p>
        </w:tc>
        <w:tc>
          <w:tcPr>
            <w:tcW w:w="70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电箱无门、无锁、无防雨措施或无责任人的</w:t>
            </w:r>
          </w:p>
        </w:tc>
        <w:tc>
          <w:tcPr>
            <w:tcW w:w="855"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300元/处</w:t>
            </w:r>
          </w:p>
        </w:tc>
      </w:tr>
      <w:tr>
        <w:tblPrEx>
          <w:tblCellMar>
            <w:top w:w="0" w:type="dxa"/>
            <w:left w:w="0" w:type="dxa"/>
            <w:bottom w:w="0" w:type="dxa"/>
            <w:right w:w="0" w:type="dxa"/>
          </w:tblCellMar>
        </w:tblPrEx>
        <w:trPr>
          <w:trHeight w:val="283" w:hRule="atLeast"/>
          <w:jc w:val="center"/>
        </w:trPr>
        <w:tc>
          <w:tcPr>
            <w:tcW w:w="116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3.5.8</w:t>
            </w:r>
          </w:p>
        </w:tc>
        <w:tc>
          <w:tcPr>
            <w:tcW w:w="70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室内线路及灯具安全高度低于2.4m未使用安全电压供电的</w:t>
            </w:r>
          </w:p>
        </w:tc>
        <w:tc>
          <w:tcPr>
            <w:tcW w:w="855"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CellMar>
            <w:top w:w="0" w:type="dxa"/>
            <w:left w:w="0" w:type="dxa"/>
            <w:bottom w:w="0" w:type="dxa"/>
            <w:right w:w="0" w:type="dxa"/>
          </w:tblCellMar>
        </w:tblPrEx>
        <w:trPr>
          <w:trHeight w:val="283" w:hRule="atLeast"/>
          <w:jc w:val="center"/>
        </w:trPr>
        <w:tc>
          <w:tcPr>
            <w:tcW w:w="116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3.5.9</w:t>
            </w:r>
          </w:p>
        </w:tc>
        <w:tc>
          <w:tcPr>
            <w:tcW w:w="70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潮湿作业环境中未使用36v以下安全电压照明灯具的、手持照明灯未使用36v及以下电源供电</w:t>
            </w:r>
          </w:p>
        </w:tc>
        <w:tc>
          <w:tcPr>
            <w:tcW w:w="855"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CellMar>
            <w:top w:w="0" w:type="dxa"/>
            <w:left w:w="0" w:type="dxa"/>
            <w:bottom w:w="0" w:type="dxa"/>
            <w:right w:w="0" w:type="dxa"/>
          </w:tblCellMar>
        </w:tblPrEx>
        <w:trPr>
          <w:trHeight w:val="283" w:hRule="atLeast"/>
          <w:jc w:val="center"/>
        </w:trPr>
        <w:tc>
          <w:tcPr>
            <w:tcW w:w="116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3.5.10</w:t>
            </w:r>
          </w:p>
        </w:tc>
        <w:tc>
          <w:tcPr>
            <w:tcW w:w="70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电线老化、破皮、未按规范包扎的、电线私拉乱接、无过路保护的</w:t>
            </w:r>
          </w:p>
        </w:tc>
        <w:tc>
          <w:tcPr>
            <w:tcW w:w="855"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CellMar>
            <w:top w:w="0" w:type="dxa"/>
            <w:left w:w="0" w:type="dxa"/>
            <w:bottom w:w="0" w:type="dxa"/>
            <w:right w:w="0" w:type="dxa"/>
          </w:tblCellMar>
        </w:tblPrEx>
        <w:trPr>
          <w:trHeight w:val="283" w:hRule="atLeast"/>
          <w:jc w:val="center"/>
        </w:trPr>
        <w:tc>
          <w:tcPr>
            <w:tcW w:w="116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3.5.11</w:t>
            </w:r>
          </w:p>
        </w:tc>
        <w:tc>
          <w:tcPr>
            <w:tcW w:w="70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电杆、横担、架空线路不符合施工规范要求</w:t>
            </w:r>
          </w:p>
        </w:tc>
        <w:tc>
          <w:tcPr>
            <w:tcW w:w="855"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CellMar>
            <w:top w:w="0" w:type="dxa"/>
            <w:left w:w="0" w:type="dxa"/>
            <w:bottom w:w="0" w:type="dxa"/>
            <w:right w:w="0" w:type="dxa"/>
          </w:tblCellMar>
        </w:tblPrEx>
        <w:trPr>
          <w:trHeight w:val="283" w:hRule="atLeast"/>
          <w:jc w:val="center"/>
        </w:trPr>
        <w:tc>
          <w:tcPr>
            <w:tcW w:w="116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3.5.12</w:t>
            </w:r>
          </w:p>
        </w:tc>
        <w:tc>
          <w:tcPr>
            <w:tcW w:w="70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无用电管理档案、无接地极阻值摇测记录、电工巡视维修记录或填写不真实的</w:t>
            </w:r>
          </w:p>
        </w:tc>
        <w:tc>
          <w:tcPr>
            <w:tcW w:w="855"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200元/项</w:t>
            </w:r>
          </w:p>
        </w:tc>
      </w:tr>
      <w:tr>
        <w:tblPrEx>
          <w:tblCellMar>
            <w:top w:w="0" w:type="dxa"/>
            <w:left w:w="0" w:type="dxa"/>
            <w:bottom w:w="0" w:type="dxa"/>
            <w:right w:w="0" w:type="dxa"/>
          </w:tblCellMar>
        </w:tblPrEx>
        <w:trPr>
          <w:trHeight w:val="283" w:hRule="atLeast"/>
          <w:jc w:val="center"/>
        </w:trPr>
        <w:tc>
          <w:tcPr>
            <w:tcW w:w="116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w:t>
            </w:r>
          </w:p>
        </w:tc>
        <w:tc>
          <w:tcPr>
            <w:tcW w:w="70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消防安全与危险品管理</w:t>
            </w:r>
          </w:p>
        </w:tc>
        <w:tc>
          <w:tcPr>
            <w:tcW w:w="855"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p>
        </w:tc>
      </w:tr>
      <w:tr>
        <w:tblPrEx>
          <w:tblCellMar>
            <w:top w:w="0" w:type="dxa"/>
            <w:left w:w="0" w:type="dxa"/>
            <w:bottom w:w="0" w:type="dxa"/>
            <w:right w:w="0" w:type="dxa"/>
          </w:tblCellMar>
        </w:tblPrEx>
        <w:trPr>
          <w:trHeight w:val="283" w:hRule="atLeast"/>
          <w:jc w:val="center"/>
        </w:trPr>
        <w:tc>
          <w:tcPr>
            <w:tcW w:w="116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4.1</w:t>
            </w:r>
          </w:p>
        </w:tc>
        <w:tc>
          <w:tcPr>
            <w:tcW w:w="70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未制定消防安全管理规章制度或规章制度不健全的</w:t>
            </w:r>
          </w:p>
        </w:tc>
        <w:tc>
          <w:tcPr>
            <w:tcW w:w="855"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500元/项</w:t>
            </w:r>
          </w:p>
        </w:tc>
      </w:tr>
      <w:tr>
        <w:tblPrEx>
          <w:tblCellMar>
            <w:top w:w="0" w:type="dxa"/>
            <w:left w:w="0" w:type="dxa"/>
            <w:bottom w:w="0" w:type="dxa"/>
            <w:right w:w="0" w:type="dxa"/>
          </w:tblCellMar>
        </w:tblPrEx>
        <w:trPr>
          <w:trHeight w:val="283" w:hRule="atLeast"/>
          <w:jc w:val="center"/>
        </w:trPr>
        <w:tc>
          <w:tcPr>
            <w:tcW w:w="116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4.2</w:t>
            </w:r>
          </w:p>
        </w:tc>
        <w:tc>
          <w:tcPr>
            <w:tcW w:w="70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未制定各工种用火、用电、使用易燃材料等各项消防安全操作规程的</w:t>
            </w:r>
          </w:p>
        </w:tc>
        <w:tc>
          <w:tcPr>
            <w:tcW w:w="855"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500元/项</w:t>
            </w:r>
          </w:p>
        </w:tc>
      </w:tr>
      <w:tr>
        <w:tblPrEx>
          <w:tblCellMar>
            <w:top w:w="0" w:type="dxa"/>
            <w:left w:w="0" w:type="dxa"/>
            <w:bottom w:w="0" w:type="dxa"/>
            <w:right w:w="0" w:type="dxa"/>
          </w:tblCellMar>
        </w:tblPrEx>
        <w:trPr>
          <w:trHeight w:val="283" w:hRule="atLeast"/>
          <w:jc w:val="center"/>
        </w:trPr>
        <w:tc>
          <w:tcPr>
            <w:tcW w:w="116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4.3</w:t>
            </w:r>
          </w:p>
        </w:tc>
        <w:tc>
          <w:tcPr>
            <w:tcW w:w="70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未健全消防安全网络（配备专职或兼职消防员），并报备的</w:t>
            </w:r>
          </w:p>
        </w:tc>
        <w:tc>
          <w:tcPr>
            <w:tcW w:w="855"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200元/项</w:t>
            </w:r>
          </w:p>
        </w:tc>
      </w:tr>
      <w:tr>
        <w:tblPrEx>
          <w:tblCellMar>
            <w:top w:w="0" w:type="dxa"/>
            <w:left w:w="0" w:type="dxa"/>
            <w:bottom w:w="0" w:type="dxa"/>
            <w:right w:w="0" w:type="dxa"/>
          </w:tblCellMar>
        </w:tblPrEx>
        <w:trPr>
          <w:trHeight w:val="283" w:hRule="atLeast"/>
          <w:jc w:val="center"/>
        </w:trPr>
        <w:tc>
          <w:tcPr>
            <w:tcW w:w="116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4.4</w:t>
            </w:r>
          </w:p>
        </w:tc>
        <w:tc>
          <w:tcPr>
            <w:tcW w:w="70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无专（兼）职义务消防队，或消防队员未掌握基本消防知识和操作技能的</w:t>
            </w:r>
          </w:p>
        </w:tc>
        <w:tc>
          <w:tcPr>
            <w:tcW w:w="855"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200元/项</w:t>
            </w:r>
          </w:p>
        </w:tc>
      </w:tr>
      <w:tr>
        <w:tblPrEx>
          <w:tblCellMar>
            <w:top w:w="0" w:type="dxa"/>
            <w:left w:w="0" w:type="dxa"/>
            <w:bottom w:w="0" w:type="dxa"/>
            <w:right w:w="0" w:type="dxa"/>
          </w:tblCellMar>
        </w:tblPrEx>
        <w:trPr>
          <w:trHeight w:val="283" w:hRule="atLeast"/>
          <w:jc w:val="center"/>
        </w:trPr>
        <w:tc>
          <w:tcPr>
            <w:tcW w:w="116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4.5</w:t>
            </w:r>
          </w:p>
        </w:tc>
        <w:tc>
          <w:tcPr>
            <w:tcW w:w="70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未制定灭火和应急疏散预案并开展消防应急演练的</w:t>
            </w:r>
          </w:p>
        </w:tc>
        <w:tc>
          <w:tcPr>
            <w:tcW w:w="855"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500元/项</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4.6</w:t>
            </w:r>
          </w:p>
        </w:tc>
        <w:tc>
          <w:tcPr>
            <w:tcW w:w="70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未组织开展各类防火检查，并及时采取措施整改发现的隐患、问题的</w:t>
            </w:r>
          </w:p>
        </w:tc>
        <w:tc>
          <w:tcPr>
            <w:tcW w:w="855"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200元/项</w:t>
            </w:r>
          </w:p>
        </w:tc>
      </w:tr>
      <w:tr>
        <w:tblPrEx>
          <w:tblCellMar>
            <w:top w:w="0" w:type="dxa"/>
            <w:left w:w="0" w:type="dxa"/>
            <w:bottom w:w="0" w:type="dxa"/>
            <w:right w:w="0" w:type="dxa"/>
          </w:tblCellMar>
        </w:tblPrEx>
        <w:trPr>
          <w:trHeight w:val="283" w:hRule="atLeast"/>
          <w:jc w:val="center"/>
        </w:trPr>
        <w:tc>
          <w:tcPr>
            <w:tcW w:w="116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4.7</w:t>
            </w:r>
          </w:p>
        </w:tc>
        <w:tc>
          <w:tcPr>
            <w:tcW w:w="70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对重大消防安全隐患未能及时整改、处理的</w:t>
            </w:r>
          </w:p>
        </w:tc>
        <w:tc>
          <w:tcPr>
            <w:tcW w:w="855"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500元/次</w:t>
            </w:r>
          </w:p>
        </w:tc>
      </w:tr>
      <w:tr>
        <w:tblPrEx>
          <w:tblCellMar>
            <w:top w:w="0" w:type="dxa"/>
            <w:left w:w="0" w:type="dxa"/>
            <w:bottom w:w="0" w:type="dxa"/>
            <w:right w:w="0" w:type="dxa"/>
          </w:tblCellMar>
        </w:tblPrEx>
        <w:trPr>
          <w:trHeight w:val="283" w:hRule="atLeast"/>
          <w:jc w:val="center"/>
        </w:trPr>
        <w:tc>
          <w:tcPr>
            <w:tcW w:w="116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4.8</w:t>
            </w:r>
          </w:p>
        </w:tc>
        <w:tc>
          <w:tcPr>
            <w:tcW w:w="70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未建立消防安全管理台帐或台帐缺失的</w:t>
            </w:r>
          </w:p>
        </w:tc>
        <w:tc>
          <w:tcPr>
            <w:tcW w:w="855"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200元/项</w:t>
            </w:r>
          </w:p>
        </w:tc>
      </w:tr>
      <w:tr>
        <w:tblPrEx>
          <w:tblCellMar>
            <w:top w:w="0" w:type="dxa"/>
            <w:left w:w="0" w:type="dxa"/>
            <w:bottom w:w="0" w:type="dxa"/>
            <w:right w:w="0" w:type="dxa"/>
          </w:tblCellMar>
        </w:tblPrEx>
        <w:trPr>
          <w:trHeight w:val="283" w:hRule="atLeast"/>
          <w:jc w:val="center"/>
        </w:trPr>
        <w:tc>
          <w:tcPr>
            <w:tcW w:w="116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4.9</w:t>
            </w:r>
          </w:p>
        </w:tc>
        <w:tc>
          <w:tcPr>
            <w:tcW w:w="70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未组织开展消防安全知识教育培训，施工人员不了解本岗位防火措施、遇险报警、初期扑救及自救逃生的知识和技能的</w:t>
            </w:r>
          </w:p>
        </w:tc>
        <w:tc>
          <w:tcPr>
            <w:tcW w:w="855"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200元/次</w:t>
            </w:r>
          </w:p>
        </w:tc>
      </w:tr>
      <w:tr>
        <w:tblPrEx>
          <w:tblCellMar>
            <w:top w:w="0" w:type="dxa"/>
            <w:left w:w="0" w:type="dxa"/>
            <w:bottom w:w="0" w:type="dxa"/>
            <w:right w:w="0" w:type="dxa"/>
          </w:tblCellMar>
        </w:tblPrEx>
        <w:trPr>
          <w:trHeight w:val="283" w:hRule="atLeast"/>
          <w:jc w:val="center"/>
        </w:trPr>
        <w:tc>
          <w:tcPr>
            <w:tcW w:w="116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4.10</w:t>
            </w:r>
          </w:p>
        </w:tc>
        <w:tc>
          <w:tcPr>
            <w:tcW w:w="70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施工现场未设置必要足够安全疏散指示标志、防火禁烟标志机场火警电话的</w:t>
            </w:r>
          </w:p>
        </w:tc>
        <w:tc>
          <w:tcPr>
            <w:tcW w:w="855"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200元/项</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4.11</w:t>
            </w:r>
          </w:p>
        </w:tc>
        <w:tc>
          <w:tcPr>
            <w:tcW w:w="70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重点消防部位无人看护或巡视、无消防警示标志牌，值守巡视人员脱岗或不履行职责的</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300元/处</w:t>
            </w:r>
          </w:p>
        </w:tc>
      </w:tr>
      <w:tr>
        <w:tblPrEx>
          <w:tblCellMar>
            <w:top w:w="0" w:type="dxa"/>
            <w:left w:w="0" w:type="dxa"/>
            <w:bottom w:w="0" w:type="dxa"/>
            <w:right w:w="0" w:type="dxa"/>
          </w:tblCellMar>
        </w:tblPrEx>
        <w:trPr>
          <w:trHeight w:val="283" w:hRule="atLeast"/>
          <w:jc w:val="center"/>
        </w:trPr>
        <w:tc>
          <w:tcPr>
            <w:tcW w:w="116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4.12</w:t>
            </w:r>
          </w:p>
        </w:tc>
        <w:tc>
          <w:tcPr>
            <w:tcW w:w="70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易燃、易爆物品不按规定进行分类存放或管理不善、无人看护、管理的</w:t>
            </w:r>
          </w:p>
        </w:tc>
        <w:tc>
          <w:tcPr>
            <w:tcW w:w="855"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4.13</w:t>
            </w:r>
          </w:p>
        </w:tc>
        <w:tc>
          <w:tcPr>
            <w:tcW w:w="70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未设或侵占疏散通道、安全出口、消防通道，或通道出口不畅通、应急照明不符合规定的</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4.14</w:t>
            </w:r>
          </w:p>
        </w:tc>
        <w:tc>
          <w:tcPr>
            <w:tcW w:w="70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工地现场未设置消火水源（消火栓）或消火水源不齐全、不合理，不能满足消防要求的</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CellMar>
            <w:top w:w="0" w:type="dxa"/>
            <w:left w:w="0" w:type="dxa"/>
            <w:bottom w:w="0" w:type="dxa"/>
            <w:right w:w="0" w:type="dxa"/>
          </w:tblCellMar>
        </w:tblPrEx>
        <w:trPr>
          <w:trHeight w:val="283" w:hRule="atLeast"/>
          <w:jc w:val="center"/>
        </w:trPr>
        <w:tc>
          <w:tcPr>
            <w:tcW w:w="116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4.15</w:t>
            </w:r>
          </w:p>
        </w:tc>
        <w:tc>
          <w:tcPr>
            <w:tcW w:w="70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工地现场灭火器、灭火砂、水桶、铁锹等消防设施、器材配置不全、不足、失效，或被遮挡影响使用，或被挪作他用的</w:t>
            </w:r>
          </w:p>
        </w:tc>
        <w:tc>
          <w:tcPr>
            <w:tcW w:w="855"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300元/处</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4.16</w:t>
            </w:r>
          </w:p>
        </w:tc>
        <w:tc>
          <w:tcPr>
            <w:tcW w:w="70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灭火器材无专人维护、保养、检查和登记管理的</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200元/项</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4.17</w:t>
            </w:r>
          </w:p>
        </w:tc>
        <w:tc>
          <w:tcPr>
            <w:tcW w:w="70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违章关闭消防设施、切断电源或挪用消防灭火器材的</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4.18</w:t>
            </w:r>
          </w:p>
        </w:tc>
        <w:tc>
          <w:tcPr>
            <w:tcW w:w="70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动火作业未经机场公安消防管理部门审查批准的</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200元/次</w:t>
            </w:r>
          </w:p>
        </w:tc>
      </w:tr>
      <w:tr>
        <w:tblPrEx>
          <w:tblCellMar>
            <w:top w:w="0" w:type="dxa"/>
            <w:left w:w="0" w:type="dxa"/>
            <w:bottom w:w="0" w:type="dxa"/>
            <w:right w:w="0" w:type="dxa"/>
          </w:tblCellMar>
        </w:tblPrEx>
        <w:trPr>
          <w:trHeight w:val="283" w:hRule="atLeast"/>
          <w:jc w:val="center"/>
        </w:trPr>
        <w:tc>
          <w:tcPr>
            <w:tcW w:w="116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4.19</w:t>
            </w:r>
          </w:p>
        </w:tc>
        <w:tc>
          <w:tcPr>
            <w:tcW w:w="70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施工现场未及时清理地面可燃物，动火作业未清理地面可燃物的</w:t>
            </w:r>
          </w:p>
        </w:tc>
        <w:tc>
          <w:tcPr>
            <w:tcW w:w="855"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500元/处、次</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4.20</w:t>
            </w:r>
          </w:p>
        </w:tc>
        <w:tc>
          <w:tcPr>
            <w:tcW w:w="70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动火作业无接火盆、现场无看火人、灭火器材配备不足、过期、失效的</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200元/处、项</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4.21</w:t>
            </w:r>
          </w:p>
        </w:tc>
        <w:tc>
          <w:tcPr>
            <w:tcW w:w="70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动火作业火花隔层溅落未采取有效安全措施的</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CellMar>
            <w:top w:w="0" w:type="dxa"/>
            <w:left w:w="0" w:type="dxa"/>
            <w:bottom w:w="0" w:type="dxa"/>
            <w:right w:w="0" w:type="dxa"/>
          </w:tblCellMar>
        </w:tblPrEx>
        <w:trPr>
          <w:trHeight w:val="283" w:hRule="atLeast"/>
          <w:jc w:val="center"/>
        </w:trPr>
        <w:tc>
          <w:tcPr>
            <w:tcW w:w="116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4.22</w:t>
            </w:r>
          </w:p>
        </w:tc>
        <w:tc>
          <w:tcPr>
            <w:tcW w:w="70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气瓶无标准色标，无防震圈和防护帽的</w:t>
            </w:r>
          </w:p>
        </w:tc>
        <w:tc>
          <w:tcPr>
            <w:tcW w:w="855"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4.23</w:t>
            </w:r>
          </w:p>
        </w:tc>
        <w:tc>
          <w:tcPr>
            <w:tcW w:w="70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气瓶横放或气瓶间距小于5米、距明火小于10米又无隔离措施的</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4.24</w:t>
            </w:r>
          </w:p>
        </w:tc>
        <w:tc>
          <w:tcPr>
            <w:tcW w:w="70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乙炔瓶使用或存放时平放或不按规定存放的</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500元/次</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4.25</w:t>
            </w:r>
          </w:p>
        </w:tc>
        <w:tc>
          <w:tcPr>
            <w:tcW w:w="70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发生其它违反国家消防法律法规，消防安全管理规章制度现象的</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视情收取违约金</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w:t>
            </w:r>
          </w:p>
        </w:tc>
        <w:tc>
          <w:tcPr>
            <w:tcW w:w="70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文明施工</w:t>
            </w:r>
          </w:p>
        </w:tc>
        <w:tc>
          <w:tcPr>
            <w:tcW w:w="855"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5.1</w:t>
            </w:r>
          </w:p>
        </w:tc>
        <w:tc>
          <w:tcPr>
            <w:tcW w:w="70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未编制安全文明施工专项方案</w:t>
            </w:r>
          </w:p>
        </w:tc>
        <w:tc>
          <w:tcPr>
            <w:tcW w:w="855"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1000-5000元</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5.2</w:t>
            </w:r>
          </w:p>
        </w:tc>
        <w:tc>
          <w:tcPr>
            <w:tcW w:w="70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未按照规定进行安全文明施工检查并作书面记录</w:t>
            </w:r>
          </w:p>
        </w:tc>
        <w:tc>
          <w:tcPr>
            <w:tcW w:w="855"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500-5000元</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5.3</w:t>
            </w:r>
          </w:p>
        </w:tc>
        <w:tc>
          <w:tcPr>
            <w:tcW w:w="70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未按照规定设置施工告示牌、公示牌</w:t>
            </w:r>
          </w:p>
        </w:tc>
        <w:tc>
          <w:tcPr>
            <w:tcW w:w="855"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1000-10000元</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5.4</w:t>
            </w:r>
          </w:p>
        </w:tc>
        <w:tc>
          <w:tcPr>
            <w:tcW w:w="70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设置临时通道不符合要求</w:t>
            </w:r>
          </w:p>
        </w:tc>
        <w:tc>
          <w:tcPr>
            <w:tcW w:w="855"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5000-30000元</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5.5</w:t>
            </w:r>
          </w:p>
        </w:tc>
        <w:tc>
          <w:tcPr>
            <w:tcW w:w="70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未设置门卫值班室的</w:t>
            </w:r>
          </w:p>
        </w:tc>
        <w:tc>
          <w:tcPr>
            <w:tcW w:w="855"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1000-5000元</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5.6</w:t>
            </w:r>
          </w:p>
        </w:tc>
        <w:tc>
          <w:tcPr>
            <w:tcW w:w="70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未按照规定设置围挡的</w:t>
            </w:r>
          </w:p>
        </w:tc>
        <w:tc>
          <w:tcPr>
            <w:tcW w:w="855"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2000-10000元</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5.7</w:t>
            </w:r>
          </w:p>
        </w:tc>
        <w:tc>
          <w:tcPr>
            <w:tcW w:w="70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未按照规定对施工现场进行硬化处理、设置通道或者未按照规定设置泥浆沉淀池的</w:t>
            </w:r>
          </w:p>
        </w:tc>
        <w:tc>
          <w:tcPr>
            <w:tcW w:w="855"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5000-30000元</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5.8</w:t>
            </w:r>
          </w:p>
        </w:tc>
        <w:tc>
          <w:tcPr>
            <w:tcW w:w="70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未按照规定堆放建筑材料或者废弃物的</w:t>
            </w:r>
          </w:p>
        </w:tc>
        <w:tc>
          <w:tcPr>
            <w:tcW w:w="855"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1000-5000元</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5.9</w:t>
            </w:r>
          </w:p>
        </w:tc>
        <w:tc>
          <w:tcPr>
            <w:tcW w:w="70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设置的脚手架、安全网不符合规定要求的</w:t>
            </w:r>
          </w:p>
        </w:tc>
        <w:tc>
          <w:tcPr>
            <w:tcW w:w="855"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1000-10000元</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5.10</w:t>
            </w:r>
          </w:p>
        </w:tc>
        <w:tc>
          <w:tcPr>
            <w:tcW w:w="70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未按照规定采取防止扬尘措施的</w:t>
            </w:r>
          </w:p>
        </w:tc>
        <w:tc>
          <w:tcPr>
            <w:tcW w:w="855"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2000-10000元</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5.11</w:t>
            </w:r>
          </w:p>
        </w:tc>
        <w:tc>
          <w:tcPr>
            <w:tcW w:w="70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未采取有效的遮蔽措施的</w:t>
            </w:r>
          </w:p>
        </w:tc>
        <w:tc>
          <w:tcPr>
            <w:tcW w:w="855"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500-5000元</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5.12</w:t>
            </w:r>
          </w:p>
        </w:tc>
        <w:tc>
          <w:tcPr>
            <w:tcW w:w="70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施工作业中挖损管线的；若再次发生，加倍收取违约金</w:t>
            </w:r>
          </w:p>
        </w:tc>
        <w:tc>
          <w:tcPr>
            <w:tcW w:w="855"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1000-5000元</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5.13</w:t>
            </w:r>
          </w:p>
        </w:tc>
        <w:tc>
          <w:tcPr>
            <w:tcW w:w="70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在施工现场焚烧建筑垃圾、生活垃圾以及其他产生有毒有害气体的物质，使用污染严重的燃料或者未按照规定使用农药、化肥的</w:t>
            </w:r>
          </w:p>
        </w:tc>
        <w:tc>
          <w:tcPr>
            <w:tcW w:w="855"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200-2000元</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5.14</w:t>
            </w:r>
          </w:p>
        </w:tc>
        <w:tc>
          <w:tcPr>
            <w:tcW w:w="70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未按照规定设置办公、生活用房的</w:t>
            </w:r>
          </w:p>
        </w:tc>
        <w:tc>
          <w:tcPr>
            <w:tcW w:w="855"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1000-10000元</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5.15</w:t>
            </w:r>
          </w:p>
        </w:tc>
        <w:tc>
          <w:tcPr>
            <w:tcW w:w="70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未按照规定设置食堂或者制定现场食物中毒应急预案的</w:t>
            </w:r>
          </w:p>
        </w:tc>
        <w:tc>
          <w:tcPr>
            <w:tcW w:w="855"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1000-10000元</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5.16</w:t>
            </w:r>
          </w:p>
        </w:tc>
        <w:tc>
          <w:tcPr>
            <w:tcW w:w="70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未在施工现场设置饮用水设施、设置吸烟区不符合规定或者未按照规定设置厕所的</w:t>
            </w:r>
          </w:p>
        </w:tc>
        <w:tc>
          <w:tcPr>
            <w:tcW w:w="855"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500元</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5.17</w:t>
            </w:r>
          </w:p>
        </w:tc>
        <w:tc>
          <w:tcPr>
            <w:tcW w:w="70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监理单位未履行安全文明施工监理职责的</w:t>
            </w:r>
          </w:p>
        </w:tc>
        <w:tc>
          <w:tcPr>
            <w:tcW w:w="855"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2000-10000元</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w:t>
            </w:r>
          </w:p>
        </w:tc>
        <w:tc>
          <w:tcPr>
            <w:tcW w:w="70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临时宿舍管理</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6.1</w:t>
            </w:r>
          </w:p>
        </w:tc>
        <w:tc>
          <w:tcPr>
            <w:tcW w:w="70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宿舍区管理制度不健全，未落实日常管理责任人</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200元/项</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6.2</w:t>
            </w:r>
          </w:p>
        </w:tc>
        <w:tc>
          <w:tcPr>
            <w:tcW w:w="70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宿舍区无专（兼）职治安、防火、卫生管理监督巡视员</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300元/次</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6.3</w:t>
            </w:r>
          </w:p>
        </w:tc>
        <w:tc>
          <w:tcPr>
            <w:tcW w:w="70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宿舍区未实行封闭管理，留宿外来人员无登记制度、存在男女混居现象的</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100元/项</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6.4</w:t>
            </w:r>
          </w:p>
        </w:tc>
        <w:tc>
          <w:tcPr>
            <w:tcW w:w="70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在尚未竣工的建筑物内设置临设的</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500元/次</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6.5</w:t>
            </w:r>
          </w:p>
        </w:tc>
        <w:tc>
          <w:tcPr>
            <w:tcW w:w="70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临时宿舍、设施未经验收合格投入使用的</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200元/次</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6.6</w:t>
            </w:r>
          </w:p>
        </w:tc>
        <w:tc>
          <w:tcPr>
            <w:tcW w:w="70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临时宿舍、设施无抗大风（10级以上）、防雷击措施的</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200元/项</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6.7</w:t>
            </w:r>
          </w:p>
        </w:tc>
        <w:tc>
          <w:tcPr>
            <w:tcW w:w="70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宿舍区消防器材配备不足或失效的</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100元/次</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6.8</w:t>
            </w:r>
          </w:p>
        </w:tc>
        <w:tc>
          <w:tcPr>
            <w:tcW w:w="70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宿舍内未设置独立的漏电、短路保护器和足够数量的安全插座，存在私拉乱接电线现象的</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200元/项</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6.9</w:t>
            </w:r>
          </w:p>
        </w:tc>
        <w:tc>
          <w:tcPr>
            <w:tcW w:w="70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宿舍内（包括值班室）违规使用大功率电器的</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300元/处</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6.10</w:t>
            </w:r>
          </w:p>
        </w:tc>
        <w:tc>
          <w:tcPr>
            <w:tcW w:w="70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宿舍内混杂堆放工具、用具、易燃易爆或有毒物品的</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6.11</w:t>
            </w:r>
          </w:p>
        </w:tc>
        <w:tc>
          <w:tcPr>
            <w:tcW w:w="70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宿舍内垃圾无人清扫，生活用品放置零乱的</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100元/处</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6.12</w:t>
            </w:r>
          </w:p>
        </w:tc>
        <w:tc>
          <w:tcPr>
            <w:tcW w:w="70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无卫生防病宣传教育,或无保健医药箱、急救器材、急救措施和经培训的急救人员的</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100元/项</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6.13</w:t>
            </w:r>
          </w:p>
        </w:tc>
        <w:tc>
          <w:tcPr>
            <w:tcW w:w="70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食堂卫生管理制度不全，管理不善，设施不全，卫生不符合要求，未按要求设置足够数量开水炉、电热水器或饮用水保温桶等基本生活设施的</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200元/项</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6.14</w:t>
            </w:r>
          </w:p>
        </w:tc>
        <w:tc>
          <w:tcPr>
            <w:tcW w:w="70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宿舍区未提供为作业人员晾晒衣物的场地和设施</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50元/项</w:t>
            </w:r>
          </w:p>
        </w:tc>
      </w:tr>
      <w:tr>
        <w:tblPrEx>
          <w:tblCellMar>
            <w:top w:w="0" w:type="dxa"/>
            <w:left w:w="0" w:type="dxa"/>
            <w:bottom w:w="0" w:type="dxa"/>
            <w:right w:w="0" w:type="dxa"/>
          </w:tblCellMar>
        </w:tblPrEx>
        <w:trPr>
          <w:trHeight w:val="283" w:hRule="atLeast"/>
          <w:jc w:val="center"/>
        </w:trPr>
        <w:tc>
          <w:tcPr>
            <w:tcW w:w="116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6.15</w:t>
            </w:r>
          </w:p>
        </w:tc>
        <w:tc>
          <w:tcPr>
            <w:tcW w:w="70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宿舍区未设置水冲式厕所和符合要求淋浴室的</w:t>
            </w:r>
          </w:p>
        </w:tc>
        <w:tc>
          <w:tcPr>
            <w:tcW w:w="855"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100元/项</w:t>
            </w:r>
          </w:p>
        </w:tc>
      </w:tr>
      <w:tr>
        <w:tblPrEx>
          <w:tblCellMar>
            <w:top w:w="0" w:type="dxa"/>
            <w:left w:w="0" w:type="dxa"/>
            <w:bottom w:w="0" w:type="dxa"/>
            <w:right w:w="0" w:type="dxa"/>
          </w:tblCellMar>
        </w:tblPrEx>
        <w:trPr>
          <w:trHeight w:val="283" w:hRule="atLeast"/>
          <w:jc w:val="center"/>
        </w:trPr>
        <w:tc>
          <w:tcPr>
            <w:tcW w:w="116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6.16</w:t>
            </w:r>
          </w:p>
        </w:tc>
        <w:tc>
          <w:tcPr>
            <w:tcW w:w="70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宿舍生活区未设置施工人员学习娱乐场所的</w:t>
            </w:r>
          </w:p>
        </w:tc>
        <w:tc>
          <w:tcPr>
            <w:tcW w:w="855"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100元/项</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6.17</w:t>
            </w:r>
          </w:p>
        </w:tc>
        <w:tc>
          <w:tcPr>
            <w:tcW w:w="70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宿舍区墙壁屋顶不严密、门窗不齐全，或通风效果差的</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100元/项</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6.18</w:t>
            </w:r>
          </w:p>
        </w:tc>
        <w:tc>
          <w:tcPr>
            <w:tcW w:w="70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宿舍无保暖、防暑、防蚊虫叮咬措施的</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100元/项</w:t>
            </w:r>
          </w:p>
        </w:tc>
      </w:tr>
      <w:tr>
        <w:tblPrEx>
          <w:tblCellMar>
            <w:top w:w="0" w:type="dxa"/>
            <w:left w:w="0" w:type="dxa"/>
            <w:bottom w:w="0" w:type="dxa"/>
            <w:right w:w="0" w:type="dxa"/>
          </w:tblCellMar>
        </w:tblPrEx>
        <w:trPr>
          <w:trHeight w:val="283" w:hRule="atLeast"/>
          <w:jc w:val="center"/>
        </w:trPr>
        <w:tc>
          <w:tcPr>
            <w:tcW w:w="11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6.19</w:t>
            </w:r>
          </w:p>
        </w:tc>
        <w:tc>
          <w:tcPr>
            <w:tcW w:w="70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宿舍生活区、大门口及周围毗邻区域垃圾未装容器，垃圾清扫、清运不及时、排水不畅，环境卫生不符合要求的</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6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300元/项</w:t>
            </w:r>
          </w:p>
        </w:tc>
      </w:tr>
    </w:tbl>
    <w:p>
      <w:pPr>
        <w:adjustRightInd w:val="0"/>
        <w:snapToGrid w:val="0"/>
        <w:spacing w:line="360" w:lineRule="exact"/>
        <w:ind w:firstLine="440" w:firstLineChars="200"/>
        <w:rPr>
          <w:rFonts w:ascii="宋体" w:hAnsi="宋体" w:cs="仿宋"/>
          <w:color w:val="auto"/>
          <w:sz w:val="22"/>
          <w:szCs w:val="22"/>
          <w:highlight w:val="none"/>
        </w:rPr>
      </w:pP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jc w:val="center"/>
        <w:textAlignment w:val="auto"/>
        <w:outlineLvl w:val="9"/>
        <w:rPr>
          <w:rFonts w:hint="eastAsia" w:ascii="仿宋_GB2312" w:hAnsi="仿宋_GB2312" w:eastAsia="仿宋_GB2312" w:cs="仿宋_GB2312"/>
          <w:color w:val="auto"/>
          <w:sz w:val="28"/>
          <w:szCs w:val="28"/>
          <w:highlight w:val="none"/>
        </w:rPr>
      </w:pPr>
      <w:r>
        <w:rPr>
          <w:rFonts w:hint="eastAsia" w:ascii="宋体" w:hAnsi="宋体" w:cs="仿宋"/>
          <w:color w:val="auto"/>
          <w:sz w:val="22"/>
          <w:szCs w:val="22"/>
          <w:highlight w:val="none"/>
        </w:rPr>
        <w:br w:type="page"/>
      </w:r>
      <w:r>
        <w:rPr>
          <w:rFonts w:hint="eastAsia" w:ascii="仿宋_GB2312" w:hAnsi="仿宋_GB2312" w:eastAsia="仿宋_GB2312" w:cs="仿宋_GB2312"/>
          <w:color w:val="auto"/>
          <w:sz w:val="28"/>
          <w:szCs w:val="28"/>
          <w:highlight w:val="none"/>
        </w:rPr>
        <w:t>安全隐患整改通知书</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right"/>
        <w:textAlignment w:val="auto"/>
        <w:outlineLvl w:val="9"/>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基建（安）第   号</w:t>
      </w:r>
    </w:p>
    <w:tbl>
      <w:tblPr>
        <w:tblStyle w:val="14"/>
        <w:tblW w:w="9855" w:type="dxa"/>
        <w:tblInd w:w="0" w:type="dxa"/>
        <w:tblLayout w:type="fixed"/>
        <w:tblCellMar>
          <w:top w:w="0" w:type="dxa"/>
          <w:left w:w="0" w:type="dxa"/>
          <w:bottom w:w="0" w:type="dxa"/>
          <w:right w:w="0" w:type="dxa"/>
        </w:tblCellMar>
      </w:tblPr>
      <w:tblGrid>
        <w:gridCol w:w="859"/>
        <w:gridCol w:w="1393"/>
        <w:gridCol w:w="2785"/>
        <w:gridCol w:w="2295"/>
        <w:gridCol w:w="1072"/>
        <w:gridCol w:w="1451"/>
      </w:tblGrid>
      <w:tr>
        <w:tblPrEx>
          <w:tblCellMar>
            <w:top w:w="0" w:type="dxa"/>
            <w:left w:w="0" w:type="dxa"/>
            <w:bottom w:w="0" w:type="dxa"/>
            <w:right w:w="0" w:type="dxa"/>
          </w:tblCellMar>
        </w:tblPrEx>
        <w:trPr>
          <w:trHeight w:val="449" w:hRule="atLeast"/>
        </w:trPr>
        <w:tc>
          <w:tcPr>
            <w:tcW w:w="2252"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工程名称</w:t>
            </w:r>
          </w:p>
        </w:tc>
        <w:tc>
          <w:tcPr>
            <w:tcW w:w="278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hint="eastAsia" w:ascii="仿宋_GB2312" w:hAnsi="仿宋_GB2312" w:eastAsia="仿宋_GB2312" w:cs="仿宋_GB2312"/>
                <w:color w:val="auto"/>
                <w:sz w:val="28"/>
                <w:szCs w:val="28"/>
                <w:highlight w:val="none"/>
              </w:rPr>
            </w:pPr>
          </w:p>
        </w:tc>
        <w:tc>
          <w:tcPr>
            <w:tcW w:w="22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责任施工项目部</w:t>
            </w:r>
          </w:p>
        </w:tc>
        <w:tc>
          <w:tcPr>
            <w:tcW w:w="2523"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hint="eastAsia" w:ascii="仿宋_GB2312" w:hAnsi="仿宋_GB2312" w:eastAsia="仿宋_GB2312" w:cs="仿宋_GB2312"/>
                <w:color w:val="auto"/>
                <w:sz w:val="28"/>
                <w:szCs w:val="28"/>
                <w:highlight w:val="none"/>
              </w:rPr>
            </w:pPr>
          </w:p>
        </w:tc>
      </w:tr>
      <w:tr>
        <w:tblPrEx>
          <w:tblCellMar>
            <w:top w:w="0" w:type="dxa"/>
            <w:left w:w="0" w:type="dxa"/>
            <w:bottom w:w="0" w:type="dxa"/>
            <w:right w:w="0" w:type="dxa"/>
          </w:tblCellMar>
        </w:tblPrEx>
        <w:trPr>
          <w:trHeight w:val="449" w:hRule="atLeast"/>
        </w:trPr>
        <w:tc>
          <w:tcPr>
            <w:tcW w:w="2252"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责任监理项目部</w:t>
            </w:r>
          </w:p>
        </w:tc>
        <w:tc>
          <w:tcPr>
            <w:tcW w:w="278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hint="eastAsia" w:ascii="仿宋_GB2312" w:hAnsi="仿宋_GB2312" w:eastAsia="仿宋_GB2312" w:cs="仿宋_GB2312"/>
                <w:color w:val="auto"/>
                <w:sz w:val="28"/>
                <w:szCs w:val="28"/>
                <w:highlight w:val="none"/>
              </w:rPr>
            </w:pPr>
          </w:p>
        </w:tc>
        <w:tc>
          <w:tcPr>
            <w:tcW w:w="22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责任人（甲方）</w:t>
            </w:r>
          </w:p>
        </w:tc>
        <w:tc>
          <w:tcPr>
            <w:tcW w:w="2523"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hint="eastAsia" w:ascii="仿宋_GB2312" w:hAnsi="仿宋_GB2312" w:eastAsia="仿宋_GB2312" w:cs="仿宋_GB2312"/>
                <w:color w:val="auto"/>
                <w:sz w:val="28"/>
                <w:szCs w:val="28"/>
                <w:highlight w:val="none"/>
              </w:rPr>
            </w:pPr>
          </w:p>
        </w:tc>
      </w:tr>
      <w:tr>
        <w:tblPrEx>
          <w:tblCellMar>
            <w:top w:w="0" w:type="dxa"/>
            <w:left w:w="0" w:type="dxa"/>
            <w:bottom w:w="0" w:type="dxa"/>
            <w:right w:w="0" w:type="dxa"/>
          </w:tblCellMar>
        </w:tblPrEx>
        <w:trPr>
          <w:trHeight w:val="643" w:hRule="atLeast"/>
        </w:trPr>
        <w:tc>
          <w:tcPr>
            <w:tcW w:w="8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序号</w:t>
            </w:r>
          </w:p>
        </w:tc>
        <w:tc>
          <w:tcPr>
            <w:tcW w:w="4178"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存在的安全隐患</w:t>
            </w:r>
          </w:p>
        </w:tc>
        <w:tc>
          <w:tcPr>
            <w:tcW w:w="336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整改建议</w:t>
            </w:r>
          </w:p>
        </w:tc>
        <w:tc>
          <w:tcPr>
            <w:tcW w:w="145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整改期限</w:t>
            </w:r>
          </w:p>
        </w:tc>
      </w:tr>
      <w:tr>
        <w:tblPrEx>
          <w:tblCellMar>
            <w:top w:w="0" w:type="dxa"/>
            <w:left w:w="0" w:type="dxa"/>
            <w:bottom w:w="0" w:type="dxa"/>
            <w:right w:w="0" w:type="dxa"/>
          </w:tblCellMar>
        </w:tblPrEx>
        <w:trPr>
          <w:trHeight w:val="1488" w:hRule="atLeast"/>
        </w:trPr>
        <w:tc>
          <w:tcPr>
            <w:tcW w:w="8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spacing w:line="360" w:lineRule="exact"/>
              <w:rPr>
                <w:rFonts w:hint="eastAsia" w:ascii="仿宋_GB2312" w:hAnsi="仿宋_GB2312" w:eastAsia="仿宋_GB2312" w:cs="仿宋_GB2312"/>
                <w:color w:val="auto"/>
                <w:sz w:val="28"/>
                <w:szCs w:val="28"/>
                <w:highlight w:val="none"/>
              </w:rPr>
            </w:pPr>
          </w:p>
        </w:tc>
        <w:tc>
          <w:tcPr>
            <w:tcW w:w="4178"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spacing w:line="360" w:lineRule="exact"/>
              <w:rPr>
                <w:rFonts w:hint="eastAsia" w:ascii="仿宋_GB2312" w:hAnsi="仿宋_GB2312" w:eastAsia="仿宋_GB2312" w:cs="仿宋_GB2312"/>
                <w:color w:val="auto"/>
                <w:sz w:val="28"/>
                <w:szCs w:val="28"/>
                <w:highlight w:val="none"/>
              </w:rPr>
            </w:pPr>
          </w:p>
        </w:tc>
        <w:tc>
          <w:tcPr>
            <w:tcW w:w="336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spacing w:line="360" w:lineRule="exact"/>
              <w:rPr>
                <w:rFonts w:hint="eastAsia" w:ascii="仿宋_GB2312" w:hAnsi="仿宋_GB2312" w:eastAsia="仿宋_GB2312" w:cs="仿宋_GB2312"/>
                <w:color w:val="auto"/>
                <w:sz w:val="28"/>
                <w:szCs w:val="28"/>
                <w:highlight w:val="none"/>
              </w:rPr>
            </w:pPr>
          </w:p>
        </w:tc>
        <w:tc>
          <w:tcPr>
            <w:tcW w:w="145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spacing w:line="360" w:lineRule="exact"/>
              <w:rPr>
                <w:rFonts w:hint="eastAsia" w:ascii="仿宋_GB2312" w:hAnsi="仿宋_GB2312" w:eastAsia="仿宋_GB2312" w:cs="仿宋_GB2312"/>
                <w:color w:val="auto"/>
                <w:sz w:val="28"/>
                <w:szCs w:val="28"/>
                <w:highlight w:val="none"/>
              </w:rPr>
            </w:pPr>
          </w:p>
        </w:tc>
      </w:tr>
      <w:tr>
        <w:tblPrEx>
          <w:tblCellMar>
            <w:top w:w="0" w:type="dxa"/>
            <w:left w:w="0" w:type="dxa"/>
            <w:bottom w:w="0" w:type="dxa"/>
            <w:right w:w="0" w:type="dxa"/>
          </w:tblCellMar>
        </w:tblPrEx>
        <w:trPr>
          <w:trHeight w:val="1421" w:hRule="atLeast"/>
        </w:trPr>
        <w:tc>
          <w:tcPr>
            <w:tcW w:w="8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spacing w:line="360" w:lineRule="exact"/>
              <w:rPr>
                <w:rFonts w:hint="eastAsia" w:ascii="仿宋_GB2312" w:hAnsi="仿宋_GB2312" w:eastAsia="仿宋_GB2312" w:cs="仿宋_GB2312"/>
                <w:color w:val="auto"/>
                <w:sz w:val="28"/>
                <w:szCs w:val="28"/>
                <w:highlight w:val="none"/>
              </w:rPr>
            </w:pPr>
          </w:p>
        </w:tc>
        <w:tc>
          <w:tcPr>
            <w:tcW w:w="4178"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spacing w:line="360" w:lineRule="exact"/>
              <w:rPr>
                <w:rFonts w:hint="eastAsia" w:ascii="仿宋_GB2312" w:hAnsi="仿宋_GB2312" w:eastAsia="仿宋_GB2312" w:cs="仿宋_GB2312"/>
                <w:color w:val="auto"/>
                <w:sz w:val="28"/>
                <w:szCs w:val="28"/>
                <w:highlight w:val="none"/>
              </w:rPr>
            </w:pPr>
          </w:p>
        </w:tc>
        <w:tc>
          <w:tcPr>
            <w:tcW w:w="336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spacing w:line="360" w:lineRule="exact"/>
              <w:rPr>
                <w:rFonts w:hint="eastAsia" w:ascii="仿宋_GB2312" w:hAnsi="仿宋_GB2312" w:eastAsia="仿宋_GB2312" w:cs="仿宋_GB2312"/>
                <w:color w:val="auto"/>
                <w:sz w:val="28"/>
                <w:szCs w:val="28"/>
                <w:highlight w:val="none"/>
              </w:rPr>
            </w:pPr>
          </w:p>
        </w:tc>
        <w:tc>
          <w:tcPr>
            <w:tcW w:w="145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spacing w:line="360" w:lineRule="exact"/>
              <w:rPr>
                <w:rFonts w:hint="eastAsia" w:ascii="仿宋_GB2312" w:hAnsi="仿宋_GB2312" w:eastAsia="仿宋_GB2312" w:cs="仿宋_GB2312"/>
                <w:color w:val="auto"/>
                <w:sz w:val="28"/>
                <w:szCs w:val="28"/>
                <w:highlight w:val="none"/>
              </w:rPr>
            </w:pPr>
          </w:p>
        </w:tc>
      </w:tr>
      <w:tr>
        <w:tblPrEx>
          <w:tblCellMar>
            <w:top w:w="0" w:type="dxa"/>
            <w:left w:w="0" w:type="dxa"/>
            <w:bottom w:w="0" w:type="dxa"/>
            <w:right w:w="0" w:type="dxa"/>
          </w:tblCellMar>
        </w:tblPrEx>
        <w:trPr>
          <w:trHeight w:val="1346" w:hRule="atLeast"/>
        </w:trPr>
        <w:tc>
          <w:tcPr>
            <w:tcW w:w="8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spacing w:line="360" w:lineRule="exact"/>
              <w:rPr>
                <w:rFonts w:hint="eastAsia" w:ascii="仿宋_GB2312" w:hAnsi="仿宋_GB2312" w:eastAsia="仿宋_GB2312" w:cs="仿宋_GB2312"/>
                <w:color w:val="auto"/>
                <w:sz w:val="28"/>
                <w:szCs w:val="28"/>
                <w:highlight w:val="none"/>
              </w:rPr>
            </w:pPr>
          </w:p>
        </w:tc>
        <w:tc>
          <w:tcPr>
            <w:tcW w:w="4178"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spacing w:line="360" w:lineRule="exact"/>
              <w:rPr>
                <w:rFonts w:hint="eastAsia" w:ascii="仿宋_GB2312" w:hAnsi="仿宋_GB2312" w:eastAsia="仿宋_GB2312" w:cs="仿宋_GB2312"/>
                <w:color w:val="auto"/>
                <w:sz w:val="28"/>
                <w:szCs w:val="28"/>
                <w:highlight w:val="none"/>
              </w:rPr>
            </w:pPr>
          </w:p>
        </w:tc>
        <w:tc>
          <w:tcPr>
            <w:tcW w:w="336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spacing w:line="360" w:lineRule="exact"/>
              <w:rPr>
                <w:rFonts w:hint="eastAsia" w:ascii="仿宋_GB2312" w:hAnsi="仿宋_GB2312" w:eastAsia="仿宋_GB2312" w:cs="仿宋_GB2312"/>
                <w:color w:val="auto"/>
                <w:sz w:val="28"/>
                <w:szCs w:val="28"/>
                <w:highlight w:val="none"/>
              </w:rPr>
            </w:pPr>
          </w:p>
        </w:tc>
        <w:tc>
          <w:tcPr>
            <w:tcW w:w="145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spacing w:line="360" w:lineRule="exact"/>
              <w:rPr>
                <w:rFonts w:hint="eastAsia" w:ascii="仿宋_GB2312" w:hAnsi="仿宋_GB2312" w:eastAsia="仿宋_GB2312" w:cs="仿宋_GB2312"/>
                <w:color w:val="auto"/>
                <w:sz w:val="28"/>
                <w:szCs w:val="28"/>
                <w:highlight w:val="none"/>
              </w:rPr>
            </w:pPr>
          </w:p>
        </w:tc>
      </w:tr>
      <w:tr>
        <w:tblPrEx>
          <w:tblCellMar>
            <w:top w:w="0" w:type="dxa"/>
            <w:left w:w="0" w:type="dxa"/>
            <w:bottom w:w="0" w:type="dxa"/>
            <w:right w:w="0" w:type="dxa"/>
          </w:tblCellMar>
        </w:tblPrEx>
        <w:trPr>
          <w:trHeight w:val="1451" w:hRule="atLeast"/>
        </w:trPr>
        <w:tc>
          <w:tcPr>
            <w:tcW w:w="8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spacing w:line="360" w:lineRule="exact"/>
              <w:rPr>
                <w:rFonts w:hint="eastAsia" w:ascii="仿宋_GB2312" w:hAnsi="仿宋_GB2312" w:eastAsia="仿宋_GB2312" w:cs="仿宋_GB2312"/>
                <w:color w:val="auto"/>
                <w:sz w:val="28"/>
                <w:szCs w:val="28"/>
                <w:highlight w:val="none"/>
              </w:rPr>
            </w:pPr>
          </w:p>
        </w:tc>
        <w:tc>
          <w:tcPr>
            <w:tcW w:w="4178"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spacing w:line="360" w:lineRule="exact"/>
              <w:rPr>
                <w:rFonts w:hint="eastAsia" w:ascii="仿宋_GB2312" w:hAnsi="仿宋_GB2312" w:eastAsia="仿宋_GB2312" w:cs="仿宋_GB2312"/>
                <w:color w:val="auto"/>
                <w:sz w:val="28"/>
                <w:szCs w:val="28"/>
                <w:highlight w:val="none"/>
              </w:rPr>
            </w:pPr>
          </w:p>
        </w:tc>
        <w:tc>
          <w:tcPr>
            <w:tcW w:w="336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spacing w:line="360" w:lineRule="exact"/>
              <w:rPr>
                <w:rFonts w:hint="eastAsia" w:ascii="仿宋_GB2312" w:hAnsi="仿宋_GB2312" w:eastAsia="仿宋_GB2312" w:cs="仿宋_GB2312"/>
                <w:color w:val="auto"/>
                <w:sz w:val="28"/>
                <w:szCs w:val="28"/>
                <w:highlight w:val="none"/>
              </w:rPr>
            </w:pPr>
          </w:p>
        </w:tc>
        <w:tc>
          <w:tcPr>
            <w:tcW w:w="145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spacing w:line="360" w:lineRule="exact"/>
              <w:rPr>
                <w:rFonts w:hint="eastAsia" w:ascii="仿宋_GB2312" w:hAnsi="仿宋_GB2312" w:eastAsia="仿宋_GB2312" w:cs="仿宋_GB2312"/>
                <w:color w:val="auto"/>
                <w:sz w:val="28"/>
                <w:szCs w:val="28"/>
                <w:highlight w:val="none"/>
              </w:rPr>
            </w:pPr>
          </w:p>
        </w:tc>
      </w:tr>
      <w:tr>
        <w:tblPrEx>
          <w:tblCellMar>
            <w:top w:w="0" w:type="dxa"/>
            <w:left w:w="0" w:type="dxa"/>
            <w:bottom w:w="0" w:type="dxa"/>
            <w:right w:w="0" w:type="dxa"/>
          </w:tblCellMar>
        </w:tblPrEx>
        <w:trPr>
          <w:trHeight w:val="1944" w:hRule="atLeast"/>
        </w:trPr>
        <w:tc>
          <w:tcPr>
            <w:tcW w:w="5037"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spacing w:line="360" w:lineRule="exac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责任单位项目部（签章）：</w:t>
            </w:r>
          </w:p>
        </w:tc>
        <w:tc>
          <w:tcPr>
            <w:tcW w:w="4818"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spacing w:line="360" w:lineRule="exac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检查人员（签字）：</w:t>
            </w:r>
          </w:p>
          <w:p>
            <w:pPr>
              <w:adjustRightInd w:val="0"/>
              <w:snapToGrid w:val="0"/>
              <w:spacing w:line="360" w:lineRule="exact"/>
              <w:rPr>
                <w:rFonts w:hint="eastAsia" w:ascii="仿宋_GB2312" w:hAnsi="仿宋_GB2312" w:eastAsia="仿宋_GB2312" w:cs="仿宋_GB2312"/>
                <w:color w:val="auto"/>
                <w:sz w:val="28"/>
                <w:szCs w:val="28"/>
                <w:highlight w:val="none"/>
              </w:rPr>
            </w:pPr>
          </w:p>
          <w:p>
            <w:pPr>
              <w:adjustRightInd w:val="0"/>
              <w:snapToGrid w:val="0"/>
              <w:spacing w:line="360" w:lineRule="exac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检查时间：</w:t>
            </w:r>
          </w:p>
        </w:tc>
      </w:tr>
      <w:tr>
        <w:tblPrEx>
          <w:tblCellMar>
            <w:top w:w="0" w:type="dxa"/>
            <w:left w:w="0" w:type="dxa"/>
            <w:bottom w:w="0" w:type="dxa"/>
            <w:right w:w="0" w:type="dxa"/>
          </w:tblCellMar>
        </w:tblPrEx>
        <w:trPr>
          <w:trHeight w:val="1915" w:hRule="atLeast"/>
        </w:trPr>
        <w:tc>
          <w:tcPr>
            <w:tcW w:w="9855" w:type="dxa"/>
            <w:gridSpan w:val="6"/>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spacing w:line="360" w:lineRule="exac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                           </w:t>
            </w:r>
          </w:p>
          <w:p>
            <w:pPr>
              <w:adjustRightInd w:val="0"/>
              <w:snapToGrid w:val="0"/>
              <w:spacing w:line="360" w:lineRule="exac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检查部门（签章）</w:t>
            </w:r>
          </w:p>
          <w:p>
            <w:pPr>
              <w:adjustRightInd w:val="0"/>
              <w:snapToGrid w:val="0"/>
              <w:spacing w:line="360" w:lineRule="exac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                                          </w:t>
            </w:r>
          </w:p>
          <w:p>
            <w:pPr>
              <w:adjustRightInd w:val="0"/>
              <w:snapToGrid w:val="0"/>
              <w:spacing w:line="360" w:lineRule="exac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二○　　年　　月　　　日</w:t>
            </w:r>
          </w:p>
        </w:tc>
      </w:tr>
    </w:tbl>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注：1、施工项目部收到本通知单后，须在指定时限内完成整改，并递交《施工安全隐患整改回复单》；2、本通知书一式三份，检查人员、责任施工项目部、责任监理项目部各持一份。3、表格中的签章是指签字或盖章。</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jc w:val="center"/>
        <w:textAlignment w:val="auto"/>
        <w:outlineLvl w:val="9"/>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br w:type="page"/>
      </w:r>
      <w:r>
        <w:rPr>
          <w:rFonts w:hint="eastAsia" w:ascii="仿宋_GB2312" w:hAnsi="仿宋_GB2312" w:eastAsia="仿宋_GB2312" w:cs="仿宋_GB2312"/>
          <w:color w:val="auto"/>
          <w:sz w:val="28"/>
          <w:szCs w:val="28"/>
          <w:highlight w:val="none"/>
        </w:rPr>
        <w:t>安全文明施工工作联系单（收取违约金）</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right"/>
        <w:textAlignment w:val="auto"/>
        <w:outlineLvl w:val="9"/>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基建（安）第   号</w:t>
      </w:r>
    </w:p>
    <w:tbl>
      <w:tblPr>
        <w:tblStyle w:val="14"/>
        <w:tblW w:w="9855" w:type="dxa"/>
        <w:tblInd w:w="0" w:type="dxa"/>
        <w:tblLayout w:type="fixed"/>
        <w:tblCellMar>
          <w:top w:w="0" w:type="dxa"/>
          <w:left w:w="0" w:type="dxa"/>
          <w:bottom w:w="0" w:type="dxa"/>
          <w:right w:w="0" w:type="dxa"/>
        </w:tblCellMar>
      </w:tblPr>
      <w:tblGrid>
        <w:gridCol w:w="1399"/>
        <w:gridCol w:w="534"/>
        <w:gridCol w:w="575"/>
        <w:gridCol w:w="882"/>
        <w:gridCol w:w="3186"/>
        <w:gridCol w:w="3279"/>
      </w:tblGrid>
      <w:tr>
        <w:tblPrEx>
          <w:tblCellMar>
            <w:top w:w="0" w:type="dxa"/>
            <w:left w:w="0" w:type="dxa"/>
            <w:bottom w:w="0" w:type="dxa"/>
            <w:right w:w="0" w:type="dxa"/>
          </w:tblCellMar>
        </w:tblPrEx>
        <w:trPr>
          <w:trHeight w:val="630" w:hRule="atLeast"/>
        </w:trPr>
        <w:tc>
          <w:tcPr>
            <w:tcW w:w="2508"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责任单位项目部</w:t>
            </w:r>
          </w:p>
        </w:tc>
        <w:tc>
          <w:tcPr>
            <w:tcW w:w="7347"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8"/>
                <w:szCs w:val="28"/>
                <w:highlight w:val="none"/>
              </w:rPr>
            </w:pPr>
          </w:p>
        </w:tc>
      </w:tr>
      <w:tr>
        <w:tblPrEx>
          <w:tblCellMar>
            <w:top w:w="0" w:type="dxa"/>
            <w:left w:w="0" w:type="dxa"/>
            <w:bottom w:w="0" w:type="dxa"/>
            <w:right w:w="0" w:type="dxa"/>
          </w:tblCellMar>
        </w:tblPrEx>
        <w:trPr>
          <w:trHeight w:val="180" w:hRule="atLeast"/>
        </w:trPr>
        <w:tc>
          <w:tcPr>
            <w:tcW w:w="1399"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整改通知书编号</w:t>
            </w:r>
          </w:p>
        </w:tc>
        <w:tc>
          <w:tcPr>
            <w:tcW w:w="8456" w:type="dxa"/>
            <w:gridSpan w:val="5"/>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处   罚    标　　准　　依　　据</w:t>
            </w:r>
          </w:p>
        </w:tc>
      </w:tr>
      <w:tr>
        <w:tblPrEx>
          <w:tblCellMar>
            <w:top w:w="0" w:type="dxa"/>
            <w:left w:w="0" w:type="dxa"/>
            <w:bottom w:w="0" w:type="dxa"/>
            <w:right w:w="0" w:type="dxa"/>
          </w:tblCellMar>
        </w:tblPrEx>
        <w:trPr>
          <w:trHeight w:val="333" w:hRule="atLeast"/>
        </w:trPr>
        <w:tc>
          <w:tcPr>
            <w:tcW w:w="1399"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8"/>
                <w:szCs w:val="28"/>
                <w:highlight w:val="none"/>
              </w:rPr>
            </w:pPr>
          </w:p>
        </w:tc>
        <w:tc>
          <w:tcPr>
            <w:tcW w:w="1991"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收取违约金数额（元）</w:t>
            </w:r>
          </w:p>
        </w:tc>
        <w:tc>
          <w:tcPr>
            <w:tcW w:w="6465"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未按要求整改内容描述</w:t>
            </w:r>
          </w:p>
        </w:tc>
      </w:tr>
      <w:tr>
        <w:tblPrEx>
          <w:tblCellMar>
            <w:top w:w="0" w:type="dxa"/>
            <w:left w:w="0" w:type="dxa"/>
            <w:bottom w:w="0" w:type="dxa"/>
            <w:right w:w="0" w:type="dxa"/>
          </w:tblCellMar>
        </w:tblPrEx>
        <w:trPr>
          <w:trHeight w:val="974" w:hRule="atLeast"/>
        </w:trPr>
        <w:tc>
          <w:tcPr>
            <w:tcW w:w="13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8"/>
                <w:szCs w:val="28"/>
                <w:highlight w:val="none"/>
              </w:rPr>
            </w:pPr>
          </w:p>
        </w:tc>
        <w:tc>
          <w:tcPr>
            <w:tcW w:w="1991"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8"/>
                <w:szCs w:val="28"/>
                <w:highlight w:val="none"/>
              </w:rPr>
            </w:pPr>
          </w:p>
        </w:tc>
        <w:tc>
          <w:tcPr>
            <w:tcW w:w="6465"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8"/>
                <w:szCs w:val="28"/>
                <w:highlight w:val="none"/>
              </w:rPr>
            </w:pPr>
          </w:p>
        </w:tc>
      </w:tr>
      <w:tr>
        <w:tblPrEx>
          <w:tblCellMar>
            <w:top w:w="0" w:type="dxa"/>
            <w:left w:w="0" w:type="dxa"/>
            <w:bottom w:w="0" w:type="dxa"/>
            <w:right w:w="0" w:type="dxa"/>
          </w:tblCellMar>
        </w:tblPrEx>
        <w:trPr>
          <w:trHeight w:val="980" w:hRule="atLeast"/>
        </w:trPr>
        <w:tc>
          <w:tcPr>
            <w:tcW w:w="13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8"/>
                <w:szCs w:val="28"/>
                <w:highlight w:val="none"/>
              </w:rPr>
            </w:pPr>
          </w:p>
        </w:tc>
        <w:tc>
          <w:tcPr>
            <w:tcW w:w="1991"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8"/>
                <w:szCs w:val="28"/>
                <w:highlight w:val="none"/>
              </w:rPr>
            </w:pPr>
          </w:p>
        </w:tc>
        <w:tc>
          <w:tcPr>
            <w:tcW w:w="6465"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8"/>
                <w:szCs w:val="28"/>
                <w:highlight w:val="none"/>
              </w:rPr>
            </w:pPr>
          </w:p>
        </w:tc>
      </w:tr>
      <w:tr>
        <w:tblPrEx>
          <w:tblCellMar>
            <w:top w:w="0" w:type="dxa"/>
            <w:left w:w="0" w:type="dxa"/>
            <w:bottom w:w="0" w:type="dxa"/>
            <w:right w:w="0" w:type="dxa"/>
          </w:tblCellMar>
        </w:tblPrEx>
        <w:trPr>
          <w:trHeight w:val="1025" w:hRule="atLeast"/>
        </w:trPr>
        <w:tc>
          <w:tcPr>
            <w:tcW w:w="13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8"/>
                <w:szCs w:val="28"/>
                <w:highlight w:val="none"/>
              </w:rPr>
            </w:pPr>
          </w:p>
        </w:tc>
        <w:tc>
          <w:tcPr>
            <w:tcW w:w="1991"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8"/>
                <w:szCs w:val="28"/>
                <w:highlight w:val="none"/>
              </w:rPr>
            </w:pPr>
          </w:p>
        </w:tc>
        <w:tc>
          <w:tcPr>
            <w:tcW w:w="6465"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8"/>
                <w:szCs w:val="28"/>
                <w:highlight w:val="none"/>
              </w:rPr>
            </w:pPr>
          </w:p>
        </w:tc>
      </w:tr>
      <w:tr>
        <w:tblPrEx>
          <w:tblCellMar>
            <w:top w:w="0" w:type="dxa"/>
            <w:left w:w="0" w:type="dxa"/>
            <w:bottom w:w="0" w:type="dxa"/>
            <w:right w:w="0" w:type="dxa"/>
          </w:tblCellMar>
        </w:tblPrEx>
        <w:trPr>
          <w:trHeight w:val="950" w:hRule="atLeast"/>
        </w:trPr>
        <w:tc>
          <w:tcPr>
            <w:tcW w:w="13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8"/>
                <w:szCs w:val="28"/>
                <w:highlight w:val="none"/>
              </w:rPr>
            </w:pPr>
          </w:p>
        </w:tc>
        <w:tc>
          <w:tcPr>
            <w:tcW w:w="1991"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8"/>
                <w:szCs w:val="28"/>
                <w:highlight w:val="none"/>
              </w:rPr>
            </w:pPr>
          </w:p>
        </w:tc>
        <w:tc>
          <w:tcPr>
            <w:tcW w:w="6465"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8"/>
                <w:szCs w:val="28"/>
                <w:highlight w:val="none"/>
              </w:rPr>
            </w:pPr>
          </w:p>
        </w:tc>
      </w:tr>
      <w:tr>
        <w:tblPrEx>
          <w:tblCellMar>
            <w:top w:w="0" w:type="dxa"/>
            <w:left w:w="0" w:type="dxa"/>
            <w:bottom w:w="0" w:type="dxa"/>
            <w:right w:w="0" w:type="dxa"/>
          </w:tblCellMar>
        </w:tblPrEx>
        <w:trPr>
          <w:trHeight w:val="1010" w:hRule="atLeast"/>
        </w:trPr>
        <w:tc>
          <w:tcPr>
            <w:tcW w:w="13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8"/>
                <w:szCs w:val="28"/>
                <w:highlight w:val="none"/>
              </w:rPr>
            </w:pPr>
          </w:p>
        </w:tc>
        <w:tc>
          <w:tcPr>
            <w:tcW w:w="1991"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8"/>
                <w:szCs w:val="28"/>
                <w:highlight w:val="none"/>
              </w:rPr>
            </w:pPr>
          </w:p>
        </w:tc>
        <w:tc>
          <w:tcPr>
            <w:tcW w:w="6465"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8"/>
                <w:szCs w:val="28"/>
                <w:highlight w:val="none"/>
              </w:rPr>
            </w:pPr>
          </w:p>
        </w:tc>
      </w:tr>
      <w:tr>
        <w:tblPrEx>
          <w:tblCellMar>
            <w:top w:w="0" w:type="dxa"/>
            <w:left w:w="0" w:type="dxa"/>
            <w:bottom w:w="0" w:type="dxa"/>
            <w:right w:w="0" w:type="dxa"/>
          </w:tblCellMar>
        </w:tblPrEx>
        <w:trPr>
          <w:trHeight w:val="1040" w:hRule="atLeast"/>
        </w:trPr>
        <w:tc>
          <w:tcPr>
            <w:tcW w:w="13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8"/>
                <w:szCs w:val="28"/>
                <w:highlight w:val="none"/>
              </w:rPr>
            </w:pPr>
          </w:p>
        </w:tc>
        <w:tc>
          <w:tcPr>
            <w:tcW w:w="1991"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8"/>
                <w:szCs w:val="28"/>
                <w:highlight w:val="none"/>
              </w:rPr>
            </w:pPr>
          </w:p>
        </w:tc>
        <w:tc>
          <w:tcPr>
            <w:tcW w:w="6465"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8"/>
                <w:szCs w:val="28"/>
                <w:highlight w:val="none"/>
              </w:rPr>
            </w:pPr>
          </w:p>
        </w:tc>
      </w:tr>
      <w:tr>
        <w:tblPrEx>
          <w:tblCellMar>
            <w:top w:w="0" w:type="dxa"/>
            <w:left w:w="0" w:type="dxa"/>
            <w:bottom w:w="0" w:type="dxa"/>
            <w:right w:w="0" w:type="dxa"/>
          </w:tblCellMar>
        </w:tblPrEx>
        <w:trPr>
          <w:trHeight w:val="630" w:hRule="atLeast"/>
        </w:trPr>
        <w:tc>
          <w:tcPr>
            <w:tcW w:w="1933"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color w:val="auto"/>
                <w:sz w:val="28"/>
                <w:szCs w:val="28"/>
                <w:highlight w:val="none"/>
              </w:rPr>
              <w:t>收取违约金合计（元）</w:t>
            </w:r>
          </w:p>
        </w:tc>
        <w:tc>
          <w:tcPr>
            <w:tcW w:w="145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8"/>
                <w:szCs w:val="28"/>
                <w:highlight w:val="none"/>
              </w:rPr>
            </w:pPr>
          </w:p>
        </w:tc>
        <w:tc>
          <w:tcPr>
            <w:tcW w:w="318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检查人员</w:t>
            </w:r>
          </w:p>
        </w:tc>
        <w:tc>
          <w:tcPr>
            <w:tcW w:w="32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8"/>
                <w:szCs w:val="28"/>
                <w:highlight w:val="none"/>
              </w:rPr>
            </w:pPr>
          </w:p>
        </w:tc>
      </w:tr>
      <w:tr>
        <w:tblPrEx>
          <w:tblCellMar>
            <w:top w:w="0" w:type="dxa"/>
            <w:left w:w="0" w:type="dxa"/>
            <w:bottom w:w="0" w:type="dxa"/>
            <w:right w:w="0" w:type="dxa"/>
          </w:tblCellMar>
        </w:tblPrEx>
        <w:trPr>
          <w:trHeight w:val="1834" w:hRule="atLeast"/>
        </w:trPr>
        <w:tc>
          <w:tcPr>
            <w:tcW w:w="3390"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责任施工项目部（签章）</w:t>
            </w:r>
          </w:p>
        </w:tc>
        <w:tc>
          <w:tcPr>
            <w:tcW w:w="318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责任监理项目部（签章）</w:t>
            </w:r>
          </w:p>
          <w:p>
            <w:pPr>
              <w:adjustRightInd w:val="0"/>
              <w:snapToGrid w:val="0"/>
              <w:rPr>
                <w:rFonts w:hint="eastAsia" w:ascii="仿宋_GB2312" w:hAnsi="仿宋_GB2312" w:eastAsia="仿宋_GB2312" w:cs="仿宋_GB2312"/>
                <w:color w:val="auto"/>
                <w:sz w:val="28"/>
                <w:szCs w:val="28"/>
                <w:highlight w:val="none"/>
              </w:rPr>
            </w:pPr>
          </w:p>
          <w:p>
            <w:pPr>
              <w:adjustRightInd w:val="0"/>
              <w:snapToGrid w:val="0"/>
              <w:rPr>
                <w:rFonts w:hint="eastAsia" w:ascii="仿宋_GB2312" w:hAnsi="仿宋_GB2312" w:eastAsia="仿宋_GB2312" w:cs="仿宋_GB2312"/>
                <w:color w:val="auto"/>
                <w:sz w:val="28"/>
                <w:szCs w:val="28"/>
                <w:highlight w:val="none"/>
              </w:rPr>
            </w:pPr>
          </w:p>
          <w:p>
            <w:pPr>
              <w:adjustRightInd w:val="0"/>
              <w:snapToGrid w:val="0"/>
              <w:rPr>
                <w:rFonts w:hint="eastAsia" w:ascii="仿宋_GB2312" w:hAnsi="仿宋_GB2312" w:eastAsia="仿宋_GB2312" w:cs="仿宋_GB2312"/>
                <w:color w:val="auto"/>
                <w:sz w:val="28"/>
                <w:szCs w:val="28"/>
                <w:highlight w:val="none"/>
              </w:rPr>
            </w:pPr>
          </w:p>
          <w:p>
            <w:pPr>
              <w:adjustRightInd w:val="0"/>
              <w:snapToGrid w:val="0"/>
              <w:rPr>
                <w:rFonts w:hint="eastAsia" w:ascii="仿宋_GB2312" w:hAnsi="仿宋_GB2312" w:eastAsia="仿宋_GB2312" w:cs="仿宋_GB2312"/>
                <w:color w:val="auto"/>
                <w:sz w:val="28"/>
                <w:szCs w:val="28"/>
                <w:highlight w:val="none"/>
              </w:rPr>
            </w:pPr>
          </w:p>
        </w:tc>
        <w:tc>
          <w:tcPr>
            <w:tcW w:w="32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签发部门（签章）</w:t>
            </w:r>
          </w:p>
          <w:p>
            <w:pPr>
              <w:adjustRightInd w:val="0"/>
              <w:snapToGrid w:val="0"/>
              <w:rPr>
                <w:rFonts w:hint="eastAsia" w:ascii="仿宋_GB2312" w:hAnsi="仿宋_GB2312" w:eastAsia="仿宋_GB2312" w:cs="仿宋_GB2312"/>
                <w:color w:val="auto"/>
                <w:sz w:val="28"/>
                <w:szCs w:val="28"/>
                <w:highlight w:val="none"/>
              </w:rPr>
            </w:pPr>
          </w:p>
          <w:p>
            <w:pPr>
              <w:adjustRightInd w:val="0"/>
              <w:snapToGrid w:val="0"/>
              <w:rPr>
                <w:rFonts w:hint="eastAsia" w:ascii="仿宋_GB2312" w:hAnsi="仿宋_GB2312" w:eastAsia="仿宋_GB2312" w:cs="仿宋_GB2312"/>
                <w:color w:val="auto"/>
                <w:sz w:val="28"/>
                <w:szCs w:val="28"/>
                <w:highlight w:val="none"/>
              </w:rPr>
            </w:pPr>
          </w:p>
          <w:p>
            <w:pPr>
              <w:adjustRightInd w:val="0"/>
              <w:snapToGrid w:val="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二○   年   月    日</w:t>
            </w:r>
          </w:p>
        </w:tc>
      </w:tr>
    </w:tbl>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left"/>
        <w:textAlignment w:val="auto"/>
        <w:outlineLvl w:val="9"/>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color w:val="auto"/>
          <w:sz w:val="28"/>
          <w:szCs w:val="28"/>
          <w:highlight w:val="none"/>
        </w:rPr>
        <w:t>注：1、本扣分通知单一式四份，动力部、签发人、责任施工项目部和责任监理项目部各持一份。2、表格中的签章是指签字或盖章。</w:t>
      </w:r>
    </w:p>
    <w:p>
      <w:pPr>
        <w:widowControl/>
        <w:spacing w:line="240" w:lineRule="auto"/>
        <w:jc w:val="left"/>
        <w:rPr>
          <w:rFonts w:hint="eastAsia" w:ascii="仿宋_GB2312" w:hAnsi="仿宋_GB2312" w:eastAsia="仿宋_GB2312" w:cs="仿宋_GB2312"/>
          <w:b/>
          <w:bCs/>
          <w:color w:val="auto"/>
          <w:sz w:val="28"/>
          <w:szCs w:val="28"/>
          <w:highlight w:val="none"/>
        </w:rPr>
        <w:sectPr>
          <w:footerReference r:id="rId7" w:type="default"/>
          <w:pgSz w:w="11907" w:h="16840"/>
          <w:pgMar w:top="1134" w:right="1134" w:bottom="1134" w:left="1134" w:header="851" w:footer="992" w:gutter="0"/>
          <w:pgNumType w:fmt="decimal" w:start="1"/>
          <w:cols w:space="720" w:num="1"/>
          <w:docGrid w:linePitch="312" w:charSpace="0"/>
        </w:sect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黑体" w:hAnsi="黑体" w:eastAsia="黑体" w:cs="黑体"/>
          <w:b w:val="0"/>
          <w:bCs w:val="0"/>
          <w:sz w:val="32"/>
          <w:szCs w:val="32"/>
        </w:rPr>
      </w:pPr>
      <w:r>
        <w:rPr>
          <w:rFonts w:hint="eastAsia" w:ascii="黑体" w:hAnsi="黑体" w:eastAsia="黑体" w:cs="黑体"/>
          <w:b w:val="0"/>
          <w:bCs w:val="0"/>
          <w:sz w:val="32"/>
          <w:szCs w:val="32"/>
        </w:rPr>
        <w:t>附件</w:t>
      </w:r>
      <w:r>
        <w:rPr>
          <w:rFonts w:hint="eastAsia" w:ascii="黑体" w:hAnsi="黑体" w:eastAsia="黑体" w:cs="黑体"/>
          <w:b w:val="0"/>
          <w:bCs w:val="0"/>
          <w:sz w:val="32"/>
          <w:szCs w:val="32"/>
          <w:lang w:val="en-US" w:eastAsia="zh-CN"/>
        </w:rPr>
        <w:t>3</w:t>
      </w:r>
      <w:r>
        <w:rPr>
          <w:rFonts w:hint="eastAsia" w:ascii="黑体" w:hAnsi="黑体" w:eastAsia="黑体" w:cs="黑体"/>
          <w:b w:val="0"/>
          <w:bCs w:val="0"/>
          <w:sz w:val="32"/>
          <w:szCs w:val="32"/>
        </w:rPr>
        <w:t>：</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center"/>
        <w:textAlignment w:val="auto"/>
        <w:outlineLvl w:val="9"/>
        <w:rPr>
          <w:rFonts w:hint="eastAsia" w:ascii="黑体" w:hAnsi="黑体" w:eastAsia="黑体" w:cs="黑体"/>
          <w:b w:val="0"/>
          <w:bCs/>
          <w:color w:val="000000"/>
          <w:sz w:val="28"/>
          <w:szCs w:val="28"/>
        </w:rPr>
      </w:pPr>
      <w:r>
        <w:rPr>
          <w:rFonts w:hint="eastAsia" w:ascii="黑体" w:hAnsi="黑体" w:eastAsia="黑体" w:cs="黑体"/>
          <w:b w:val="0"/>
          <w:bCs/>
          <w:color w:val="000000"/>
          <w:sz w:val="28"/>
          <w:szCs w:val="28"/>
        </w:rPr>
        <w:t>保密承诺书</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杭州萧山国际机场有限</w:t>
      </w:r>
      <w:r>
        <w:rPr>
          <w:rFonts w:hint="eastAsia" w:ascii="仿宋_GB2312" w:hAnsi="仿宋_GB2312" w:eastAsia="仿宋_GB2312" w:cs="仿宋_GB2312"/>
          <w:color w:val="000000"/>
          <w:sz w:val="28"/>
          <w:szCs w:val="28"/>
        </w:rPr>
        <w:t>公司（以下简称“贵司”）：</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鉴于我司与贵司拟订立《</w:t>
      </w:r>
      <w:r>
        <w:rPr>
          <w:rFonts w:hint="eastAsia" w:ascii="仿宋_GB2312" w:hAnsi="仿宋_GB2312" w:eastAsia="仿宋_GB2312" w:cs="仿宋_GB2312"/>
          <w:color w:val="000000"/>
          <w:sz w:val="28"/>
          <w:szCs w:val="28"/>
          <w:lang w:val="en-US" w:eastAsia="zh-CN"/>
        </w:rPr>
        <w:t>杭州萧山国际机场</w:t>
      </w:r>
      <w:r>
        <w:rPr>
          <w:rFonts w:hint="eastAsia" w:ascii="仿宋_GB2312" w:hAnsi="仿宋_GB2312" w:eastAsia="仿宋_GB2312" w:cs="仿宋_GB2312"/>
          <w:color w:val="000000"/>
          <w:sz w:val="28"/>
          <w:szCs w:val="28"/>
        </w:rPr>
        <w:t>T3航站楼值机岛开包间</w:t>
      </w:r>
      <w:r>
        <w:rPr>
          <w:rFonts w:hint="eastAsia" w:ascii="仿宋_GB2312" w:hAnsi="仿宋_GB2312" w:eastAsia="仿宋_GB2312" w:cs="仿宋_GB2312"/>
          <w:color w:val="000000"/>
          <w:sz w:val="28"/>
          <w:szCs w:val="28"/>
          <w:lang w:eastAsia="zh-CN"/>
        </w:rPr>
        <w:t>后端增加隔断项目</w:t>
      </w:r>
      <w:r>
        <w:rPr>
          <w:rFonts w:hint="eastAsia" w:ascii="仿宋_GB2312" w:hAnsi="仿宋_GB2312" w:eastAsia="仿宋_GB2312" w:cs="仿宋_GB2312"/>
          <w:color w:val="000000"/>
          <w:sz w:val="28"/>
          <w:szCs w:val="28"/>
          <w:lang w:val="en-US" w:eastAsia="zh-CN"/>
        </w:rPr>
        <w:t>施工</w:t>
      </w:r>
      <w:r>
        <w:rPr>
          <w:rFonts w:hint="eastAsia" w:ascii="仿宋_GB2312" w:hAnsi="仿宋_GB2312" w:eastAsia="仿宋_GB2312" w:cs="仿宋_GB2312"/>
          <w:color w:val="000000"/>
          <w:sz w:val="28"/>
          <w:szCs w:val="28"/>
        </w:rPr>
        <w:t>合同》（以下简称“主合同”），并建立业务合作伙伴关系。贵司在上述主合同履行过程中将向我司提供有关保密信息，且该保密信息属贵司合法所有。为对上述保密信息予以有效保护，我司特就保密事宜向贵司出具以下承诺：</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2" w:firstLineChars="200"/>
        <w:jc w:val="both"/>
        <w:textAlignment w:val="auto"/>
        <w:outlineLvl w:val="9"/>
        <w:rPr>
          <w:rFonts w:hint="eastAsia" w:ascii="仿宋_GB2312" w:hAnsi="仿宋_GB2312" w:eastAsia="仿宋_GB2312" w:cs="仿宋_GB2312"/>
          <w:b/>
          <w:bCs/>
          <w:color w:val="000000"/>
          <w:sz w:val="28"/>
          <w:szCs w:val="28"/>
        </w:rPr>
      </w:pPr>
      <w:r>
        <w:rPr>
          <w:rFonts w:hint="eastAsia" w:ascii="仿宋_GB2312" w:hAnsi="仿宋_GB2312" w:eastAsia="仿宋_GB2312" w:cs="仿宋_GB2312"/>
          <w:b/>
          <w:bCs/>
          <w:color w:val="000000"/>
          <w:sz w:val="28"/>
          <w:szCs w:val="28"/>
        </w:rPr>
        <w:t>一、保密信息的范围</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1.1 本承诺书提及的保密信息，包括但不限于贵司向我司披露、我司从贵司获得或我司在履行主合同项下义务过程中知晓的与主合同项目有关或因主合同项目产生的任何贵司商业、营销、技术、运营数据或其他性质的资料、设计资料、机场安防信息、各设备材料技术参数、相互函电、合同内容，以及任何未公布的贵司项目招标信息、技术规格书、材料（设备）备选推荐品牌库信息等，无论以何种形式或载于何种载体，无论在披露时是否以口头、图像或以书面方式表明其具有保密性，都作为贵司的保密信息。</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1.2 贵司同意我司的保密承诺不适用于下述情形：（1）在贵司向我司根据本承诺书披露信息之前，在没有违法本承诺书的情况下，贵司的保密信息已经为普通大众可以获取的资料；或（2）我司能提供书面证据证明我司从贵司收到保密信息前已经从其他途径合法地获知该资料。</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2" w:firstLineChars="200"/>
        <w:jc w:val="both"/>
        <w:textAlignment w:val="auto"/>
        <w:outlineLvl w:val="9"/>
        <w:rPr>
          <w:rFonts w:hint="eastAsia" w:ascii="仿宋_GB2312" w:hAnsi="仿宋_GB2312" w:eastAsia="仿宋_GB2312" w:cs="仿宋_GB2312"/>
          <w:b/>
          <w:bCs/>
          <w:color w:val="000000"/>
          <w:sz w:val="28"/>
          <w:szCs w:val="28"/>
        </w:rPr>
      </w:pPr>
      <w:r>
        <w:rPr>
          <w:rFonts w:hint="eastAsia" w:ascii="仿宋_GB2312" w:hAnsi="仿宋_GB2312" w:eastAsia="仿宋_GB2312" w:cs="仿宋_GB2312"/>
          <w:b/>
          <w:bCs/>
          <w:color w:val="000000"/>
          <w:sz w:val="28"/>
          <w:szCs w:val="28"/>
        </w:rPr>
        <w:t>二、保密承诺</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2.1对于贵司的保密信息，我司应严格予以保密，并采取所有保密措施和制度（包括但不仅限于我司为保护其自有商业保密信息所采用的措施和制度）保护该保密信息。</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2.2. 除法律规定或双方另有约定外，未经贵司书面同意，我司不得将贵司的保密信息泄露给任何第三方。</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2.3 除用于履行与贵司的主合同之外，我司在任何时候均不得利用贵司的保密信息，且不复制该等保密信息。我司应仅向为实现主合同目的而需要知悉贵司保密信息的我司员工、中介机构、第三方工作人员披露贵司保密信息并与该等人员签订保密协议，就贵司的保密信息，我司应要求该等人员承担不低于本承诺书所规定之程度的保密义务。</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2.4 一旦我司发现未经授权使用或披露贵司保密信息的情形或其他违约情形，我司应立即通知贵司。我司应与贵司合作，协助贵司重新取得对该等保密信息的控制，并防止他人进一步未经授权而使用该等保密信息。</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2.5 我司可以根据法院命令或政府机构的要求对贵司的保密信息做出披露，但须立即书面通知贵司该等命令或要求，以便贵司可以有机会对该等被要求的披露进行抗辩。在任何情况下，我司应保证该等被要求的披露仅限于在法院命令或政府机构所要求的限度和范围内。</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2" w:firstLineChars="200"/>
        <w:jc w:val="both"/>
        <w:textAlignment w:val="auto"/>
        <w:outlineLvl w:val="9"/>
        <w:rPr>
          <w:rFonts w:hint="eastAsia" w:ascii="仿宋_GB2312" w:hAnsi="仿宋_GB2312" w:eastAsia="仿宋_GB2312" w:cs="仿宋_GB2312"/>
          <w:b/>
          <w:bCs/>
          <w:color w:val="000000"/>
          <w:sz w:val="28"/>
          <w:szCs w:val="28"/>
        </w:rPr>
      </w:pPr>
      <w:r>
        <w:rPr>
          <w:rFonts w:hint="eastAsia" w:ascii="仿宋_GB2312" w:hAnsi="仿宋_GB2312" w:eastAsia="仿宋_GB2312" w:cs="仿宋_GB2312"/>
          <w:b/>
          <w:bCs/>
          <w:color w:val="000000"/>
          <w:sz w:val="28"/>
          <w:szCs w:val="28"/>
        </w:rPr>
        <w:t>三、保密信息的返还及处理</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3.1 保密信息属贵司的专有财产。本承诺书并不产生明示的或暗示的权利转让或权利许可，包括但不限于发明、实用新型和设计专利、注册设计、版权、模板或商标以及前述权利的申请权。任何时候，只要收到贵司的书面要求，我司应立即归还全部与贵司保密信息相关的资料和文件，包含该等贵司保密信息资料的媒体及其任何或全部复制件或摘要。</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3.2 如果该保密信息资料属于不能归还的形式或已经复制或转录到其他资料或载体中，则我司应立即采取措施予以删除或销毁并向贵司提供已经完成删除或销毁的有效证明。</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2" w:firstLineChars="200"/>
        <w:jc w:val="both"/>
        <w:textAlignment w:val="auto"/>
        <w:outlineLvl w:val="9"/>
        <w:rPr>
          <w:rFonts w:hint="eastAsia" w:ascii="仿宋_GB2312" w:hAnsi="仿宋_GB2312" w:eastAsia="仿宋_GB2312" w:cs="仿宋_GB2312"/>
          <w:b/>
          <w:bCs/>
          <w:color w:val="000000"/>
          <w:sz w:val="28"/>
          <w:szCs w:val="28"/>
        </w:rPr>
      </w:pPr>
      <w:r>
        <w:rPr>
          <w:rFonts w:hint="eastAsia" w:ascii="仿宋_GB2312" w:hAnsi="仿宋_GB2312" w:eastAsia="仿宋_GB2312" w:cs="仿宋_GB2312"/>
          <w:b/>
          <w:bCs/>
          <w:color w:val="000000"/>
          <w:sz w:val="28"/>
          <w:szCs w:val="28"/>
        </w:rPr>
        <w:t>四、保密期限</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我司的保密义务自我司获知贵司保密信息之日起至该等保密信息被合法公开之日止。</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2" w:firstLineChars="200"/>
        <w:jc w:val="both"/>
        <w:textAlignment w:val="auto"/>
        <w:outlineLvl w:val="9"/>
        <w:rPr>
          <w:rFonts w:hint="eastAsia" w:ascii="仿宋_GB2312" w:hAnsi="仿宋_GB2312" w:eastAsia="仿宋_GB2312" w:cs="仿宋_GB2312"/>
          <w:b/>
          <w:bCs/>
          <w:color w:val="000000"/>
          <w:sz w:val="28"/>
          <w:szCs w:val="28"/>
        </w:rPr>
      </w:pPr>
      <w:r>
        <w:rPr>
          <w:rFonts w:hint="eastAsia" w:ascii="仿宋_GB2312" w:hAnsi="仿宋_GB2312" w:eastAsia="仿宋_GB2312" w:cs="仿宋_GB2312"/>
          <w:b/>
          <w:bCs/>
          <w:color w:val="000000"/>
          <w:sz w:val="28"/>
          <w:szCs w:val="28"/>
        </w:rPr>
        <w:t>五、违约责任</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我司如违反本承诺书，贵司有权要求我司立即停止侵权和进一步的对外泄露或滥用，并要求我司采取其他合理的补救措施，并有权终止贵司与我司双方正在执行的其他合同，而贵司无需对此承担任何责任。除此之外，贵司有权扣除【</w:t>
      </w:r>
      <w:r>
        <w:rPr>
          <w:rFonts w:hint="eastAsia" w:ascii="仿宋_GB2312" w:hAnsi="仿宋_GB2312" w:eastAsia="仿宋_GB2312" w:cs="仿宋_GB2312"/>
          <w:color w:val="000000"/>
          <w:sz w:val="28"/>
          <w:szCs w:val="28"/>
        </w:rPr>
        <w:sym w:font="Wingdings" w:char="00A8"/>
      </w:r>
      <w:r>
        <w:rPr>
          <w:rFonts w:hint="eastAsia" w:ascii="仿宋_GB2312" w:hAnsi="仿宋_GB2312" w:eastAsia="仿宋_GB2312" w:cs="仿宋_GB2312"/>
          <w:color w:val="000000"/>
          <w:sz w:val="28"/>
          <w:szCs w:val="28"/>
        </w:rPr>
        <w:t>已缴纳的履约保证金的10%；</w:t>
      </w:r>
      <w:r>
        <w:rPr>
          <w:rFonts w:hint="eastAsia" w:ascii="仿宋_GB2312" w:hAnsi="仿宋_GB2312" w:eastAsia="仿宋_GB2312" w:cs="仿宋_GB2312"/>
          <w:color w:val="auto"/>
          <w:sz w:val="28"/>
          <w:szCs w:val="28"/>
          <w:highlight w:val="none"/>
        </w:rPr>
        <w:sym w:font="Wingdings" w:char="00FE"/>
      </w:r>
      <w:r>
        <w:rPr>
          <w:rFonts w:hint="eastAsia" w:ascii="仿宋_GB2312" w:hAnsi="仿宋_GB2312" w:eastAsia="仿宋_GB2312" w:cs="仿宋_GB2312"/>
          <w:color w:val="000000"/>
          <w:sz w:val="28"/>
          <w:szCs w:val="28"/>
        </w:rPr>
        <w:t>合同金额1%】作为违反保密承诺的违约金。如该违约金不足以弥补贵司损失的（包括但不限于因我司违约行为造成的贵司利益减少，该等利益包括直接利益损失（指销量、利润减少及开发费用损失）与间接利益损失（指无形资产的价值减少）以及贵司为主张权利而支出的诉讼费、律师费、公证费、鉴定费、保全费、保全担保费、翻译费等费用），我司另行赔偿。贵司有权通过法律途径对我司的违约行为追究法律责任。</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2" w:firstLineChars="200"/>
        <w:jc w:val="both"/>
        <w:textAlignment w:val="auto"/>
        <w:outlineLvl w:val="9"/>
        <w:rPr>
          <w:rFonts w:hint="eastAsia" w:ascii="仿宋_GB2312" w:hAnsi="仿宋_GB2312" w:eastAsia="仿宋_GB2312" w:cs="仿宋_GB2312"/>
          <w:b/>
          <w:bCs/>
          <w:color w:val="000000"/>
          <w:sz w:val="28"/>
          <w:szCs w:val="28"/>
        </w:rPr>
      </w:pPr>
      <w:r>
        <w:rPr>
          <w:rFonts w:hint="eastAsia" w:ascii="仿宋_GB2312" w:hAnsi="仿宋_GB2312" w:eastAsia="仿宋_GB2312" w:cs="仿宋_GB2312"/>
          <w:b/>
          <w:bCs/>
          <w:color w:val="000000"/>
          <w:sz w:val="28"/>
          <w:szCs w:val="28"/>
        </w:rPr>
        <w:t>六、争议解决</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由于本承诺书的履行或解释而产生的或与之有关的任何争议，如双方无法协商解决，应提交</w:t>
      </w:r>
      <w:r>
        <w:rPr>
          <w:rFonts w:hint="eastAsia" w:ascii="仿宋_GB2312" w:hAnsi="仿宋_GB2312" w:eastAsia="仿宋_GB2312" w:cs="仿宋_GB2312"/>
          <w:color w:val="000000"/>
          <w:sz w:val="28"/>
          <w:szCs w:val="28"/>
          <w:lang w:val="en-US" w:eastAsia="zh-CN"/>
        </w:rPr>
        <w:t>工程所在地</w:t>
      </w:r>
      <w:r>
        <w:rPr>
          <w:rFonts w:hint="eastAsia" w:ascii="仿宋_GB2312" w:hAnsi="仿宋_GB2312" w:eastAsia="仿宋_GB2312" w:cs="仿宋_GB2312"/>
          <w:color w:val="000000"/>
          <w:sz w:val="28"/>
          <w:szCs w:val="28"/>
        </w:rPr>
        <w:t>人民法院</w:t>
      </w:r>
      <w:r>
        <w:rPr>
          <w:rFonts w:hint="eastAsia" w:ascii="仿宋_GB2312" w:hAnsi="仿宋_GB2312" w:eastAsia="仿宋_GB2312" w:cs="仿宋_GB2312"/>
          <w:color w:val="000000"/>
          <w:sz w:val="28"/>
          <w:szCs w:val="28"/>
          <w:lang w:val="en-US" w:eastAsia="zh-CN"/>
        </w:rPr>
        <w:t>诉讼</w:t>
      </w:r>
      <w:r>
        <w:rPr>
          <w:rFonts w:hint="eastAsia" w:ascii="仿宋_GB2312" w:hAnsi="仿宋_GB2312" w:eastAsia="仿宋_GB2312" w:cs="仿宋_GB2312"/>
          <w:color w:val="000000"/>
          <w:sz w:val="28"/>
          <w:szCs w:val="28"/>
        </w:rPr>
        <w:t>解决。</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2" w:firstLineChars="200"/>
        <w:jc w:val="both"/>
        <w:textAlignment w:val="auto"/>
        <w:outlineLvl w:val="9"/>
        <w:rPr>
          <w:rFonts w:hint="eastAsia" w:ascii="仿宋_GB2312" w:hAnsi="仿宋_GB2312" w:eastAsia="仿宋_GB2312" w:cs="仿宋_GB2312"/>
          <w:b/>
          <w:bCs/>
          <w:color w:val="000000"/>
          <w:sz w:val="28"/>
          <w:szCs w:val="28"/>
        </w:rPr>
      </w:pPr>
      <w:r>
        <w:rPr>
          <w:rFonts w:hint="eastAsia" w:ascii="仿宋_GB2312" w:hAnsi="仿宋_GB2312" w:eastAsia="仿宋_GB2312" w:cs="仿宋_GB2312"/>
          <w:b/>
          <w:bCs/>
          <w:color w:val="000000"/>
          <w:sz w:val="28"/>
          <w:szCs w:val="28"/>
        </w:rPr>
        <w:t>七、其他</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本承诺书经我司法定代表人或授权代表签字（包含签章）并加盖我司公章之日起生效。</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textAlignment w:val="auto"/>
        <w:outlineLvl w:val="9"/>
        <w:rPr>
          <w:rFonts w:hint="eastAsia" w:ascii="仿宋_GB2312" w:hAnsi="仿宋_GB2312" w:eastAsia="仿宋_GB2312" w:cs="仿宋_GB2312"/>
          <w:color w:val="000000"/>
          <w:sz w:val="28"/>
          <w:szCs w:val="28"/>
        </w:rPr>
      </w:pP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jc w:val="right"/>
        <w:textAlignment w:val="auto"/>
        <w:outlineLvl w:val="9"/>
        <w:rPr>
          <w:rFonts w:hint="eastAsia" w:ascii="仿宋_GB2312" w:hAnsi="仿宋_GB2312" w:eastAsia="仿宋_GB2312" w:cs="仿宋_GB2312"/>
          <w:color w:val="000000"/>
          <w:sz w:val="28"/>
          <w:szCs w:val="28"/>
        </w:rPr>
      </w:pP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jc w:val="right"/>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法定代表人(或授权代表)签字：【</w:t>
      </w:r>
      <w:r>
        <w:rPr>
          <w:rFonts w:hint="eastAsia" w:ascii="仿宋_GB2312" w:hAnsi="仿宋_GB2312" w:eastAsia="仿宋_GB2312" w:cs="仿宋_GB2312"/>
          <w:color w:val="000000"/>
          <w:sz w:val="28"/>
          <w:szCs w:val="28"/>
          <w:lang w:val="en-US" w:eastAsia="zh-CN"/>
        </w:rPr>
        <w:t xml:space="preserve">         </w:t>
      </w:r>
      <w:r>
        <w:rPr>
          <w:rFonts w:hint="eastAsia" w:ascii="仿宋_GB2312" w:hAnsi="仿宋_GB2312" w:eastAsia="仿宋_GB2312" w:cs="仿宋_GB2312"/>
          <w:color w:val="000000"/>
          <w:sz w:val="28"/>
          <w:szCs w:val="28"/>
        </w:rPr>
        <w:t>】</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jc w:val="right"/>
        <w:textAlignment w:val="auto"/>
        <w:outlineLvl w:val="9"/>
        <w:rPr>
          <w:rFonts w:hint="eastAsia" w:ascii="仿宋_GB2312" w:hAnsi="仿宋_GB2312" w:eastAsia="仿宋_GB2312" w:cs="仿宋_GB2312"/>
          <w:color w:val="000000"/>
          <w:sz w:val="28"/>
          <w:szCs w:val="28"/>
        </w:rPr>
      </w:pP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jc w:val="right"/>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盖章：【</w:t>
      </w:r>
      <w:r>
        <w:rPr>
          <w:rFonts w:hint="eastAsia" w:ascii="仿宋_GB2312" w:hAnsi="仿宋_GB2312" w:eastAsia="仿宋_GB2312" w:cs="仿宋_GB2312"/>
          <w:color w:val="000000"/>
          <w:sz w:val="28"/>
          <w:szCs w:val="28"/>
          <w:lang w:val="en-US" w:eastAsia="zh-CN"/>
        </w:rPr>
        <w:t xml:space="preserve">         </w:t>
      </w:r>
      <w:r>
        <w:rPr>
          <w:rFonts w:hint="eastAsia" w:ascii="仿宋_GB2312" w:hAnsi="仿宋_GB2312" w:eastAsia="仿宋_GB2312" w:cs="仿宋_GB2312"/>
          <w:color w:val="000000"/>
          <w:sz w:val="28"/>
          <w:szCs w:val="28"/>
        </w:rPr>
        <w:t>】</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jc w:val="right"/>
        <w:textAlignment w:val="auto"/>
        <w:outlineLvl w:val="9"/>
        <w:rPr>
          <w:rFonts w:hint="eastAsia" w:ascii="仿宋_GB2312" w:hAnsi="仿宋_GB2312" w:eastAsia="仿宋_GB2312" w:cs="仿宋_GB2312"/>
          <w:color w:val="000000"/>
          <w:sz w:val="28"/>
          <w:szCs w:val="28"/>
        </w:rPr>
      </w:pP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jc w:val="right"/>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color w:val="000000"/>
          <w:sz w:val="28"/>
          <w:szCs w:val="28"/>
        </w:rPr>
        <w:t>日期：【</w:t>
      </w:r>
      <w:r>
        <w:rPr>
          <w:rFonts w:hint="eastAsia" w:ascii="仿宋_GB2312" w:hAnsi="仿宋_GB2312" w:eastAsia="仿宋_GB2312" w:cs="仿宋_GB2312"/>
          <w:color w:val="000000"/>
          <w:sz w:val="28"/>
          <w:szCs w:val="28"/>
          <w:lang w:val="en-US" w:eastAsia="zh-CN"/>
        </w:rPr>
        <w:t xml:space="preserve">         </w:t>
      </w:r>
      <w:r>
        <w:rPr>
          <w:rFonts w:hint="eastAsia" w:ascii="仿宋_GB2312" w:hAnsi="仿宋_GB2312" w:eastAsia="仿宋_GB2312" w:cs="仿宋_GB2312"/>
          <w:color w:val="000000"/>
          <w:sz w:val="28"/>
          <w:szCs w:val="28"/>
        </w:rPr>
        <w:t>】</w:t>
      </w:r>
      <w:bookmarkEnd w:id="16"/>
    </w:p>
    <w:p>
      <w:pPr>
        <w:spacing w:before="156" w:beforeLines="50" w:after="156" w:afterLines="50" w:line="300" w:lineRule="auto"/>
        <w:rPr>
          <w:rFonts w:ascii="Times New Roman" w:hAnsi="Times New Roman" w:eastAsiaTheme="minorEastAsia"/>
          <w:sz w:val="23"/>
          <w:szCs w:val="23"/>
        </w:rPr>
      </w:pPr>
    </w:p>
    <w:p>
      <w:pPr>
        <w:keepNext w:val="0"/>
        <w:keepLines w:val="0"/>
        <w:pageBreakBefore/>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黑体" w:hAnsi="黑体" w:eastAsia="黑体" w:cs="黑体"/>
          <w:b w:val="0"/>
          <w:bCs w:val="0"/>
          <w:sz w:val="32"/>
          <w:szCs w:val="32"/>
        </w:rPr>
      </w:pPr>
      <w:bookmarkStart w:id="17" w:name="_Hlk126741385"/>
      <w:r>
        <w:rPr>
          <w:rFonts w:hint="eastAsia" w:ascii="黑体" w:hAnsi="黑体" w:eastAsia="黑体" w:cs="黑体"/>
          <w:b w:val="0"/>
          <w:bCs w:val="0"/>
          <w:sz w:val="32"/>
          <w:szCs w:val="32"/>
        </w:rPr>
        <w:t>附件</w:t>
      </w:r>
      <w:r>
        <w:rPr>
          <w:rFonts w:hint="eastAsia" w:ascii="黑体" w:hAnsi="黑体" w:eastAsia="黑体" w:cs="黑体"/>
          <w:b w:val="0"/>
          <w:bCs w:val="0"/>
          <w:sz w:val="32"/>
          <w:szCs w:val="32"/>
          <w:lang w:val="en-US" w:eastAsia="zh-CN"/>
        </w:rPr>
        <w:t>4</w:t>
      </w:r>
      <w:r>
        <w:rPr>
          <w:rFonts w:hint="eastAsia" w:ascii="黑体" w:hAnsi="黑体" w:eastAsia="黑体" w:cs="黑体"/>
          <w:b w:val="0"/>
          <w:bCs w:val="0"/>
          <w:sz w:val="32"/>
          <w:szCs w:val="32"/>
        </w:rPr>
        <w:t>：</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center"/>
        <w:textAlignment w:val="auto"/>
        <w:outlineLvl w:val="9"/>
        <w:rPr>
          <w:rFonts w:hint="eastAsia" w:ascii="黑体" w:hAnsi="黑体" w:eastAsia="黑体" w:cs="黑体"/>
          <w:b w:val="0"/>
          <w:bCs/>
          <w:sz w:val="28"/>
          <w:szCs w:val="28"/>
        </w:rPr>
      </w:pPr>
      <w:r>
        <w:rPr>
          <w:rFonts w:hint="eastAsia" w:ascii="黑体" w:hAnsi="黑体" w:eastAsia="黑体" w:cs="黑体"/>
          <w:b w:val="0"/>
          <w:bCs/>
          <w:sz w:val="28"/>
          <w:szCs w:val="28"/>
        </w:rPr>
        <w:t>廉政承诺书</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lang w:val="en-US" w:eastAsia="zh-CN"/>
        </w:rPr>
        <w:t>杭州萧山国际机场有限</w:t>
      </w:r>
      <w:r>
        <w:rPr>
          <w:rFonts w:hint="eastAsia" w:ascii="仿宋_GB2312" w:hAnsi="仿宋_GB2312" w:eastAsia="仿宋_GB2312" w:cs="仿宋_GB2312"/>
          <w:bCs/>
          <w:color w:val="000000"/>
          <w:sz w:val="28"/>
          <w:szCs w:val="28"/>
        </w:rPr>
        <w:t>公司（以下简称“贵司”）：</w:t>
      </w:r>
    </w:p>
    <w:p>
      <w:pPr>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鉴于：贵司与我司拟订立《</w:t>
      </w:r>
      <w:r>
        <w:rPr>
          <w:rFonts w:hint="eastAsia" w:ascii="仿宋_GB2312" w:hAnsi="仿宋_GB2312" w:eastAsia="仿宋_GB2312" w:cs="仿宋_GB2312"/>
          <w:color w:val="000000"/>
          <w:sz w:val="28"/>
          <w:szCs w:val="28"/>
          <w:lang w:val="en-US" w:eastAsia="zh-CN"/>
        </w:rPr>
        <w:t>杭州萧山国际机场T3航站楼值机岛开包间后端增加隔断项目施工</w:t>
      </w:r>
      <w:r>
        <w:rPr>
          <w:rFonts w:hint="eastAsia" w:ascii="仿宋_GB2312" w:hAnsi="仿宋_GB2312" w:eastAsia="仿宋_GB2312" w:cs="仿宋_GB2312"/>
          <w:color w:val="000000"/>
          <w:sz w:val="28"/>
          <w:szCs w:val="28"/>
        </w:rPr>
        <w:t>合同》（以下简称“主合同”），并建立业务合作伙伴关系。为了更好地根据诚实信用原则履行双方订立的合同，维护各自内部正常的管理秩序，防止滋生各种腐败行为，促使双方工作人员廉洁从业，我司特就廉政事宜向贵司出具以下承诺：</w:t>
      </w:r>
    </w:p>
    <w:p>
      <w:pPr>
        <w:pageBreakBefore w:val="0"/>
        <w:widowControl w:val="0"/>
        <w:numPr>
          <w:ilvl w:val="0"/>
          <w:numId w:val="7"/>
        </w:numPr>
        <w:kinsoku/>
        <w:wordWrap/>
        <w:overflowPunct/>
        <w:topLinePunct w:val="0"/>
        <w:autoSpaceDE/>
        <w:autoSpaceDN/>
        <w:bidi w:val="0"/>
        <w:adjustRightInd w:val="0"/>
        <w:snapToGrid w:val="0"/>
        <w:spacing w:line="560" w:lineRule="exact"/>
        <w:ind w:left="0" w:leftChars="0" w:right="0" w:rightChars="0" w:firstLine="562" w:firstLineChars="200"/>
        <w:textAlignment w:val="auto"/>
        <w:rPr>
          <w:rFonts w:hint="eastAsia" w:ascii="仿宋_GB2312" w:hAnsi="仿宋_GB2312" w:eastAsia="仿宋_GB2312" w:cs="仿宋_GB2312"/>
          <w:b/>
          <w:bCs/>
          <w:color w:val="000000"/>
          <w:sz w:val="28"/>
          <w:szCs w:val="28"/>
        </w:rPr>
      </w:pPr>
      <w:r>
        <w:rPr>
          <w:rFonts w:hint="eastAsia" w:ascii="仿宋_GB2312" w:hAnsi="仿宋_GB2312" w:eastAsia="仿宋_GB2312" w:cs="仿宋_GB2312"/>
          <w:b/>
          <w:bCs/>
          <w:color w:val="000000"/>
          <w:sz w:val="28"/>
          <w:szCs w:val="28"/>
        </w:rPr>
        <w:t>廉政承诺</w:t>
      </w:r>
    </w:p>
    <w:p>
      <w:pPr>
        <w:pageBreakBefore w:val="0"/>
        <w:widowControl w:val="0"/>
        <w:numPr>
          <w:ilvl w:val="1"/>
          <w:numId w:val="8"/>
        </w:numPr>
        <w:kinsoku/>
        <w:wordWrap/>
        <w:overflowPunct/>
        <w:topLinePunct w:val="0"/>
        <w:autoSpaceDE/>
        <w:autoSpaceDN/>
        <w:bidi w:val="0"/>
        <w:adjustRightInd w:val="0"/>
        <w:snapToGrid w:val="0"/>
        <w:spacing w:line="560" w:lineRule="exact"/>
        <w:ind w:left="0" w:leftChars="0" w:right="0" w:rightChars="0"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我司应严格遵守国家的法律法规和党的纪律以及行业的廉政建设规定，并组织宣传，形成浓厚的反腐倡廉氛围。</w:t>
      </w:r>
    </w:p>
    <w:p>
      <w:pPr>
        <w:pageBreakBefore w:val="0"/>
        <w:widowControl w:val="0"/>
        <w:numPr>
          <w:ilvl w:val="1"/>
          <w:numId w:val="8"/>
        </w:numPr>
        <w:kinsoku/>
        <w:wordWrap/>
        <w:overflowPunct/>
        <w:topLinePunct w:val="0"/>
        <w:autoSpaceDE/>
        <w:autoSpaceDN/>
        <w:bidi w:val="0"/>
        <w:adjustRightInd w:val="0"/>
        <w:snapToGrid w:val="0"/>
        <w:spacing w:line="560" w:lineRule="exact"/>
        <w:ind w:left="0" w:leftChars="0" w:right="0" w:rightChars="0"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如贵司发现我司及我司工作人员有违反廉政规定的行为时，有义务提醒并有权利制止，必要时有权向我司上级主管部门反映或向当地纪律监察部门举报（我司纪检监察部门举报电话：【 】）。</w:t>
      </w:r>
    </w:p>
    <w:p>
      <w:pPr>
        <w:pageBreakBefore w:val="0"/>
        <w:widowControl w:val="0"/>
        <w:numPr>
          <w:ilvl w:val="1"/>
          <w:numId w:val="8"/>
        </w:numPr>
        <w:kinsoku/>
        <w:wordWrap/>
        <w:overflowPunct/>
        <w:topLinePunct w:val="0"/>
        <w:autoSpaceDE/>
        <w:autoSpaceDN/>
        <w:bidi w:val="0"/>
        <w:adjustRightInd w:val="0"/>
        <w:snapToGrid w:val="0"/>
        <w:spacing w:line="560" w:lineRule="exact"/>
        <w:ind w:left="0" w:leftChars="0" w:right="0" w:rightChars="0"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我司应建立健全廉政建设责任制，明确廉政建设管理部门，公布举报电话，严格监督并认真查处违法违纪行为。</w:t>
      </w:r>
    </w:p>
    <w:p>
      <w:pPr>
        <w:pageBreakBefore w:val="0"/>
        <w:widowControl w:val="0"/>
        <w:numPr>
          <w:ilvl w:val="1"/>
          <w:numId w:val="8"/>
        </w:numPr>
        <w:kinsoku/>
        <w:wordWrap/>
        <w:overflowPunct/>
        <w:topLinePunct w:val="0"/>
        <w:autoSpaceDE/>
        <w:autoSpaceDN/>
        <w:bidi w:val="0"/>
        <w:adjustRightInd w:val="0"/>
        <w:snapToGrid w:val="0"/>
        <w:spacing w:line="560" w:lineRule="exact"/>
        <w:ind w:left="0" w:leftChars="0" w:right="0" w:rightChars="0"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我司应从国家和集体利益出发，共同促进各合作项目的顺利进行，自觉遵守贵司相关的规章制度和现场管理规定。</w:t>
      </w:r>
    </w:p>
    <w:p>
      <w:pPr>
        <w:pageBreakBefore w:val="0"/>
        <w:widowControl w:val="0"/>
        <w:numPr>
          <w:ilvl w:val="1"/>
          <w:numId w:val="8"/>
        </w:numPr>
        <w:kinsoku/>
        <w:wordWrap/>
        <w:overflowPunct/>
        <w:topLinePunct w:val="0"/>
        <w:autoSpaceDE/>
        <w:autoSpaceDN/>
        <w:bidi w:val="0"/>
        <w:adjustRightInd w:val="0"/>
        <w:snapToGrid w:val="0"/>
        <w:spacing w:line="560" w:lineRule="exact"/>
        <w:ind w:left="0" w:leftChars="0" w:right="0" w:rightChars="0"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我司及其工作人员承诺：</w:t>
      </w:r>
    </w:p>
    <w:p>
      <w:pPr>
        <w:pageBreakBefore w:val="0"/>
        <w:widowControl w:val="0"/>
        <w:numPr>
          <w:ilvl w:val="2"/>
          <w:numId w:val="8"/>
        </w:numPr>
        <w:kinsoku/>
        <w:wordWrap/>
        <w:overflowPunct/>
        <w:topLinePunct w:val="0"/>
        <w:autoSpaceDE/>
        <w:autoSpaceDN/>
        <w:bidi w:val="0"/>
        <w:adjustRightInd w:val="0"/>
        <w:snapToGrid w:val="0"/>
        <w:spacing w:line="560" w:lineRule="exact"/>
        <w:ind w:left="0" w:leftChars="0" w:right="0" w:rightChars="0"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不以任何形式，无论是主动或是被动的，向贵司有关人员或贵司聘请的包括但不限于项目设计、造价咨询、审计、评标专家、顾问等中间机构、第三方人员赠送无论有价或无价的礼金、礼物、酬金、代币券、回扣、中介费、咨询费、好处费等利益、收益或条件；或就上述内容作出任何暗示、许诺、允诺；不以任何形式接受此项目相关利益方（包括但不限于施工、投标、被评估、被检测、被审计、被审图等第三方）有关人员赠送无论有价或无价的礼金、礼物、酬金、或其它代币券、回扣、中介费、咨询费、好处费等利益、收益或条件；</w:t>
      </w:r>
    </w:p>
    <w:p>
      <w:pPr>
        <w:pageBreakBefore w:val="0"/>
        <w:widowControl w:val="0"/>
        <w:numPr>
          <w:ilvl w:val="2"/>
          <w:numId w:val="8"/>
        </w:numPr>
        <w:kinsoku/>
        <w:wordWrap/>
        <w:overflowPunct/>
        <w:topLinePunct w:val="0"/>
        <w:autoSpaceDE/>
        <w:autoSpaceDN/>
        <w:bidi w:val="0"/>
        <w:adjustRightInd w:val="0"/>
        <w:snapToGrid w:val="0"/>
        <w:spacing w:line="560" w:lineRule="exact"/>
        <w:ind w:left="0" w:leftChars="0" w:right="0" w:rightChars="0"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不以任何名义为贵司有关人员报销应由贵司或个人支付的费用；不以任何形式接受此项目相关利益方（包括但不限于施工、投标、被评估、被检测、被审计、被图审等第三方）有关人员报销应由贵司或个人支付的费用；</w:t>
      </w:r>
    </w:p>
    <w:p>
      <w:pPr>
        <w:pageBreakBefore w:val="0"/>
        <w:widowControl w:val="0"/>
        <w:numPr>
          <w:ilvl w:val="2"/>
          <w:numId w:val="8"/>
        </w:numPr>
        <w:kinsoku/>
        <w:wordWrap/>
        <w:overflowPunct/>
        <w:topLinePunct w:val="0"/>
        <w:autoSpaceDE/>
        <w:autoSpaceDN/>
        <w:bidi w:val="0"/>
        <w:adjustRightInd w:val="0"/>
        <w:snapToGrid w:val="0"/>
        <w:spacing w:line="560" w:lineRule="exact"/>
        <w:ind w:left="0" w:leftChars="0" w:right="0" w:rightChars="0"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不向贵司有关人员提供宴请、旅游、和健身娱乐等活动；不以任何形式接受此项目施相关利益方（包括但不限于施工、投标、被评估、被检测、被审计、被图审等第三方）有关人员提供宴请、旅游、和健身娱乐等活动；</w:t>
      </w:r>
    </w:p>
    <w:p>
      <w:pPr>
        <w:pageBreakBefore w:val="0"/>
        <w:widowControl w:val="0"/>
        <w:numPr>
          <w:ilvl w:val="2"/>
          <w:numId w:val="8"/>
        </w:numPr>
        <w:kinsoku/>
        <w:wordWrap/>
        <w:overflowPunct/>
        <w:topLinePunct w:val="0"/>
        <w:autoSpaceDE/>
        <w:autoSpaceDN/>
        <w:bidi w:val="0"/>
        <w:adjustRightInd w:val="0"/>
        <w:snapToGrid w:val="0"/>
        <w:spacing w:line="560" w:lineRule="exact"/>
        <w:ind w:left="0" w:leftChars="0" w:right="0" w:rightChars="0"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不为贵司有关人员出国（境）、旅游等提供方便；不以任何形式接受此项目施工方相关利益方（包括但不限于施工、投标、被评估、被检测、被审计、被图审等第三方）有关人员提供的出国（境）、旅游等提供方便；</w:t>
      </w:r>
    </w:p>
    <w:p>
      <w:pPr>
        <w:pageBreakBefore w:val="0"/>
        <w:widowControl w:val="0"/>
        <w:numPr>
          <w:ilvl w:val="2"/>
          <w:numId w:val="8"/>
        </w:numPr>
        <w:kinsoku/>
        <w:wordWrap/>
        <w:overflowPunct/>
        <w:topLinePunct w:val="0"/>
        <w:autoSpaceDE/>
        <w:autoSpaceDN/>
        <w:bidi w:val="0"/>
        <w:adjustRightInd w:val="0"/>
        <w:snapToGrid w:val="0"/>
        <w:spacing w:line="560" w:lineRule="exact"/>
        <w:ind w:left="0" w:leftChars="0" w:right="0" w:rightChars="0"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不为贵司有关人员个人装修住房、婚丧嫁娶、配偶子女工作安排等提供好处或便利条件；不以任何形式接受此项目相关利益方（包括但不限于施工、投标、被评估、被检测、被审计、被图审等第三方）有关人员提供个人装修住房、婚丧嫁娶、配偶子女工作安排等提供好处或便利条件。</w:t>
      </w:r>
    </w:p>
    <w:p>
      <w:pPr>
        <w:pageBreakBefore w:val="0"/>
        <w:widowControl w:val="0"/>
        <w:numPr>
          <w:ilvl w:val="0"/>
          <w:numId w:val="7"/>
        </w:numPr>
        <w:kinsoku/>
        <w:wordWrap/>
        <w:overflowPunct/>
        <w:topLinePunct w:val="0"/>
        <w:autoSpaceDE/>
        <w:autoSpaceDN/>
        <w:bidi w:val="0"/>
        <w:adjustRightInd w:val="0"/>
        <w:snapToGrid w:val="0"/>
        <w:spacing w:line="560" w:lineRule="exact"/>
        <w:ind w:left="0" w:leftChars="0" w:right="0" w:rightChars="0" w:firstLine="562" w:firstLineChars="200"/>
        <w:textAlignment w:val="auto"/>
        <w:rPr>
          <w:rFonts w:hint="eastAsia" w:ascii="仿宋_GB2312" w:hAnsi="仿宋_GB2312" w:eastAsia="仿宋_GB2312" w:cs="仿宋_GB2312"/>
          <w:b/>
          <w:bCs/>
          <w:color w:val="000000"/>
          <w:sz w:val="28"/>
          <w:szCs w:val="28"/>
        </w:rPr>
      </w:pPr>
      <w:r>
        <w:rPr>
          <w:rFonts w:hint="eastAsia" w:ascii="仿宋_GB2312" w:hAnsi="仿宋_GB2312" w:eastAsia="仿宋_GB2312" w:cs="仿宋_GB2312"/>
          <w:b/>
          <w:bCs/>
          <w:color w:val="000000"/>
          <w:sz w:val="28"/>
          <w:szCs w:val="28"/>
        </w:rPr>
        <w:t>违约责任</w:t>
      </w:r>
    </w:p>
    <w:p>
      <w:pPr>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2.1 我司工作人员违反上述约定条款的，我司应按党、政管理权限和党纪、政纪的处罚规定，给予处理；情节严重的，报请司法机关处理。</w:t>
      </w:r>
    </w:p>
    <w:p>
      <w:pPr>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2.2 如我司违反本承诺书项下廉洁自律承诺，贵司有权：</w:t>
      </w:r>
    </w:p>
    <w:p>
      <w:pPr>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2.2.1 立即取消我司投标、中标或在建项目的实施资格；</w:t>
      </w:r>
    </w:p>
    <w:p>
      <w:pPr>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2.2.2 扣除我司在主合同项下【</w:t>
      </w:r>
      <w:r>
        <w:rPr>
          <w:rFonts w:hint="eastAsia" w:ascii="仿宋_GB2312" w:hAnsi="仿宋_GB2312" w:eastAsia="仿宋_GB2312" w:cs="仿宋_GB2312"/>
          <w:color w:val="000000"/>
          <w:sz w:val="28"/>
          <w:szCs w:val="28"/>
        </w:rPr>
        <w:sym w:font="Wingdings" w:char="00A8"/>
      </w:r>
      <w:r>
        <w:rPr>
          <w:rFonts w:hint="eastAsia" w:ascii="仿宋_GB2312" w:hAnsi="仿宋_GB2312" w:eastAsia="仿宋_GB2312" w:cs="仿宋_GB2312"/>
          <w:color w:val="000000"/>
          <w:sz w:val="28"/>
          <w:szCs w:val="28"/>
        </w:rPr>
        <w:t>已缴纳的履约保证金的10%；</w:t>
      </w:r>
      <w:r>
        <w:rPr>
          <w:rFonts w:hint="eastAsia" w:ascii="仿宋_GB2312" w:hAnsi="仿宋_GB2312" w:eastAsia="仿宋_GB2312" w:cs="仿宋_GB2312"/>
          <w:color w:val="auto"/>
          <w:sz w:val="28"/>
          <w:szCs w:val="28"/>
          <w:highlight w:val="none"/>
        </w:rPr>
        <w:sym w:font="Wingdings" w:char="00FE"/>
      </w:r>
      <w:r>
        <w:rPr>
          <w:rFonts w:hint="eastAsia" w:ascii="仿宋_GB2312" w:hAnsi="仿宋_GB2312" w:eastAsia="仿宋_GB2312" w:cs="仿宋_GB2312"/>
          <w:color w:val="000000"/>
          <w:sz w:val="28"/>
          <w:szCs w:val="28"/>
        </w:rPr>
        <w:t>合同金额1%】作为违反廉洁自律承诺的违约金。如该违约金不足以弥补贵司实际损失（包括但不限于贵司因此遭受的直接经济损失以及贵司为主张权利而支出的诉讼费、律师费、公证费、鉴定费、保全费、保全担保费、翻译费等费用）的，我司仍将承担实际损失赔偿责任；</w:t>
      </w:r>
    </w:p>
    <w:p>
      <w:pPr>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2.2.3 拒绝我司在一定时期内参与贵司其他项目或经营活动的投标、服务。</w:t>
      </w:r>
    </w:p>
    <w:p>
      <w:pPr>
        <w:pageBreakBefore w:val="0"/>
        <w:widowControl w:val="0"/>
        <w:numPr>
          <w:ilvl w:val="0"/>
          <w:numId w:val="7"/>
        </w:numPr>
        <w:kinsoku/>
        <w:wordWrap/>
        <w:overflowPunct/>
        <w:topLinePunct w:val="0"/>
        <w:autoSpaceDE/>
        <w:autoSpaceDN/>
        <w:bidi w:val="0"/>
        <w:adjustRightInd w:val="0"/>
        <w:snapToGrid w:val="0"/>
        <w:spacing w:line="560" w:lineRule="exact"/>
        <w:ind w:left="0" w:leftChars="0" w:right="0" w:rightChars="0" w:firstLine="562" w:firstLineChars="200"/>
        <w:textAlignment w:val="auto"/>
        <w:rPr>
          <w:rFonts w:hint="eastAsia" w:ascii="仿宋_GB2312" w:hAnsi="仿宋_GB2312" w:eastAsia="仿宋_GB2312" w:cs="仿宋_GB2312"/>
          <w:b/>
          <w:bCs/>
          <w:color w:val="000000"/>
          <w:sz w:val="28"/>
          <w:szCs w:val="28"/>
        </w:rPr>
      </w:pPr>
      <w:r>
        <w:rPr>
          <w:rFonts w:hint="eastAsia" w:ascii="仿宋_GB2312" w:hAnsi="仿宋_GB2312" w:eastAsia="仿宋_GB2312" w:cs="仿宋_GB2312"/>
          <w:b/>
          <w:bCs/>
          <w:color w:val="000000"/>
          <w:sz w:val="28"/>
          <w:szCs w:val="28"/>
        </w:rPr>
        <w:t>争议解决</w:t>
      </w:r>
    </w:p>
    <w:p>
      <w:pPr>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由于本承诺书的履行或解释而产生的或与之有关的任何争议，如双方无法协商解决，应提交</w:t>
      </w:r>
      <w:r>
        <w:rPr>
          <w:rFonts w:hint="eastAsia" w:ascii="仿宋_GB2312" w:hAnsi="仿宋_GB2312" w:eastAsia="仿宋_GB2312" w:cs="仿宋_GB2312"/>
          <w:color w:val="000000"/>
          <w:sz w:val="28"/>
          <w:szCs w:val="28"/>
          <w:lang w:val="en-US" w:eastAsia="zh-CN"/>
        </w:rPr>
        <w:t>工程所在地</w:t>
      </w:r>
      <w:r>
        <w:rPr>
          <w:rFonts w:hint="eastAsia" w:ascii="仿宋_GB2312" w:hAnsi="仿宋_GB2312" w:eastAsia="仿宋_GB2312" w:cs="仿宋_GB2312"/>
          <w:color w:val="000000"/>
          <w:sz w:val="28"/>
          <w:szCs w:val="28"/>
        </w:rPr>
        <w:t>人民法院</w:t>
      </w:r>
      <w:r>
        <w:rPr>
          <w:rFonts w:hint="eastAsia" w:ascii="仿宋_GB2312" w:hAnsi="仿宋_GB2312" w:eastAsia="仿宋_GB2312" w:cs="仿宋_GB2312"/>
          <w:color w:val="000000"/>
          <w:sz w:val="28"/>
          <w:szCs w:val="28"/>
          <w:lang w:val="en-US" w:eastAsia="zh-CN"/>
        </w:rPr>
        <w:t>诉讼</w:t>
      </w:r>
      <w:r>
        <w:rPr>
          <w:rFonts w:hint="eastAsia" w:ascii="仿宋_GB2312" w:hAnsi="仿宋_GB2312" w:eastAsia="仿宋_GB2312" w:cs="仿宋_GB2312"/>
          <w:color w:val="000000"/>
          <w:sz w:val="28"/>
          <w:szCs w:val="28"/>
        </w:rPr>
        <w:t>解决。</w:t>
      </w:r>
    </w:p>
    <w:p>
      <w:pPr>
        <w:pageBreakBefore w:val="0"/>
        <w:widowControl w:val="0"/>
        <w:numPr>
          <w:ilvl w:val="0"/>
          <w:numId w:val="7"/>
        </w:numPr>
        <w:kinsoku/>
        <w:wordWrap/>
        <w:overflowPunct/>
        <w:topLinePunct w:val="0"/>
        <w:autoSpaceDE/>
        <w:autoSpaceDN/>
        <w:bidi w:val="0"/>
        <w:adjustRightInd w:val="0"/>
        <w:snapToGrid w:val="0"/>
        <w:spacing w:line="560" w:lineRule="exact"/>
        <w:ind w:left="0" w:leftChars="0" w:right="0" w:rightChars="0" w:firstLine="562" w:firstLineChars="200"/>
        <w:textAlignment w:val="auto"/>
        <w:rPr>
          <w:rFonts w:hint="eastAsia" w:ascii="仿宋_GB2312" w:hAnsi="仿宋_GB2312" w:eastAsia="仿宋_GB2312" w:cs="仿宋_GB2312"/>
          <w:b/>
          <w:bCs/>
          <w:color w:val="000000"/>
          <w:sz w:val="28"/>
          <w:szCs w:val="28"/>
        </w:rPr>
      </w:pPr>
      <w:r>
        <w:rPr>
          <w:rFonts w:hint="eastAsia" w:ascii="仿宋_GB2312" w:hAnsi="仿宋_GB2312" w:eastAsia="仿宋_GB2312" w:cs="仿宋_GB2312"/>
          <w:b/>
          <w:bCs/>
          <w:color w:val="000000"/>
          <w:sz w:val="28"/>
          <w:szCs w:val="28"/>
        </w:rPr>
        <w:t>其他</w:t>
      </w:r>
    </w:p>
    <w:p>
      <w:pPr>
        <w:pageBreakBefore w:val="0"/>
        <w:widowControl w:val="0"/>
        <w:tabs>
          <w:tab w:val="right" w:pos="8306"/>
        </w:tabs>
        <w:kinsoku/>
        <w:wordWrap/>
        <w:overflowPunct/>
        <w:topLinePunct w:val="0"/>
        <w:autoSpaceDE/>
        <w:autoSpaceDN/>
        <w:bidi w:val="0"/>
        <w:adjustRightInd w:val="0"/>
        <w:snapToGrid w:val="0"/>
        <w:spacing w:line="560" w:lineRule="exact"/>
        <w:ind w:left="0" w:leftChars="0" w:right="0" w:rightChars="0"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本承诺书经我司法定代表人或授权代表签字（包含签章）并加盖我司公章之日起生效。</w:t>
      </w:r>
    </w:p>
    <w:p>
      <w:pPr>
        <w:pageBreakBefore w:val="0"/>
        <w:widowControl w:val="0"/>
        <w:tabs>
          <w:tab w:val="right" w:pos="8306"/>
        </w:tabs>
        <w:kinsoku/>
        <w:wordWrap/>
        <w:overflowPunct/>
        <w:topLinePunct w:val="0"/>
        <w:autoSpaceDE/>
        <w:autoSpaceDN/>
        <w:bidi w:val="0"/>
        <w:adjustRightInd w:val="0"/>
        <w:snapToGrid w:val="0"/>
        <w:spacing w:line="560" w:lineRule="exact"/>
        <w:ind w:left="0" w:leftChars="0" w:right="0" w:rightChars="0" w:firstLine="560" w:firstLineChars="200"/>
        <w:textAlignment w:val="auto"/>
        <w:rPr>
          <w:rFonts w:hint="eastAsia" w:ascii="仿宋_GB2312" w:hAnsi="仿宋_GB2312" w:eastAsia="仿宋_GB2312" w:cs="仿宋_GB2312"/>
          <w:color w:val="000000"/>
          <w:sz w:val="28"/>
          <w:szCs w:val="28"/>
        </w:rPr>
      </w:pPr>
    </w:p>
    <w:p>
      <w:pPr>
        <w:keepNext w:val="0"/>
        <w:keepLines w:val="0"/>
        <w:pageBreakBefore w:val="0"/>
        <w:widowControl w:val="0"/>
        <w:tabs>
          <w:tab w:val="right" w:pos="8306"/>
        </w:tabs>
        <w:kinsoku/>
        <w:wordWrap/>
        <w:overflowPunct/>
        <w:topLinePunct w:val="0"/>
        <w:autoSpaceDE/>
        <w:autoSpaceDN/>
        <w:bidi w:val="0"/>
        <w:adjustRightInd w:val="0"/>
        <w:snapToGrid w:val="0"/>
        <w:spacing w:line="560" w:lineRule="exact"/>
        <w:ind w:left="0" w:leftChars="0" w:right="0" w:rightChars="0" w:firstLine="0" w:firstLineChars="0"/>
        <w:jc w:val="right"/>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法定代表人(或授权代表)签字：【</w:t>
      </w:r>
      <w:r>
        <w:rPr>
          <w:rFonts w:hint="eastAsia" w:ascii="仿宋_GB2312" w:hAnsi="仿宋_GB2312" w:eastAsia="仿宋_GB2312" w:cs="仿宋_GB2312"/>
          <w:color w:val="000000"/>
          <w:sz w:val="28"/>
          <w:szCs w:val="28"/>
          <w:lang w:val="en-US" w:eastAsia="zh-CN"/>
        </w:rPr>
        <w:t xml:space="preserve">         </w:t>
      </w:r>
      <w:r>
        <w:rPr>
          <w:rFonts w:hint="eastAsia" w:ascii="仿宋_GB2312" w:hAnsi="仿宋_GB2312" w:eastAsia="仿宋_GB2312" w:cs="仿宋_GB2312"/>
          <w:color w:val="000000"/>
          <w:sz w:val="28"/>
          <w:szCs w:val="28"/>
        </w:rPr>
        <w:t>】</w:t>
      </w:r>
    </w:p>
    <w:p>
      <w:pPr>
        <w:keepNext w:val="0"/>
        <w:keepLines w:val="0"/>
        <w:pageBreakBefore w:val="0"/>
        <w:widowControl w:val="0"/>
        <w:tabs>
          <w:tab w:val="right" w:pos="8306"/>
        </w:tabs>
        <w:kinsoku/>
        <w:wordWrap/>
        <w:overflowPunct/>
        <w:topLinePunct w:val="0"/>
        <w:autoSpaceDE/>
        <w:autoSpaceDN/>
        <w:bidi w:val="0"/>
        <w:adjustRightInd w:val="0"/>
        <w:snapToGrid w:val="0"/>
        <w:spacing w:line="560" w:lineRule="exact"/>
        <w:ind w:left="0" w:leftChars="0" w:right="0" w:rightChars="0" w:firstLine="0" w:firstLineChars="0"/>
        <w:jc w:val="right"/>
        <w:textAlignment w:val="auto"/>
        <w:outlineLvl w:val="9"/>
        <w:rPr>
          <w:rFonts w:hint="eastAsia" w:ascii="仿宋_GB2312" w:hAnsi="仿宋_GB2312" w:eastAsia="仿宋_GB2312" w:cs="仿宋_GB2312"/>
          <w:color w:val="000000"/>
          <w:sz w:val="28"/>
          <w:szCs w:val="28"/>
        </w:rPr>
      </w:pPr>
    </w:p>
    <w:p>
      <w:pPr>
        <w:keepNext w:val="0"/>
        <w:keepLines w:val="0"/>
        <w:pageBreakBefore w:val="0"/>
        <w:widowControl w:val="0"/>
        <w:tabs>
          <w:tab w:val="right" w:pos="8306"/>
        </w:tabs>
        <w:kinsoku/>
        <w:wordWrap/>
        <w:overflowPunct/>
        <w:topLinePunct w:val="0"/>
        <w:autoSpaceDE/>
        <w:autoSpaceDN/>
        <w:bidi w:val="0"/>
        <w:adjustRightInd w:val="0"/>
        <w:snapToGrid w:val="0"/>
        <w:spacing w:line="560" w:lineRule="exact"/>
        <w:ind w:left="0" w:leftChars="0" w:right="0" w:rightChars="0" w:firstLine="0" w:firstLineChars="0"/>
        <w:jc w:val="right"/>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盖章：【</w:t>
      </w:r>
      <w:r>
        <w:rPr>
          <w:rFonts w:hint="eastAsia" w:ascii="仿宋_GB2312" w:hAnsi="仿宋_GB2312" w:eastAsia="仿宋_GB2312" w:cs="仿宋_GB2312"/>
          <w:color w:val="000000"/>
          <w:sz w:val="28"/>
          <w:szCs w:val="28"/>
          <w:lang w:val="en-US" w:eastAsia="zh-CN"/>
        </w:rPr>
        <w:t xml:space="preserve">         </w:t>
      </w:r>
      <w:r>
        <w:rPr>
          <w:rFonts w:hint="eastAsia" w:ascii="仿宋_GB2312" w:hAnsi="仿宋_GB2312" w:eastAsia="仿宋_GB2312" w:cs="仿宋_GB2312"/>
          <w:color w:val="000000"/>
          <w:sz w:val="28"/>
          <w:szCs w:val="28"/>
        </w:rPr>
        <w:t>】</w:t>
      </w:r>
    </w:p>
    <w:p>
      <w:pPr>
        <w:keepNext w:val="0"/>
        <w:keepLines w:val="0"/>
        <w:pageBreakBefore w:val="0"/>
        <w:widowControl w:val="0"/>
        <w:tabs>
          <w:tab w:val="right" w:pos="8306"/>
        </w:tabs>
        <w:kinsoku/>
        <w:wordWrap/>
        <w:overflowPunct/>
        <w:topLinePunct w:val="0"/>
        <w:autoSpaceDE/>
        <w:autoSpaceDN/>
        <w:bidi w:val="0"/>
        <w:adjustRightInd w:val="0"/>
        <w:snapToGrid w:val="0"/>
        <w:spacing w:line="560" w:lineRule="exact"/>
        <w:ind w:left="0" w:leftChars="0" w:right="0" w:rightChars="0" w:firstLine="0" w:firstLineChars="0"/>
        <w:jc w:val="right"/>
        <w:textAlignment w:val="auto"/>
        <w:outlineLvl w:val="9"/>
        <w:rPr>
          <w:rFonts w:hint="eastAsia" w:ascii="仿宋_GB2312" w:hAnsi="仿宋_GB2312" w:eastAsia="仿宋_GB2312" w:cs="仿宋_GB2312"/>
          <w:color w:val="000000"/>
          <w:sz w:val="28"/>
          <w:szCs w:val="28"/>
        </w:rPr>
      </w:pPr>
    </w:p>
    <w:p>
      <w:pPr>
        <w:keepNext w:val="0"/>
        <w:keepLines w:val="0"/>
        <w:pageBreakBefore w:val="0"/>
        <w:widowControl w:val="0"/>
        <w:tabs>
          <w:tab w:val="right" w:pos="8306"/>
        </w:tabs>
        <w:kinsoku/>
        <w:wordWrap/>
        <w:overflowPunct/>
        <w:topLinePunct w:val="0"/>
        <w:autoSpaceDE/>
        <w:autoSpaceDN/>
        <w:bidi w:val="0"/>
        <w:adjustRightInd w:val="0"/>
        <w:snapToGrid w:val="0"/>
        <w:spacing w:line="560" w:lineRule="exact"/>
        <w:ind w:left="0" w:leftChars="0" w:right="0" w:rightChars="0" w:firstLine="0" w:firstLineChars="0"/>
        <w:jc w:val="right"/>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日期：【</w:t>
      </w:r>
      <w:r>
        <w:rPr>
          <w:rFonts w:hint="eastAsia" w:ascii="仿宋_GB2312" w:hAnsi="仿宋_GB2312" w:eastAsia="仿宋_GB2312" w:cs="仿宋_GB2312"/>
          <w:color w:val="000000"/>
          <w:sz w:val="28"/>
          <w:szCs w:val="28"/>
          <w:lang w:val="en-US" w:eastAsia="zh-CN"/>
        </w:rPr>
        <w:t xml:space="preserve">         </w:t>
      </w:r>
      <w:r>
        <w:rPr>
          <w:rFonts w:hint="eastAsia" w:ascii="仿宋_GB2312" w:hAnsi="仿宋_GB2312" w:eastAsia="仿宋_GB2312" w:cs="仿宋_GB2312"/>
          <w:color w:val="000000"/>
          <w:sz w:val="28"/>
          <w:szCs w:val="28"/>
        </w:rPr>
        <w:t>】</w:t>
      </w:r>
    </w:p>
    <w:bookmarkEnd w:id="17"/>
    <w:p>
      <w:pPr>
        <w:keepNext w:val="0"/>
        <w:keepLines w:val="0"/>
        <w:pageBreakBefore w:val="0"/>
        <w:widowControl w:val="0"/>
        <w:kinsoku/>
        <w:wordWrap/>
        <w:overflowPunct/>
        <w:topLinePunct w:val="0"/>
        <w:autoSpaceDE/>
        <w:autoSpaceDN/>
        <w:bidi w:val="0"/>
        <w:spacing w:line="560" w:lineRule="exact"/>
        <w:ind w:left="0" w:leftChars="0" w:right="0" w:rightChars="0" w:firstLine="0" w:firstLineChars="0"/>
        <w:textAlignment w:val="auto"/>
        <w:outlineLvl w:val="9"/>
        <w:rPr>
          <w:rFonts w:hint="eastAsia" w:ascii="仿宋_GB2312" w:hAnsi="仿宋_GB2312" w:eastAsia="仿宋_GB2312" w:cs="仿宋_GB2312"/>
          <w:sz w:val="28"/>
          <w:szCs w:val="28"/>
        </w:rPr>
      </w:pPr>
    </w:p>
    <w:p>
      <w:pPr>
        <w:pStyle w:val="13"/>
        <w:pageBreakBefore/>
        <w:numPr>
          <w:ilvl w:val="0"/>
          <w:numId w:val="9"/>
        </w:numPr>
        <w:spacing w:before="0" w:after="0" w:line="560" w:lineRule="exact"/>
        <w:rPr>
          <w:rFonts w:hint="eastAsia"/>
        </w:rPr>
      </w:pPr>
      <w:bookmarkStart w:id="18" w:name="_Toc139785992"/>
      <w:bookmarkStart w:id="19" w:name="_Toc21282"/>
      <w:r>
        <w:rPr>
          <w:rFonts w:hint="eastAsia"/>
        </w:rPr>
        <w:t>工程量清单</w:t>
      </w:r>
      <w:bookmarkEnd w:id="18"/>
      <w:bookmarkEnd w:id="19"/>
    </w:p>
    <w:p>
      <w:pPr>
        <w:rPr>
          <w:rFonts w:hint="eastAsia"/>
        </w:rPr>
      </w:pPr>
    </w:p>
    <w:tbl>
      <w:tblPr>
        <w:tblStyle w:val="14"/>
        <w:tblW w:w="983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681"/>
        <w:gridCol w:w="1200"/>
        <w:gridCol w:w="3011"/>
        <w:gridCol w:w="658"/>
        <w:gridCol w:w="1154"/>
        <w:gridCol w:w="1777"/>
        <w:gridCol w:w="13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65" w:hRule="atLeast"/>
        </w:trPr>
        <w:tc>
          <w:tcPr>
            <w:tcW w:w="9831" w:type="dxa"/>
            <w:gridSpan w:val="7"/>
            <w:shd w:val="clear" w:color="auto" w:fill="FFFFFF"/>
            <w:vAlign w:val="center"/>
          </w:tcPr>
          <w:p>
            <w:pPr>
              <w:keepNext w:val="0"/>
              <w:keepLines w:val="0"/>
              <w:widowControl/>
              <w:suppressLineNumbers w:val="0"/>
              <w:jc w:val="center"/>
              <w:textAlignment w:val="center"/>
              <w:rPr>
                <w:rFonts w:hint="eastAsia" w:ascii="宋体" w:hAnsi="宋体" w:eastAsia="宋体" w:cs="宋体"/>
                <w:b/>
                <w:i w:val="0"/>
                <w:color w:val="000000"/>
                <w:sz w:val="40"/>
                <w:szCs w:val="40"/>
                <w:u w:val="none"/>
              </w:rPr>
            </w:pPr>
            <w:r>
              <w:rPr>
                <w:rFonts w:hint="eastAsia" w:ascii="仿宋_GB2312" w:hAnsi="仿宋_GB2312" w:eastAsia="仿宋_GB2312" w:cs="仿宋_GB2312"/>
                <w:b/>
                <w:i w:val="0"/>
                <w:color w:val="000000"/>
                <w:kern w:val="0"/>
                <w:sz w:val="44"/>
                <w:szCs w:val="44"/>
                <w:u w:val="none"/>
                <w:lang w:val="en-US" w:eastAsia="zh-CN" w:bidi="ar"/>
              </w:rPr>
              <w:t>杭州萧山国际机场T3航站楼值机岛开包间后端增加隔断项目参考工程量清单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30" w:hRule="atLeast"/>
        </w:trPr>
        <w:tc>
          <w:tcPr>
            <w:tcW w:w="9831" w:type="dxa"/>
            <w:gridSpan w:val="7"/>
            <w:shd w:val="clear" w:color="auto" w:fill="FFFFFF"/>
            <w:vAlign w:val="bottom"/>
          </w:tcPr>
          <w:p>
            <w:pPr>
              <w:keepNext w:val="0"/>
              <w:keepLines w:val="0"/>
              <w:widowControl/>
              <w:suppressLineNumbers w:val="0"/>
              <w:jc w:val="right"/>
              <w:textAlignment w:val="bottom"/>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第1页 共1页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5" w:hRule="atLeast"/>
        </w:trPr>
        <w:tc>
          <w:tcPr>
            <w:tcW w:w="681"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序号</w:t>
            </w:r>
          </w:p>
        </w:tc>
        <w:tc>
          <w:tcPr>
            <w:tcW w:w="1200"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定额编号</w:t>
            </w:r>
          </w:p>
        </w:tc>
        <w:tc>
          <w:tcPr>
            <w:tcW w:w="3011"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名称及说明</w:t>
            </w:r>
          </w:p>
        </w:tc>
        <w:tc>
          <w:tcPr>
            <w:tcW w:w="658"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单位</w:t>
            </w:r>
          </w:p>
        </w:tc>
        <w:tc>
          <w:tcPr>
            <w:tcW w:w="1154"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工程数量</w:t>
            </w:r>
          </w:p>
        </w:tc>
        <w:tc>
          <w:tcPr>
            <w:tcW w:w="1777"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综合单价(元)</w:t>
            </w:r>
          </w:p>
        </w:tc>
        <w:tc>
          <w:tcPr>
            <w:tcW w:w="1350" w:type="dxa"/>
            <w:tcBorders>
              <w:top w:val="single" w:color="000000" w:sz="4" w:space="0"/>
              <w:left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合价(元)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30" w:hRule="atLeast"/>
        </w:trPr>
        <w:tc>
          <w:tcPr>
            <w:tcW w:w="681"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1</w:t>
            </w:r>
          </w:p>
        </w:tc>
        <w:tc>
          <w:tcPr>
            <w:tcW w:w="120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补</w:t>
            </w:r>
          </w:p>
        </w:tc>
        <w:tc>
          <w:tcPr>
            <w:tcW w:w="3011"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304不锈钢围网制作安装（丝粗1.0MM网孔5.0MM）（含1*1.95米*6樘门体及配件）</w:t>
            </w:r>
          </w:p>
        </w:tc>
        <w:tc>
          <w:tcPr>
            <w:tcW w:w="658"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w:t>
            </w:r>
          </w:p>
        </w:tc>
        <w:tc>
          <w:tcPr>
            <w:tcW w:w="1154"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69.480</w:t>
            </w:r>
          </w:p>
        </w:tc>
        <w:tc>
          <w:tcPr>
            <w:tcW w:w="1777"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8"/>
                <w:szCs w:val="28"/>
                <w:u w:val="none"/>
              </w:rPr>
            </w:pPr>
          </w:p>
        </w:tc>
        <w:tc>
          <w:tcPr>
            <w:tcW w:w="1350" w:type="dxa"/>
            <w:tcBorders>
              <w:top w:val="single" w:color="000000" w:sz="4" w:space="0"/>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0" w:hRule="atLeast"/>
        </w:trPr>
        <w:tc>
          <w:tcPr>
            <w:tcW w:w="681"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2</w:t>
            </w:r>
          </w:p>
        </w:tc>
        <w:tc>
          <w:tcPr>
            <w:tcW w:w="120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补</w:t>
            </w:r>
          </w:p>
        </w:tc>
        <w:tc>
          <w:tcPr>
            <w:tcW w:w="3011"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40*60*1.0MM 304拉丝不锈钢管制作安装</w:t>
            </w:r>
          </w:p>
        </w:tc>
        <w:tc>
          <w:tcPr>
            <w:tcW w:w="658"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m</w:t>
            </w:r>
          </w:p>
        </w:tc>
        <w:tc>
          <w:tcPr>
            <w:tcW w:w="1154"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401.280</w:t>
            </w:r>
          </w:p>
        </w:tc>
        <w:tc>
          <w:tcPr>
            <w:tcW w:w="1777"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8"/>
                <w:szCs w:val="28"/>
                <w:u w:val="none"/>
              </w:rPr>
            </w:pPr>
          </w:p>
        </w:tc>
        <w:tc>
          <w:tcPr>
            <w:tcW w:w="1350" w:type="dxa"/>
            <w:tcBorders>
              <w:top w:val="single" w:color="000000" w:sz="4" w:space="0"/>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20" w:hRule="atLeast"/>
        </w:trPr>
        <w:tc>
          <w:tcPr>
            <w:tcW w:w="681"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3</w:t>
            </w:r>
          </w:p>
        </w:tc>
        <w:tc>
          <w:tcPr>
            <w:tcW w:w="120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补</w:t>
            </w:r>
          </w:p>
        </w:tc>
        <w:tc>
          <w:tcPr>
            <w:tcW w:w="3011"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25*25*1.0MM 304拉丝不锈钢管制作安装</w:t>
            </w:r>
          </w:p>
        </w:tc>
        <w:tc>
          <w:tcPr>
            <w:tcW w:w="658"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m</w:t>
            </w:r>
          </w:p>
        </w:tc>
        <w:tc>
          <w:tcPr>
            <w:tcW w:w="1154"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240.960</w:t>
            </w:r>
          </w:p>
        </w:tc>
        <w:tc>
          <w:tcPr>
            <w:tcW w:w="1777"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8"/>
                <w:szCs w:val="28"/>
                <w:u w:val="none"/>
              </w:rPr>
            </w:pPr>
          </w:p>
        </w:tc>
        <w:tc>
          <w:tcPr>
            <w:tcW w:w="1350" w:type="dxa"/>
            <w:tcBorders>
              <w:top w:val="single" w:color="000000" w:sz="4" w:space="0"/>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20" w:hRule="atLeast"/>
        </w:trPr>
        <w:tc>
          <w:tcPr>
            <w:tcW w:w="681"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4</w:t>
            </w:r>
          </w:p>
        </w:tc>
        <w:tc>
          <w:tcPr>
            <w:tcW w:w="120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补</w:t>
            </w:r>
          </w:p>
        </w:tc>
        <w:tc>
          <w:tcPr>
            <w:tcW w:w="3011"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登高辅助费</w:t>
            </w:r>
          </w:p>
        </w:tc>
        <w:tc>
          <w:tcPr>
            <w:tcW w:w="658"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项</w:t>
            </w:r>
          </w:p>
        </w:tc>
        <w:tc>
          <w:tcPr>
            <w:tcW w:w="1154"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1.000</w:t>
            </w:r>
          </w:p>
        </w:tc>
        <w:tc>
          <w:tcPr>
            <w:tcW w:w="1777"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8"/>
                <w:szCs w:val="28"/>
                <w:u w:val="none"/>
              </w:rPr>
            </w:pPr>
          </w:p>
        </w:tc>
        <w:tc>
          <w:tcPr>
            <w:tcW w:w="1350" w:type="dxa"/>
            <w:tcBorders>
              <w:top w:val="single" w:color="000000" w:sz="4" w:space="0"/>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5" w:hRule="atLeast"/>
        </w:trPr>
        <w:tc>
          <w:tcPr>
            <w:tcW w:w="681" w:type="dxa"/>
            <w:tcBorders>
              <w:top w:val="single" w:color="000000" w:sz="4" w:space="0"/>
              <w:left w:val="single" w:color="000000" w:sz="4" w:space="0"/>
            </w:tcBorders>
            <w:shd w:val="clear" w:color="auto" w:fill="FFFFFF"/>
            <w:vAlign w:val="center"/>
          </w:tcPr>
          <w:p>
            <w:pPr>
              <w:jc w:val="left"/>
              <w:rPr>
                <w:rFonts w:hint="eastAsia" w:ascii="仿宋_GB2312" w:hAnsi="仿宋_GB2312" w:eastAsia="仿宋_GB2312" w:cs="仿宋_GB2312"/>
                <w:i w:val="0"/>
                <w:color w:val="000000"/>
                <w:sz w:val="28"/>
                <w:szCs w:val="28"/>
                <w:u w:val="none"/>
              </w:rPr>
            </w:pPr>
          </w:p>
        </w:tc>
        <w:tc>
          <w:tcPr>
            <w:tcW w:w="1200" w:type="dxa"/>
            <w:tcBorders>
              <w:top w:val="single" w:color="000000" w:sz="4" w:space="0"/>
              <w:left w:val="single" w:color="000000" w:sz="4" w:space="0"/>
            </w:tcBorders>
            <w:shd w:val="clear" w:color="auto" w:fill="FFFFFF"/>
            <w:vAlign w:val="center"/>
          </w:tcPr>
          <w:p>
            <w:pPr>
              <w:jc w:val="left"/>
              <w:rPr>
                <w:rFonts w:hint="eastAsia" w:ascii="仿宋_GB2312" w:hAnsi="仿宋_GB2312" w:eastAsia="仿宋_GB2312" w:cs="仿宋_GB2312"/>
                <w:i w:val="0"/>
                <w:color w:val="000000"/>
                <w:sz w:val="28"/>
                <w:szCs w:val="28"/>
                <w:u w:val="none"/>
              </w:rPr>
            </w:pPr>
          </w:p>
        </w:tc>
        <w:tc>
          <w:tcPr>
            <w:tcW w:w="3011"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8"/>
                <w:szCs w:val="28"/>
                <w:u w:val="none"/>
              </w:rPr>
            </w:pPr>
          </w:p>
        </w:tc>
        <w:tc>
          <w:tcPr>
            <w:tcW w:w="658" w:type="dxa"/>
            <w:tcBorders>
              <w:top w:val="single" w:color="000000" w:sz="4" w:space="0"/>
              <w:left w:val="single" w:color="000000" w:sz="4" w:space="0"/>
            </w:tcBorders>
            <w:shd w:val="clear" w:color="auto" w:fill="FFFFFF"/>
            <w:vAlign w:val="center"/>
          </w:tcPr>
          <w:p>
            <w:pPr>
              <w:jc w:val="left"/>
              <w:rPr>
                <w:rFonts w:hint="eastAsia" w:ascii="仿宋_GB2312" w:hAnsi="仿宋_GB2312" w:eastAsia="仿宋_GB2312" w:cs="仿宋_GB2312"/>
                <w:i w:val="0"/>
                <w:color w:val="000000"/>
                <w:sz w:val="28"/>
                <w:szCs w:val="28"/>
                <w:u w:val="none"/>
              </w:rPr>
            </w:pPr>
          </w:p>
        </w:tc>
        <w:tc>
          <w:tcPr>
            <w:tcW w:w="1154" w:type="dxa"/>
            <w:tcBorders>
              <w:top w:val="single" w:color="000000" w:sz="4" w:space="0"/>
              <w:left w:val="single" w:color="000000" w:sz="4" w:space="0"/>
            </w:tcBorders>
            <w:shd w:val="clear" w:color="auto" w:fill="FFFFFF"/>
            <w:vAlign w:val="center"/>
          </w:tcPr>
          <w:p>
            <w:pPr>
              <w:jc w:val="right"/>
              <w:rPr>
                <w:rFonts w:hint="eastAsia" w:ascii="仿宋_GB2312" w:hAnsi="仿宋_GB2312" w:eastAsia="仿宋_GB2312" w:cs="仿宋_GB2312"/>
                <w:i w:val="0"/>
                <w:color w:val="000000"/>
                <w:sz w:val="28"/>
                <w:szCs w:val="28"/>
                <w:u w:val="none"/>
              </w:rPr>
            </w:pPr>
          </w:p>
        </w:tc>
        <w:tc>
          <w:tcPr>
            <w:tcW w:w="1777" w:type="dxa"/>
            <w:tcBorders>
              <w:top w:val="single" w:color="000000" w:sz="4" w:space="0"/>
              <w:left w:val="single" w:color="000000" w:sz="4" w:space="0"/>
            </w:tcBorders>
            <w:shd w:val="clear" w:color="auto" w:fill="FFFFFF"/>
            <w:vAlign w:val="center"/>
          </w:tcPr>
          <w:p>
            <w:pPr>
              <w:jc w:val="right"/>
              <w:rPr>
                <w:rFonts w:hint="eastAsia" w:ascii="仿宋_GB2312" w:hAnsi="仿宋_GB2312" w:eastAsia="仿宋_GB2312" w:cs="仿宋_GB2312"/>
                <w:i w:val="0"/>
                <w:color w:val="000000"/>
                <w:sz w:val="28"/>
                <w:szCs w:val="28"/>
                <w:u w:val="none"/>
              </w:rPr>
            </w:pPr>
          </w:p>
        </w:tc>
        <w:tc>
          <w:tcPr>
            <w:tcW w:w="1350" w:type="dxa"/>
            <w:tcBorders>
              <w:top w:val="single" w:color="000000" w:sz="4" w:space="0"/>
              <w:left w:val="single" w:color="000000" w:sz="4" w:space="0"/>
              <w:right w:val="single" w:color="000000" w:sz="4" w:space="0"/>
            </w:tcBorders>
            <w:shd w:val="clear" w:color="auto" w:fill="FFFFFF"/>
            <w:vAlign w:val="center"/>
          </w:tcPr>
          <w:p>
            <w:pPr>
              <w:jc w:val="right"/>
              <w:rPr>
                <w:rFonts w:hint="eastAsia" w:ascii="仿宋_GB2312" w:hAnsi="仿宋_GB2312" w:eastAsia="仿宋_GB2312" w:cs="仿宋_GB2312"/>
                <w:i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5" w:hRule="atLeast"/>
        </w:trPr>
        <w:tc>
          <w:tcPr>
            <w:tcW w:w="8481" w:type="dxa"/>
            <w:gridSpan w:val="6"/>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rPr>
            </w:pPr>
          </w:p>
        </w:tc>
        <w:tc>
          <w:tcPr>
            <w:tcW w:w="1350" w:type="dxa"/>
            <w:tcBorders>
              <w:top w:val="single" w:color="000000" w:sz="4" w:space="0"/>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5" w:hRule="atLeast"/>
        </w:trPr>
        <w:tc>
          <w:tcPr>
            <w:tcW w:w="8481" w:type="dxa"/>
            <w:gridSpan w:val="6"/>
            <w:tcBorders>
              <w:top w:val="single" w:color="000000" w:sz="4" w:space="0"/>
              <w:left w:val="single" w:color="000000" w:sz="4" w:space="0"/>
              <w:bottom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合    计</w:t>
            </w:r>
          </w:p>
        </w:tc>
        <w:tc>
          <w:tcPr>
            <w:tcW w:w="13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8"/>
                <w:szCs w:val="28"/>
                <w:u w:val="none"/>
              </w:rPr>
            </w:pPr>
          </w:p>
        </w:tc>
      </w:tr>
    </w:tbl>
    <w:p>
      <w:pPr>
        <w:numPr>
          <w:ilvl w:val="0"/>
          <w:numId w:val="0"/>
        </w:numPr>
      </w:pPr>
    </w:p>
    <w:p>
      <w:pPr>
        <w:pStyle w:val="13"/>
        <w:pageBreakBefore/>
        <w:spacing w:before="0" w:after="0" w:line="560" w:lineRule="exact"/>
        <w:rPr>
          <w:rFonts w:hint="eastAsia"/>
          <w:lang w:val="en-US" w:eastAsia="zh-CN"/>
        </w:rPr>
      </w:pPr>
      <w:bookmarkStart w:id="20" w:name="_Toc17241"/>
      <w:r>
        <w:rPr>
          <w:rFonts w:hint="eastAsia"/>
        </w:rPr>
        <w:t>第</w:t>
      </w:r>
      <w:r>
        <w:rPr>
          <w:rFonts w:hint="eastAsia"/>
          <w:lang w:val="en-US" w:eastAsia="zh-CN"/>
        </w:rPr>
        <w:t>五</w:t>
      </w:r>
      <w:r>
        <w:rPr>
          <w:rFonts w:hint="eastAsia"/>
        </w:rPr>
        <w:t xml:space="preserve">章 </w:t>
      </w:r>
      <w:r>
        <w:rPr>
          <w:rFonts w:hint="eastAsia"/>
          <w:lang w:val="en-US" w:eastAsia="zh-CN"/>
        </w:rPr>
        <w:t>图纸</w:t>
      </w:r>
      <w:bookmarkEnd w:id="20"/>
    </w:p>
    <w:p>
      <w:pPr>
        <w:ind w:left="0" w:leftChars="0" w:right="0" w:rightChars="0" w:firstLine="0" w:firstLineChars="0"/>
        <w:jc w:val="center"/>
        <w:rPr>
          <w:rFonts w:hint="eastAsia" w:eastAsiaTheme="minorEastAsia"/>
          <w:lang w:eastAsia="zh-CN"/>
        </w:rPr>
      </w:pPr>
      <w:r>
        <w:rPr>
          <w:rFonts w:hint="eastAsia" w:eastAsiaTheme="minorEastAsia"/>
          <w:lang w:eastAsia="zh-CN"/>
        </w:rPr>
        <w:drawing>
          <wp:inline distT="0" distB="0" distL="114300" distR="114300">
            <wp:extent cx="6115685" cy="8651240"/>
            <wp:effectExtent l="0" t="0" r="18415" b="16510"/>
            <wp:docPr id="2" name="图片 2" descr="T3开包间安装不锈钢网隔断示意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3开包间安装不锈钢网隔断示意图-1"/>
                    <pic:cNvPicPr>
                      <a:picLocks noChangeAspect="1"/>
                    </pic:cNvPicPr>
                  </pic:nvPicPr>
                  <pic:blipFill>
                    <a:blip r:embed="rId12"/>
                    <a:stretch>
                      <a:fillRect/>
                    </a:stretch>
                  </pic:blipFill>
                  <pic:spPr>
                    <a:xfrm>
                      <a:off x="0" y="0"/>
                      <a:ext cx="6115685" cy="8651240"/>
                    </a:xfrm>
                    <a:prstGeom prst="rect">
                      <a:avLst/>
                    </a:prstGeom>
                  </pic:spPr>
                </pic:pic>
              </a:graphicData>
            </a:graphic>
          </wp:inline>
        </w:drawing>
      </w:r>
    </w:p>
    <w:p>
      <w:pPr>
        <w:pStyle w:val="13"/>
        <w:keepNext/>
        <w:pageBreakBefore/>
        <w:spacing w:before="0" w:after="0" w:line="560" w:lineRule="exact"/>
        <w:rPr>
          <w:rFonts w:hint="eastAsia"/>
        </w:rPr>
      </w:pPr>
      <w:bookmarkStart w:id="21" w:name="_Toc17683"/>
      <w:bookmarkStart w:id="22" w:name="_Toc9774"/>
      <w:bookmarkStart w:id="23" w:name="_Toc139785993"/>
      <w:r>
        <w:rPr>
          <w:rFonts w:hint="eastAsia"/>
        </w:rPr>
        <w:t>第</w:t>
      </w:r>
      <w:r>
        <w:rPr>
          <w:rFonts w:hint="eastAsia"/>
          <w:lang w:val="en-US" w:eastAsia="zh-CN"/>
        </w:rPr>
        <w:t>六</w:t>
      </w:r>
      <w:r>
        <w:rPr>
          <w:rFonts w:hint="eastAsia"/>
        </w:rPr>
        <w:t>章</w:t>
      </w:r>
      <w:r>
        <w:t xml:space="preserve"> </w:t>
      </w:r>
      <w:r>
        <w:rPr>
          <w:rFonts w:hint="eastAsia"/>
        </w:rPr>
        <w:t>技术标准及要求</w:t>
      </w:r>
      <w:bookmarkEnd w:id="21"/>
      <w:bookmarkEnd w:id="22"/>
      <w:bookmarkEnd w:id="23"/>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ascii="仿宋_GB2312" w:hAnsi="仿宋_GB2312" w:eastAsia="仿宋_GB2312" w:cs="仿宋_GB2312"/>
          <w:sz w:val="28"/>
          <w:szCs w:val="28"/>
        </w:rPr>
      </w:pPr>
      <w:r>
        <w:rPr>
          <w:rFonts w:hint="eastAsia" w:ascii="仿宋_GB2312" w:hAnsi="仿宋_GB2312" w:eastAsia="仿宋_GB2312" w:cs="仿宋_GB2312"/>
          <w:sz w:val="28"/>
          <w:szCs w:val="28"/>
        </w:rPr>
        <w:t>一、总体要求</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ascii="仿宋_GB2312" w:hAnsi="仿宋_GB2312" w:eastAsia="仿宋_GB2312" w:cs="仿宋_GB2312"/>
          <w:sz w:val="28"/>
          <w:szCs w:val="28"/>
        </w:rPr>
      </w:pPr>
      <w:r>
        <w:rPr>
          <w:rFonts w:hint="eastAsia" w:ascii="仿宋_GB2312" w:hAnsi="仿宋_GB2312" w:eastAsia="仿宋_GB2312" w:cs="仿宋_GB2312"/>
          <w:sz w:val="28"/>
          <w:szCs w:val="28"/>
        </w:rPr>
        <w:t>招标范围：主要工作内容具体详见工程量清单</w:t>
      </w:r>
      <w:r>
        <w:rPr>
          <w:rFonts w:hint="eastAsia" w:ascii="仿宋_GB2312" w:hAnsi="仿宋_GB2312" w:eastAsia="仿宋_GB2312" w:cs="仿宋_GB2312"/>
          <w:sz w:val="28"/>
          <w:szCs w:val="28"/>
          <w:lang w:val="en-US" w:eastAsia="zh-CN"/>
        </w:rPr>
        <w:t>及图纸</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ascii="仿宋_GB2312" w:hAnsi="仿宋_GB2312" w:eastAsia="仿宋_GB2312" w:cs="仿宋_GB2312"/>
          <w:sz w:val="28"/>
          <w:szCs w:val="28"/>
        </w:rPr>
      </w:pPr>
      <w:r>
        <w:rPr>
          <w:rFonts w:hint="eastAsia" w:ascii="仿宋_GB2312" w:hAnsi="仿宋_GB2312" w:eastAsia="仿宋_GB2312" w:cs="仿宋_GB2312"/>
          <w:sz w:val="28"/>
          <w:szCs w:val="28"/>
        </w:rPr>
        <w:t>施工前应做好施工技术方案或施工组织设计，并经批准后进行施工。施工前应按设计要求进行定位放线，并对测量基线，水准基点等进行复核。施工中必须作好施工记录，并及时处理好施工中出现的问题。严格做好施工场地及周边的文明施工和环境保护工作。做好与施工现场各专业施工队伍的配合工作。</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ascii="仿宋_GB2312" w:hAnsi="仿宋_GB2312" w:eastAsia="仿宋_GB2312" w:cs="仿宋_GB2312"/>
          <w:sz w:val="28"/>
          <w:szCs w:val="28"/>
        </w:rPr>
      </w:pPr>
      <w:r>
        <w:rPr>
          <w:rFonts w:hint="eastAsia" w:ascii="仿宋_GB2312" w:hAnsi="仿宋_GB2312" w:eastAsia="仿宋_GB2312" w:cs="仿宋_GB2312"/>
          <w:sz w:val="28"/>
          <w:szCs w:val="28"/>
        </w:rPr>
        <w:t>1.1 依据技术文件要求，本工程项目的施工必须达到以下现行中华人民共和国及省、市、行业的一切有关法规、规范的要求，如下述标准及规范要求有出入则以较严格者为准。</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ascii="仿宋_GB2312" w:hAnsi="仿宋_GB2312" w:eastAsia="仿宋_GB2312" w:cs="仿宋_GB2312"/>
          <w:sz w:val="28"/>
          <w:szCs w:val="28"/>
        </w:rPr>
      </w:pPr>
      <w:r>
        <w:rPr>
          <w:rFonts w:hint="eastAsia" w:ascii="仿宋_GB2312" w:hAnsi="仿宋_GB2312" w:eastAsia="仿宋_GB2312" w:cs="仿宋_GB2312"/>
          <w:sz w:val="28"/>
          <w:szCs w:val="28"/>
        </w:rPr>
        <w:t>1.1.1适用法律、法规名称：</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ascii="仿宋_GB2312" w:hAnsi="仿宋_GB2312" w:eastAsia="仿宋_GB2312" w:cs="仿宋_GB2312"/>
          <w:sz w:val="28"/>
          <w:szCs w:val="28"/>
        </w:rPr>
      </w:pPr>
      <w:r>
        <w:rPr>
          <w:rFonts w:hint="eastAsia" w:ascii="仿宋_GB2312" w:hAnsi="仿宋_GB2312" w:eastAsia="仿宋_GB2312" w:cs="仿宋_GB2312"/>
          <w:sz w:val="28"/>
          <w:szCs w:val="28"/>
        </w:rPr>
        <w:t>中华人民共和国建筑法</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ascii="仿宋_GB2312" w:hAnsi="仿宋_GB2312" w:eastAsia="仿宋_GB2312" w:cs="仿宋_GB2312"/>
          <w:sz w:val="28"/>
          <w:szCs w:val="28"/>
        </w:rPr>
      </w:pPr>
      <w:r>
        <w:rPr>
          <w:rFonts w:hint="eastAsia" w:ascii="仿宋_GB2312" w:hAnsi="仿宋_GB2312" w:eastAsia="仿宋_GB2312" w:cs="仿宋_GB2312"/>
          <w:sz w:val="28"/>
          <w:szCs w:val="28"/>
        </w:rPr>
        <w:t>中华人民共和国民法典</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ascii="仿宋_GB2312" w:hAnsi="仿宋_GB2312" w:eastAsia="仿宋_GB2312" w:cs="仿宋_GB2312"/>
          <w:sz w:val="28"/>
          <w:szCs w:val="28"/>
        </w:rPr>
      </w:pPr>
      <w:r>
        <w:rPr>
          <w:rFonts w:hint="eastAsia" w:ascii="仿宋_GB2312" w:hAnsi="仿宋_GB2312" w:eastAsia="仿宋_GB2312" w:cs="仿宋_GB2312"/>
          <w:sz w:val="28"/>
          <w:szCs w:val="28"/>
        </w:rPr>
        <w:t>中华人民共和国招标投标法</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ascii="仿宋_GB2312" w:hAnsi="仿宋_GB2312" w:eastAsia="仿宋_GB2312" w:cs="仿宋_GB2312"/>
          <w:sz w:val="28"/>
          <w:szCs w:val="28"/>
        </w:rPr>
      </w:pPr>
      <w:r>
        <w:rPr>
          <w:rFonts w:hint="eastAsia" w:ascii="仿宋_GB2312" w:hAnsi="仿宋_GB2312" w:eastAsia="仿宋_GB2312" w:cs="仿宋_GB2312"/>
          <w:sz w:val="28"/>
          <w:szCs w:val="28"/>
        </w:rPr>
        <w:t>建设工程质量管理条例（国务院279号令）</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ascii="仿宋_GB2312" w:hAnsi="仿宋_GB2312" w:eastAsia="仿宋_GB2312" w:cs="仿宋_GB2312"/>
          <w:sz w:val="28"/>
          <w:szCs w:val="28"/>
        </w:rPr>
      </w:pPr>
      <w:bookmarkStart w:id="24" w:name="_Toc66769198"/>
      <w:r>
        <w:rPr>
          <w:rFonts w:hint="eastAsia" w:ascii="仿宋_GB2312" w:hAnsi="仿宋_GB2312" w:eastAsia="仿宋_GB2312" w:cs="仿宋_GB2312"/>
          <w:sz w:val="28"/>
          <w:szCs w:val="28"/>
        </w:rPr>
        <w:t>二、材料要求</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ascii="仿宋_GB2312" w:hAnsi="仿宋_GB2312" w:eastAsia="仿宋_GB2312" w:cs="仿宋_GB2312"/>
          <w:sz w:val="28"/>
          <w:szCs w:val="28"/>
        </w:rPr>
      </w:pPr>
      <w:r>
        <w:rPr>
          <w:rFonts w:hint="eastAsia" w:ascii="仿宋_GB2312" w:hAnsi="仿宋_GB2312" w:eastAsia="仿宋_GB2312" w:cs="仿宋_GB2312"/>
          <w:sz w:val="28"/>
          <w:szCs w:val="28"/>
        </w:rPr>
        <w:t>2.1工程材料选择</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ascii="仿宋_GB2312" w:hAnsi="仿宋_GB2312" w:eastAsia="仿宋_GB2312" w:cs="仿宋_GB2312"/>
          <w:sz w:val="28"/>
          <w:szCs w:val="28"/>
        </w:rPr>
      </w:pPr>
      <w:r>
        <w:rPr>
          <w:rFonts w:hint="eastAsia" w:ascii="仿宋_GB2312" w:hAnsi="仿宋_GB2312" w:eastAsia="仿宋_GB2312" w:cs="仿宋_GB2312"/>
          <w:sz w:val="28"/>
          <w:szCs w:val="28"/>
        </w:rPr>
        <w:t>（1）设备材料选择 </w:t>
      </w:r>
    </w:p>
    <w:p>
      <w:pPr>
        <w:keepNext w:val="0"/>
        <w:keepLines w:val="0"/>
        <w:pageBreakBefore w:val="0"/>
        <w:widowControl/>
        <w:tabs>
          <w:tab w:val="left" w:pos="720"/>
        </w:tabs>
        <w:kinsoku/>
        <w:wordWrap/>
        <w:overflowPunct/>
        <w:topLinePunct w:val="0"/>
        <w:autoSpaceDE/>
        <w:autoSpaceDN/>
        <w:bidi w:val="0"/>
        <w:snapToGrid w:val="0"/>
        <w:spacing w:line="560" w:lineRule="exact"/>
        <w:ind w:left="0" w:leftChars="0" w:right="0" w:rightChars="0" w:firstLine="560" w:firstLineChars="200"/>
        <w:jc w:val="left"/>
        <w:textAlignment w:val="auto"/>
        <w:outlineLvl w:val="9"/>
        <w:rPr>
          <w:rFonts w:ascii="仿宋_GB2312" w:hAnsi="仿宋_GB2312" w:eastAsia="仿宋_GB2312" w:cs="仿宋_GB2312"/>
          <w:sz w:val="28"/>
          <w:szCs w:val="28"/>
          <w:lang w:val="zh-CN"/>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zh-CN"/>
        </w:rPr>
        <w:t>1)招标人有材料品牌要求的，投标人应按招标文件推荐品牌要求填报，所有未根据要求而未填报或漏填报品牌的投标文件在中标后，招标人有权在推荐品牌中指定任一品牌作为施工使用品牌且中标人不得有异议，价格不变；投标人在投标文件中若提供了招标人推荐品牌外的产品，应同时提供相当于招标人推荐品牌产品的证明材料。</w:t>
      </w:r>
    </w:p>
    <w:p>
      <w:pPr>
        <w:keepNext w:val="0"/>
        <w:keepLines w:val="0"/>
        <w:pageBreakBefore w:val="0"/>
        <w:widowControl/>
        <w:tabs>
          <w:tab w:val="left" w:pos="720"/>
        </w:tabs>
        <w:kinsoku/>
        <w:wordWrap/>
        <w:overflowPunct/>
        <w:topLinePunct w:val="0"/>
        <w:autoSpaceDE/>
        <w:autoSpaceDN/>
        <w:bidi w:val="0"/>
        <w:snapToGrid w:val="0"/>
        <w:spacing w:line="560" w:lineRule="exact"/>
        <w:ind w:left="0" w:leftChars="0" w:right="0" w:rightChars="0" w:firstLine="560" w:firstLineChars="200"/>
        <w:jc w:val="left"/>
        <w:textAlignment w:val="auto"/>
        <w:outlineLvl w:val="9"/>
        <w:rPr>
          <w:rFonts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2)招标人推荐的品牌详见“</w:t>
      </w:r>
      <w:r>
        <w:rPr>
          <w:rFonts w:hint="eastAsia" w:ascii="仿宋_GB2312" w:hAnsi="仿宋_GB2312" w:eastAsia="仿宋_GB2312" w:cs="仿宋_GB2312"/>
          <w:sz w:val="28"/>
          <w:szCs w:val="28"/>
        </w:rPr>
        <w:t>主要材料设备推荐品牌一览表</w:t>
      </w:r>
      <w:r>
        <w:rPr>
          <w:rFonts w:hint="eastAsia" w:ascii="仿宋_GB2312" w:hAnsi="仿宋_GB2312" w:eastAsia="仿宋_GB2312" w:cs="仿宋_GB2312"/>
          <w:sz w:val="28"/>
          <w:szCs w:val="28"/>
          <w:lang w:val="zh-CN"/>
        </w:rPr>
        <w:t>”中内容。</w:t>
      </w:r>
    </w:p>
    <w:p>
      <w:pPr>
        <w:keepNext w:val="0"/>
        <w:keepLines w:val="0"/>
        <w:pageBreakBefore w:val="0"/>
        <w:widowControl/>
        <w:tabs>
          <w:tab w:val="left" w:pos="720"/>
        </w:tabs>
        <w:kinsoku/>
        <w:wordWrap/>
        <w:overflowPunct/>
        <w:topLinePunct w:val="0"/>
        <w:autoSpaceDE/>
        <w:autoSpaceDN/>
        <w:bidi w:val="0"/>
        <w:snapToGrid w:val="0"/>
        <w:spacing w:line="560" w:lineRule="exact"/>
        <w:ind w:left="0" w:leftChars="0" w:right="0" w:rightChars="0" w:firstLine="562" w:firstLineChars="200"/>
        <w:jc w:val="center"/>
        <w:textAlignment w:val="auto"/>
        <w:outlineLvl w:val="9"/>
        <w:rPr>
          <w:rFonts w:hint="eastAsia" w:ascii="仿宋_GB2312" w:hAnsi="仿宋_GB2312" w:eastAsia="仿宋_GB2312" w:cs="仿宋_GB2312"/>
          <w:b/>
          <w:sz w:val="28"/>
          <w:szCs w:val="28"/>
        </w:rPr>
      </w:pPr>
    </w:p>
    <w:p>
      <w:pPr>
        <w:keepNext w:val="0"/>
        <w:keepLines w:val="0"/>
        <w:pageBreakBefore w:val="0"/>
        <w:widowControl/>
        <w:tabs>
          <w:tab w:val="left" w:pos="720"/>
        </w:tabs>
        <w:kinsoku/>
        <w:wordWrap/>
        <w:overflowPunct/>
        <w:topLinePunct w:val="0"/>
        <w:autoSpaceDE/>
        <w:autoSpaceDN/>
        <w:bidi w:val="0"/>
        <w:snapToGrid w:val="0"/>
        <w:spacing w:line="560" w:lineRule="exact"/>
        <w:ind w:left="0" w:leftChars="0" w:right="0" w:rightChars="0" w:firstLine="562" w:firstLineChars="200"/>
        <w:jc w:val="center"/>
        <w:textAlignment w:val="auto"/>
        <w:outlineLvl w:val="9"/>
        <w:rPr>
          <w:rFonts w:ascii="仿宋_GB2312" w:hAnsi="仿宋_GB2312" w:eastAsia="仿宋_GB2312" w:cs="仿宋_GB2312"/>
          <w:b/>
          <w:sz w:val="28"/>
          <w:szCs w:val="28"/>
        </w:rPr>
      </w:pPr>
      <w:r>
        <w:rPr>
          <w:rFonts w:hint="eastAsia" w:ascii="仿宋_GB2312" w:hAnsi="仿宋_GB2312" w:eastAsia="仿宋_GB2312" w:cs="仿宋_GB2312"/>
          <w:b/>
          <w:sz w:val="28"/>
          <w:szCs w:val="28"/>
        </w:rPr>
        <w:t>主要材料设备推荐品牌一览表</w:t>
      </w:r>
    </w:p>
    <w:tbl>
      <w:tblPr>
        <w:tblStyle w:val="14"/>
        <w:tblW w:w="98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6"/>
        <w:gridCol w:w="2223"/>
        <w:gridCol w:w="62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0" w:hRule="atLeast"/>
          <w:jc w:val="center"/>
        </w:trPr>
        <w:tc>
          <w:tcPr>
            <w:tcW w:w="1376" w:type="dxa"/>
            <w:vAlign w:val="center"/>
          </w:tcPr>
          <w:p>
            <w:pPr>
              <w:keepNext w:val="0"/>
              <w:keepLines w:val="0"/>
              <w:pageBreakBefore w:val="0"/>
              <w:widowControl/>
              <w:tabs>
                <w:tab w:val="left" w:pos="720"/>
              </w:tabs>
              <w:kinsoku/>
              <w:wordWrap/>
              <w:overflowPunct/>
              <w:topLinePunct w:val="0"/>
              <w:autoSpaceDE/>
              <w:autoSpaceDN/>
              <w:bidi w:val="0"/>
              <w:snapToGrid w:val="0"/>
              <w:spacing w:line="560" w:lineRule="exact"/>
              <w:ind w:left="0" w:leftChars="0" w:right="0" w:rightChars="0" w:firstLine="0" w:firstLineChars="0"/>
              <w:jc w:val="center"/>
              <w:textAlignment w:val="auto"/>
              <w:outlineLvl w:val="9"/>
              <w:rPr>
                <w:rFonts w:ascii="仿宋_GB2312" w:hAnsi="仿宋_GB2312" w:eastAsia="仿宋_GB2312" w:cs="仿宋_GB2312"/>
                <w:sz w:val="28"/>
                <w:szCs w:val="28"/>
              </w:rPr>
            </w:pPr>
            <w:r>
              <w:rPr>
                <w:rFonts w:hint="eastAsia" w:ascii="仿宋_GB2312" w:hAnsi="仿宋_GB2312" w:eastAsia="仿宋_GB2312" w:cs="仿宋_GB2312"/>
                <w:sz w:val="28"/>
                <w:szCs w:val="28"/>
              </w:rPr>
              <w:t>序号</w:t>
            </w:r>
          </w:p>
        </w:tc>
        <w:tc>
          <w:tcPr>
            <w:tcW w:w="2223" w:type="dxa"/>
            <w:vAlign w:val="center"/>
          </w:tcPr>
          <w:p>
            <w:pPr>
              <w:keepNext w:val="0"/>
              <w:keepLines w:val="0"/>
              <w:pageBreakBefore w:val="0"/>
              <w:kinsoku/>
              <w:wordWrap/>
              <w:overflowPunct/>
              <w:topLinePunct w:val="0"/>
              <w:autoSpaceDE/>
              <w:autoSpaceDN/>
              <w:bidi w:val="0"/>
              <w:snapToGrid w:val="0"/>
              <w:spacing w:line="560" w:lineRule="exact"/>
              <w:ind w:left="0" w:leftChars="0" w:right="0" w:rightChars="0" w:firstLine="0" w:firstLineChars="0"/>
              <w:jc w:val="center"/>
              <w:textAlignment w:val="auto"/>
              <w:outlineLvl w:val="9"/>
              <w:rPr>
                <w:rFonts w:ascii="仿宋_GB2312" w:hAnsi="仿宋_GB2312" w:eastAsia="仿宋_GB2312" w:cs="仿宋_GB2312"/>
                <w:sz w:val="28"/>
                <w:szCs w:val="28"/>
              </w:rPr>
            </w:pPr>
            <w:r>
              <w:rPr>
                <w:rFonts w:hint="eastAsia" w:ascii="仿宋_GB2312" w:hAnsi="仿宋_GB2312" w:eastAsia="仿宋_GB2312" w:cs="仿宋_GB2312"/>
                <w:sz w:val="28"/>
                <w:szCs w:val="28"/>
              </w:rPr>
              <w:t>材料</w:t>
            </w:r>
          </w:p>
        </w:tc>
        <w:tc>
          <w:tcPr>
            <w:tcW w:w="6256" w:type="dxa"/>
            <w:vAlign w:val="center"/>
          </w:tcPr>
          <w:p>
            <w:pPr>
              <w:keepNext w:val="0"/>
              <w:keepLines w:val="0"/>
              <w:pageBreakBefore w:val="0"/>
              <w:kinsoku/>
              <w:wordWrap/>
              <w:overflowPunct/>
              <w:topLinePunct w:val="0"/>
              <w:autoSpaceDE/>
              <w:autoSpaceDN/>
              <w:bidi w:val="0"/>
              <w:snapToGrid w:val="0"/>
              <w:spacing w:line="560" w:lineRule="exact"/>
              <w:ind w:left="0" w:leftChars="0" w:right="0" w:rightChars="0" w:firstLine="0" w:firstLineChars="0"/>
              <w:jc w:val="center"/>
              <w:textAlignment w:val="auto"/>
              <w:outlineLvl w:val="9"/>
              <w:rPr>
                <w:rFonts w:ascii="仿宋_GB2312" w:hAnsi="仿宋_GB2312" w:eastAsia="仿宋_GB2312" w:cs="仿宋_GB2312"/>
                <w:sz w:val="28"/>
                <w:szCs w:val="28"/>
              </w:rPr>
            </w:pPr>
            <w:r>
              <w:rPr>
                <w:rFonts w:hint="eastAsia" w:ascii="仿宋_GB2312" w:hAnsi="仿宋_GB2312" w:eastAsia="仿宋_GB2312" w:cs="仿宋_GB2312"/>
                <w:sz w:val="28"/>
                <w:szCs w:val="28"/>
              </w:rPr>
              <w:t>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376" w:type="dxa"/>
            <w:vAlign w:val="center"/>
          </w:tcPr>
          <w:p>
            <w:pPr>
              <w:keepNext w:val="0"/>
              <w:keepLines w:val="0"/>
              <w:pageBreakBefore w:val="0"/>
              <w:kinsoku/>
              <w:wordWrap/>
              <w:overflowPunct/>
              <w:topLinePunct w:val="0"/>
              <w:autoSpaceDE/>
              <w:autoSpaceDN/>
              <w:bidi w:val="0"/>
              <w:snapToGrid w:val="0"/>
              <w:spacing w:line="560" w:lineRule="exact"/>
              <w:ind w:left="0" w:leftChars="0" w:right="0" w:rightChars="0" w:firstLine="0" w:firstLineChars="0"/>
              <w:jc w:val="center"/>
              <w:textAlignment w:val="auto"/>
              <w:outlineLvl w:val="9"/>
              <w:rPr>
                <w:rFonts w:ascii="仿宋_GB2312" w:hAnsi="仿宋_GB2312" w:eastAsia="仿宋_GB2312" w:cs="仿宋_GB2312"/>
                <w:sz w:val="28"/>
                <w:szCs w:val="28"/>
              </w:rPr>
            </w:pPr>
            <w:r>
              <w:rPr>
                <w:rFonts w:hint="eastAsia" w:ascii="仿宋_GB2312" w:hAnsi="仿宋_GB2312" w:eastAsia="仿宋_GB2312" w:cs="仿宋_GB2312"/>
                <w:sz w:val="28"/>
                <w:szCs w:val="28"/>
              </w:rPr>
              <w:t>/</w:t>
            </w:r>
          </w:p>
        </w:tc>
        <w:tc>
          <w:tcPr>
            <w:tcW w:w="2223" w:type="dxa"/>
            <w:vAlign w:val="center"/>
          </w:tcPr>
          <w:p>
            <w:pPr>
              <w:keepNext w:val="0"/>
              <w:keepLines w:val="0"/>
              <w:pageBreakBefore w:val="0"/>
              <w:kinsoku/>
              <w:wordWrap/>
              <w:overflowPunct/>
              <w:topLinePunct w:val="0"/>
              <w:autoSpaceDE/>
              <w:autoSpaceDN/>
              <w:bidi w:val="0"/>
              <w:snapToGrid w:val="0"/>
              <w:spacing w:line="560" w:lineRule="exact"/>
              <w:ind w:left="0" w:leftChars="0" w:right="0" w:rightChars="0" w:firstLine="0" w:firstLineChars="0"/>
              <w:jc w:val="center"/>
              <w:textAlignment w:val="auto"/>
              <w:outlineLvl w:val="9"/>
              <w:rPr>
                <w:rFonts w:ascii="仿宋_GB2312" w:hAnsi="仿宋_GB2312" w:eastAsia="仿宋_GB2312" w:cs="仿宋_GB2312"/>
                <w:bCs/>
                <w:sz w:val="28"/>
                <w:szCs w:val="28"/>
              </w:rPr>
            </w:pPr>
            <w:r>
              <w:rPr>
                <w:rFonts w:hint="eastAsia" w:ascii="仿宋_GB2312" w:hAnsi="仿宋_GB2312" w:eastAsia="仿宋_GB2312" w:cs="仿宋_GB2312"/>
                <w:bCs/>
                <w:sz w:val="28"/>
                <w:szCs w:val="28"/>
              </w:rPr>
              <w:t>/</w:t>
            </w:r>
          </w:p>
        </w:tc>
        <w:tc>
          <w:tcPr>
            <w:tcW w:w="6256" w:type="dxa"/>
            <w:vAlign w:val="center"/>
          </w:tcPr>
          <w:p>
            <w:pPr>
              <w:keepNext w:val="0"/>
              <w:keepLines w:val="0"/>
              <w:pageBreakBefore w:val="0"/>
              <w:kinsoku/>
              <w:wordWrap/>
              <w:overflowPunct/>
              <w:topLinePunct w:val="0"/>
              <w:autoSpaceDE/>
              <w:autoSpaceDN/>
              <w:bidi w:val="0"/>
              <w:snapToGrid w:val="0"/>
              <w:spacing w:line="560" w:lineRule="exact"/>
              <w:ind w:left="0" w:leftChars="0" w:right="0" w:rightChars="0" w:firstLine="0" w:firstLineChars="0"/>
              <w:jc w:val="center"/>
              <w:textAlignment w:val="auto"/>
              <w:outlineLvl w:val="9"/>
              <w:rPr>
                <w:rFonts w:ascii="仿宋_GB2312" w:hAnsi="仿宋_GB2312" w:eastAsia="仿宋_GB2312" w:cs="仿宋_GB2312"/>
                <w:bCs/>
                <w:sz w:val="28"/>
                <w:szCs w:val="28"/>
              </w:rPr>
            </w:pPr>
            <w:r>
              <w:rPr>
                <w:rFonts w:hint="eastAsia" w:ascii="仿宋_GB2312" w:hAnsi="仿宋_GB2312" w:eastAsia="仿宋_GB2312" w:cs="仿宋_GB2312"/>
                <w:bCs/>
                <w:sz w:val="28"/>
                <w:szCs w:val="28"/>
              </w:rPr>
              <w:t>/</w:t>
            </w:r>
          </w:p>
        </w:tc>
      </w:tr>
    </w:tbl>
    <w:p>
      <w:pPr>
        <w:keepNext w:val="0"/>
        <w:keepLines w:val="0"/>
        <w:pageBreakBefore w:val="0"/>
        <w:widowControl/>
        <w:tabs>
          <w:tab w:val="left" w:pos="720"/>
        </w:tabs>
        <w:kinsoku/>
        <w:wordWrap/>
        <w:overflowPunct/>
        <w:topLinePunct w:val="0"/>
        <w:autoSpaceDE/>
        <w:autoSpaceDN/>
        <w:bidi w:val="0"/>
        <w:snapToGrid w:val="0"/>
        <w:spacing w:line="560" w:lineRule="exact"/>
        <w:ind w:left="0" w:leftChars="0" w:right="0" w:rightChars="0" w:firstLine="562" w:firstLineChars="200"/>
        <w:jc w:val="left"/>
        <w:textAlignment w:val="auto"/>
        <w:outlineLvl w:val="9"/>
        <w:rPr>
          <w:rFonts w:hint="eastAsia" w:ascii="仿宋_GB2312" w:hAnsi="仿宋_GB2312" w:eastAsia="仿宋_GB2312" w:cs="仿宋_GB2312"/>
          <w:b/>
          <w:sz w:val="28"/>
          <w:szCs w:val="28"/>
          <w:lang w:val="en-US" w:eastAsia="zh-CN"/>
        </w:rPr>
      </w:pPr>
      <w:r>
        <w:rPr>
          <w:rFonts w:hint="eastAsia" w:ascii="仿宋_GB2312" w:hAnsi="仿宋_GB2312" w:eastAsia="仿宋_GB2312" w:cs="仿宋_GB2312"/>
          <w:b/>
          <w:sz w:val="28"/>
          <w:szCs w:val="28"/>
          <w:lang w:val="en-US" w:eastAsia="zh-CN"/>
        </w:rPr>
        <w:t>不锈钢围网、拉丝不锈钢钢管材料为304不锈钢；</w:t>
      </w:r>
    </w:p>
    <w:p>
      <w:pPr>
        <w:keepNext w:val="0"/>
        <w:keepLines w:val="0"/>
        <w:pageBreakBefore w:val="0"/>
        <w:widowControl/>
        <w:tabs>
          <w:tab w:val="left" w:pos="720"/>
        </w:tabs>
        <w:kinsoku/>
        <w:wordWrap/>
        <w:overflowPunct/>
        <w:topLinePunct w:val="0"/>
        <w:autoSpaceDE/>
        <w:autoSpaceDN/>
        <w:bidi w:val="0"/>
        <w:snapToGrid w:val="0"/>
        <w:spacing w:line="560" w:lineRule="exact"/>
        <w:ind w:left="0" w:leftChars="0" w:right="0" w:rightChars="0" w:firstLine="562" w:firstLineChars="200"/>
        <w:jc w:val="left"/>
        <w:textAlignment w:val="auto"/>
        <w:outlineLvl w:val="9"/>
        <w:rPr>
          <w:rFonts w:ascii="仿宋_GB2312" w:hAnsi="仿宋_GB2312" w:eastAsia="仿宋_GB2312" w:cs="仿宋_GB2312"/>
          <w:sz w:val="28"/>
          <w:szCs w:val="28"/>
        </w:rPr>
      </w:pPr>
      <w:r>
        <w:rPr>
          <w:rFonts w:hint="eastAsia" w:ascii="仿宋_GB2312" w:hAnsi="仿宋_GB2312" w:eastAsia="仿宋_GB2312" w:cs="仿宋_GB2312"/>
          <w:b/>
          <w:sz w:val="28"/>
          <w:szCs w:val="28"/>
        </w:rPr>
        <w:t>3)所用各类设备材料须经招标人认可后方可使用。</w:t>
      </w:r>
      <w:r>
        <w:rPr>
          <w:rFonts w:hint="eastAsia" w:ascii="仿宋_GB2312" w:hAnsi="仿宋_GB2312" w:eastAsia="仿宋_GB2312" w:cs="仿宋_GB2312"/>
          <w:sz w:val="28"/>
          <w:szCs w:val="28"/>
        </w:rPr>
        <w:t>投标单位主要设备材料品牌漏填或少填的，中标后由招标人在推荐品牌中选定，且报价不作调整。</w:t>
      </w:r>
    </w:p>
    <w:p>
      <w:pPr>
        <w:keepNext w:val="0"/>
        <w:keepLines w:val="0"/>
        <w:pageBreakBefore w:val="0"/>
        <w:kinsoku/>
        <w:wordWrap/>
        <w:overflowPunct/>
        <w:topLinePunct w:val="0"/>
        <w:autoSpaceDE/>
        <w:autoSpaceDN/>
        <w:bidi w:val="0"/>
        <w:snapToGrid w:val="0"/>
        <w:spacing w:line="560" w:lineRule="exact"/>
        <w:ind w:left="0" w:leftChars="0" w:right="0" w:rightChars="0" w:firstLine="560" w:firstLineChars="200"/>
        <w:jc w:val="left"/>
        <w:textAlignment w:val="auto"/>
        <w:outlineLvl w:val="9"/>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4）所用各类设备材料都应符合设计和国家规定的相关技术规范标准要求。 </w:t>
      </w:r>
    </w:p>
    <w:p>
      <w:pPr>
        <w:keepNext w:val="0"/>
        <w:keepLines w:val="0"/>
        <w:pageBreakBefore w:val="0"/>
        <w:kinsoku/>
        <w:wordWrap/>
        <w:overflowPunct/>
        <w:topLinePunct w:val="0"/>
        <w:autoSpaceDE/>
        <w:autoSpaceDN/>
        <w:bidi w:val="0"/>
        <w:snapToGrid w:val="0"/>
        <w:spacing w:line="560" w:lineRule="exact"/>
        <w:ind w:left="0" w:leftChars="0" w:right="0" w:rightChars="0" w:firstLine="560" w:firstLineChars="200"/>
        <w:jc w:val="left"/>
        <w:textAlignment w:val="auto"/>
        <w:outlineLvl w:val="9"/>
        <w:rPr>
          <w:rFonts w:ascii="仿宋_GB2312" w:hAnsi="仿宋_GB2312" w:eastAsia="仿宋_GB2312" w:cs="仿宋_GB2312"/>
          <w:sz w:val="28"/>
          <w:szCs w:val="28"/>
        </w:rPr>
      </w:pPr>
      <w:r>
        <w:rPr>
          <w:rFonts w:hint="eastAsia" w:ascii="仿宋_GB2312" w:hAnsi="仿宋_GB2312" w:eastAsia="仿宋_GB2312" w:cs="仿宋_GB2312"/>
          <w:sz w:val="28"/>
          <w:szCs w:val="28"/>
        </w:rPr>
        <w:t>5）所用各类设备材料均有质量合格证书。</w:t>
      </w:r>
    </w:p>
    <w:p>
      <w:pPr>
        <w:keepNext w:val="0"/>
        <w:keepLines w:val="0"/>
        <w:pageBreakBefore w:val="0"/>
        <w:widowControl/>
        <w:tabs>
          <w:tab w:val="left" w:pos="720"/>
        </w:tabs>
        <w:kinsoku/>
        <w:wordWrap/>
        <w:overflowPunct/>
        <w:topLinePunct w:val="0"/>
        <w:autoSpaceDE/>
        <w:autoSpaceDN/>
        <w:bidi w:val="0"/>
        <w:snapToGrid w:val="0"/>
        <w:spacing w:line="560" w:lineRule="exact"/>
        <w:ind w:left="0" w:leftChars="0" w:right="0" w:rightChars="0" w:firstLine="560" w:firstLineChars="200"/>
        <w:jc w:val="left"/>
        <w:textAlignment w:val="auto"/>
        <w:outlineLvl w:val="9"/>
        <w:rPr>
          <w:rFonts w:ascii="仿宋_GB2312" w:hAnsi="仿宋_GB2312" w:eastAsia="仿宋_GB2312" w:cs="仿宋_GB2312"/>
          <w:sz w:val="28"/>
          <w:szCs w:val="28"/>
        </w:rPr>
      </w:pPr>
      <w:r>
        <w:rPr>
          <w:rFonts w:hint="eastAsia" w:ascii="仿宋_GB2312" w:hAnsi="仿宋_GB2312" w:eastAsia="仿宋_GB2312" w:cs="仿宋_GB2312"/>
          <w:sz w:val="28"/>
          <w:szCs w:val="28"/>
        </w:rPr>
        <w:t>6）中标人在选定品牌或制造商时应充分考虑供货等风险，若中标人选定品牌或制造商在实施时无法供货或无法正常供货，将由招标人在推荐品牌或制造商中予以指定。</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ascii="仿宋_GB2312" w:hAnsi="仿宋_GB2312" w:eastAsia="仿宋_GB2312" w:cs="仿宋_GB2312"/>
          <w:sz w:val="28"/>
          <w:szCs w:val="28"/>
        </w:rPr>
      </w:pPr>
      <w:r>
        <w:rPr>
          <w:rFonts w:hint="eastAsia" w:ascii="仿宋_GB2312" w:hAnsi="仿宋_GB2312" w:eastAsia="仿宋_GB2312" w:cs="仿宋_GB2312"/>
          <w:sz w:val="28"/>
          <w:szCs w:val="28"/>
        </w:rPr>
        <w:t>（2）设备材料的质量保证 </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ascii="仿宋_GB2312" w:hAnsi="仿宋_GB2312" w:eastAsia="仿宋_GB2312" w:cs="仿宋_GB2312"/>
          <w:sz w:val="28"/>
          <w:szCs w:val="28"/>
        </w:rPr>
      </w:pPr>
      <w:r>
        <w:rPr>
          <w:rFonts w:hint="eastAsia" w:ascii="仿宋_GB2312" w:hAnsi="仿宋_GB2312" w:eastAsia="仿宋_GB2312" w:cs="仿宋_GB2312"/>
          <w:sz w:val="28"/>
          <w:szCs w:val="28"/>
        </w:rPr>
        <w:t>1）在施工期间内，中标人对有缺陷的部位必须无偿地给予修正，并承担一切由此引起的对招标人或第三者的直接损失，除非该缺陷是由于人为破坏或合同规定的不可抗因素造成的损坏。 </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ascii="仿宋_GB2312" w:hAnsi="仿宋_GB2312" w:eastAsia="仿宋_GB2312" w:cs="仿宋_GB2312"/>
          <w:sz w:val="28"/>
          <w:szCs w:val="28"/>
        </w:rPr>
      </w:pPr>
      <w:r>
        <w:rPr>
          <w:rFonts w:hint="eastAsia" w:ascii="仿宋_GB2312" w:hAnsi="仿宋_GB2312" w:eastAsia="仿宋_GB2312" w:cs="仿宋_GB2312"/>
          <w:sz w:val="28"/>
          <w:szCs w:val="28"/>
        </w:rPr>
        <w:t>2）中标人应对所选用的设备材料的技术满足度和质量负全部责任，其责任不因该品牌是否为招标人推荐减轻或更改。当中标人选定的产品质量达不到设计要求和招标文件要求的技术指标时，招标人保留更换的权利，且中标价不予调整。</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ascii="仿宋_GB2312" w:hAnsi="仿宋_GB2312" w:eastAsia="仿宋_GB2312" w:cs="仿宋_GB2312"/>
          <w:sz w:val="28"/>
          <w:szCs w:val="28"/>
        </w:rPr>
      </w:pPr>
      <w:r>
        <w:rPr>
          <w:rFonts w:hint="eastAsia" w:ascii="仿宋_GB2312" w:hAnsi="仿宋_GB2312" w:eastAsia="仿宋_GB2312" w:cs="仿宋_GB2312"/>
          <w:sz w:val="28"/>
          <w:szCs w:val="28"/>
        </w:rPr>
        <w:t>3）未列入以上品牌推荐表的其它材料和设备，投标人在投标报价时应选择国内优质成熟的产品，施工时需得到招标人的认可，如中标人选定的产品不能满足以上要求，招标人保留更换的权利，且中标价不予调整。</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562" w:firstLineChars="200"/>
        <w:jc w:val="left"/>
        <w:textAlignment w:val="auto"/>
        <w:outlineLvl w:val="9"/>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（3）施工过程中如涉及需拆除原有材料设备（除需利旧的材料设备外），由中标人自行处理，其残值及处置相关费用，由投标人综合考虑，包含在投标报价中。</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ascii="仿宋_GB2312" w:hAnsi="仿宋_GB2312" w:eastAsia="仿宋_GB2312" w:cs="仿宋_GB2312"/>
          <w:sz w:val="28"/>
          <w:szCs w:val="28"/>
        </w:rPr>
      </w:pPr>
      <w:r>
        <w:rPr>
          <w:rFonts w:hint="eastAsia" w:ascii="仿宋_GB2312" w:hAnsi="仿宋_GB2312" w:eastAsia="仿宋_GB2312" w:cs="仿宋_GB2312"/>
          <w:sz w:val="28"/>
          <w:szCs w:val="28"/>
        </w:rPr>
        <w:t>三、施工</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ascii="仿宋_GB2312" w:hAnsi="仿宋_GB2312" w:eastAsia="仿宋_GB2312" w:cs="仿宋_GB2312"/>
          <w:sz w:val="28"/>
          <w:szCs w:val="28"/>
        </w:rPr>
      </w:pPr>
      <w:r>
        <w:rPr>
          <w:rFonts w:hint="eastAsia" w:ascii="仿宋_GB2312" w:hAnsi="仿宋_GB2312" w:eastAsia="仿宋_GB2312" w:cs="仿宋_GB2312"/>
          <w:sz w:val="28"/>
          <w:szCs w:val="28"/>
        </w:rPr>
        <w:t>3.1一般要求</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ascii="仿宋_GB2312" w:hAnsi="仿宋_GB2312" w:eastAsia="仿宋_GB2312" w:cs="仿宋_GB2312"/>
          <w:sz w:val="28"/>
          <w:szCs w:val="28"/>
        </w:rPr>
      </w:pPr>
      <w:r>
        <w:rPr>
          <w:rFonts w:hint="eastAsia" w:ascii="仿宋_GB2312" w:hAnsi="仿宋_GB2312" w:eastAsia="仿宋_GB2312" w:cs="仿宋_GB2312"/>
          <w:sz w:val="28"/>
          <w:szCs w:val="28"/>
        </w:rPr>
        <w:t>中标人必须按照工程量清单及技术规范进行施工，严格按照批准的施工技术方案和施工组织设计进行施工，力争做到“一流的施工管理，一流的工程质量”；同时施工组织实施须遵守机场相关规定要求。</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ascii="仿宋_GB2312" w:hAnsi="仿宋_GB2312" w:eastAsia="仿宋_GB2312" w:cs="仿宋_GB2312"/>
          <w:sz w:val="28"/>
          <w:szCs w:val="28"/>
        </w:rPr>
      </w:pPr>
      <w:r>
        <w:rPr>
          <w:rFonts w:hint="eastAsia" w:ascii="仿宋_GB2312" w:hAnsi="仿宋_GB2312" w:eastAsia="仿宋_GB2312" w:cs="仿宋_GB2312"/>
          <w:sz w:val="28"/>
          <w:szCs w:val="28"/>
        </w:rPr>
        <w:t>3.2施工准备</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ascii="仿宋_GB2312" w:hAnsi="仿宋_GB2312" w:eastAsia="仿宋_GB2312" w:cs="仿宋_GB2312"/>
          <w:sz w:val="28"/>
          <w:szCs w:val="28"/>
        </w:rPr>
      </w:pPr>
      <w:r>
        <w:rPr>
          <w:rFonts w:hint="eastAsia" w:ascii="仿宋_GB2312" w:hAnsi="仿宋_GB2312" w:eastAsia="仿宋_GB2312" w:cs="仿宋_GB2312"/>
          <w:sz w:val="28"/>
          <w:szCs w:val="28"/>
        </w:rPr>
        <w:t>中标人应在开工前依施工现场情况合理制定施工技术方案和施工组织设计，在服从招标人的安排和总进度计划要求情况下制定施工方案，并按招标人批准的施工方案组织施工。</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ascii="仿宋_GB2312" w:hAnsi="仿宋_GB2312" w:eastAsia="仿宋_GB2312" w:cs="仿宋_GB2312"/>
          <w:sz w:val="28"/>
          <w:szCs w:val="28"/>
        </w:rPr>
      </w:pPr>
      <w:r>
        <w:rPr>
          <w:rFonts w:hint="eastAsia" w:ascii="仿宋_GB2312" w:hAnsi="仿宋_GB2312" w:eastAsia="仿宋_GB2312" w:cs="仿宋_GB2312"/>
          <w:sz w:val="28"/>
          <w:szCs w:val="28"/>
        </w:rPr>
        <w:t>3.3施工质量</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ascii="仿宋_GB2312" w:hAnsi="仿宋_GB2312" w:eastAsia="仿宋_GB2312" w:cs="仿宋_GB2312"/>
          <w:sz w:val="28"/>
          <w:szCs w:val="28"/>
        </w:rPr>
      </w:pPr>
      <w:r>
        <w:rPr>
          <w:rFonts w:hint="eastAsia" w:ascii="仿宋_GB2312" w:hAnsi="仿宋_GB2312" w:eastAsia="仿宋_GB2312" w:cs="仿宋_GB2312"/>
          <w:sz w:val="28"/>
          <w:szCs w:val="28"/>
        </w:rPr>
        <w:t>3.3.1工程施工质量控制</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ascii="仿宋_GB2312" w:hAnsi="仿宋_GB2312" w:eastAsia="仿宋_GB2312" w:cs="仿宋_GB2312"/>
          <w:sz w:val="28"/>
          <w:szCs w:val="28"/>
        </w:rPr>
      </w:pPr>
      <w:r>
        <w:rPr>
          <w:rFonts w:hint="eastAsia" w:ascii="仿宋_GB2312" w:hAnsi="仿宋_GB2312" w:eastAsia="仿宋_GB2312" w:cs="仿宋_GB2312"/>
          <w:sz w:val="28"/>
          <w:szCs w:val="28"/>
        </w:rPr>
        <w:t>（1）为了保证工程施工质量，投标单位必须建立完善的全面质量管理体系（GB/T1900），对工程施工生产进行全过程、全方位的质量监督、检查与控制。</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ascii="仿宋_GB2312" w:hAnsi="仿宋_GB2312" w:eastAsia="仿宋_GB2312" w:cs="仿宋_GB2312"/>
          <w:sz w:val="28"/>
          <w:szCs w:val="28"/>
        </w:rPr>
      </w:pPr>
      <w:r>
        <w:rPr>
          <w:rFonts w:hint="eastAsia" w:ascii="仿宋_GB2312" w:hAnsi="仿宋_GB2312" w:eastAsia="仿宋_GB2312" w:cs="仿宋_GB2312"/>
          <w:sz w:val="28"/>
          <w:szCs w:val="28"/>
        </w:rPr>
        <w:t>（2）施工阶段质量控制包括事前的各项施工准备工作质量控制，施工过程中的质量控制，以及各单项工程及整个工程项目完工后对建筑施工及安装产品质量的事后控制。</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ascii="仿宋_GB2312" w:hAnsi="仿宋_GB2312" w:eastAsia="仿宋_GB2312" w:cs="仿宋_GB2312"/>
          <w:sz w:val="28"/>
          <w:szCs w:val="28"/>
        </w:rPr>
      </w:pPr>
      <w:r>
        <w:rPr>
          <w:rFonts w:hint="eastAsia" w:ascii="仿宋_GB2312" w:hAnsi="仿宋_GB2312" w:eastAsia="仿宋_GB2312" w:cs="仿宋_GB2312"/>
          <w:sz w:val="28"/>
          <w:szCs w:val="28"/>
        </w:rPr>
        <w:t>（3）依据国家及政府有关部门颁布的有关质量管理的法律、法规、标准等，严格控制施工工序质量以及检验和评定工程项目质量。</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ascii="仿宋_GB2312" w:hAnsi="仿宋_GB2312" w:eastAsia="仿宋_GB2312" w:cs="仿宋_GB2312"/>
          <w:sz w:val="28"/>
          <w:szCs w:val="28"/>
        </w:rPr>
      </w:pPr>
      <w:r>
        <w:rPr>
          <w:rFonts w:hint="eastAsia" w:ascii="仿宋_GB2312" w:hAnsi="仿宋_GB2312" w:eastAsia="仿宋_GB2312" w:cs="仿宋_GB2312"/>
          <w:sz w:val="28"/>
          <w:szCs w:val="28"/>
        </w:rPr>
        <w:t>3.3.2现场质量监督</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ascii="仿宋_GB2312" w:hAnsi="仿宋_GB2312" w:eastAsia="仿宋_GB2312" w:cs="仿宋_GB2312"/>
          <w:sz w:val="28"/>
          <w:szCs w:val="28"/>
        </w:rPr>
      </w:pPr>
      <w:r>
        <w:rPr>
          <w:rFonts w:hint="eastAsia" w:ascii="仿宋_GB2312" w:hAnsi="仿宋_GB2312" w:eastAsia="仿宋_GB2312" w:cs="仿宋_GB2312"/>
          <w:sz w:val="28"/>
          <w:szCs w:val="28"/>
        </w:rPr>
        <w:t>（1）中标人在施工过程中，必须无条件地接受招标人的检查和监督，并执行招标人发出的指令，确保工程质量符合设计要求及相关规范、标准的规定。</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ascii="仿宋_GB2312" w:hAnsi="仿宋_GB2312" w:eastAsia="仿宋_GB2312" w:cs="仿宋_GB2312"/>
          <w:sz w:val="28"/>
          <w:szCs w:val="28"/>
        </w:rPr>
      </w:pPr>
      <w:r>
        <w:rPr>
          <w:rFonts w:hint="eastAsia" w:ascii="仿宋_GB2312" w:hAnsi="仿宋_GB2312" w:eastAsia="仿宋_GB2312" w:cs="仿宋_GB2312"/>
          <w:sz w:val="28"/>
          <w:szCs w:val="28"/>
        </w:rPr>
        <w:t>（2）工程中使用的材料均应符合相应技术要求，并符合招标人的指示要求，或在现场进行检验。</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ascii="仿宋_GB2312" w:hAnsi="仿宋_GB2312" w:eastAsia="仿宋_GB2312" w:cs="仿宋_GB2312"/>
          <w:sz w:val="28"/>
          <w:szCs w:val="28"/>
        </w:rPr>
      </w:pPr>
      <w:r>
        <w:rPr>
          <w:rFonts w:hint="eastAsia" w:ascii="仿宋_GB2312" w:hAnsi="仿宋_GB2312" w:eastAsia="仿宋_GB2312" w:cs="仿宋_GB2312"/>
          <w:sz w:val="28"/>
          <w:szCs w:val="28"/>
        </w:rPr>
        <w:t>（3）没有招标人的批准，隐蔽工程的任何部分均不得覆盖或使之无法查看。中标人应保证招标人有充分的时间，对隐蔽工程进行检查和测量。无论何时，当工程的任何部分已经做好检查准备时，中标人应通知招标人进行检查。</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ascii="仿宋_GB2312" w:hAnsi="仿宋_GB2312" w:eastAsia="仿宋_GB2312" w:cs="仿宋_GB2312"/>
          <w:sz w:val="28"/>
          <w:szCs w:val="28"/>
        </w:rPr>
      </w:pPr>
      <w:r>
        <w:rPr>
          <w:rFonts w:hint="eastAsia" w:ascii="仿宋_GB2312" w:hAnsi="仿宋_GB2312" w:eastAsia="仿宋_GB2312" w:cs="仿宋_GB2312"/>
          <w:sz w:val="28"/>
          <w:szCs w:val="28"/>
        </w:rPr>
        <w:t>（4）招标人有权随时对下述事项发出指示：</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ascii="仿宋_GB2312" w:hAnsi="仿宋_GB2312" w:eastAsia="仿宋_GB2312" w:cs="仿宋_GB2312"/>
          <w:sz w:val="28"/>
          <w:szCs w:val="28"/>
        </w:rPr>
      </w:pPr>
      <w:r>
        <w:rPr>
          <w:rFonts w:hint="eastAsia" w:ascii="仿宋_GB2312" w:hAnsi="仿宋_GB2312" w:eastAsia="仿宋_GB2312" w:cs="仿宋_GB2312"/>
          <w:sz w:val="28"/>
          <w:szCs w:val="28"/>
        </w:rPr>
        <w:t>1）在指示规定的时间内，将招标人确认不合格的任何材料从现场运走。</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ascii="仿宋_GB2312" w:hAnsi="仿宋_GB2312" w:eastAsia="仿宋_GB2312" w:cs="仿宋_GB2312"/>
          <w:sz w:val="28"/>
          <w:szCs w:val="28"/>
        </w:rPr>
      </w:pPr>
      <w:r>
        <w:rPr>
          <w:rFonts w:hint="eastAsia" w:ascii="仿宋_GB2312" w:hAnsi="仿宋_GB2312" w:eastAsia="仿宋_GB2312" w:cs="仿宋_GB2312"/>
          <w:sz w:val="28"/>
          <w:szCs w:val="28"/>
        </w:rPr>
        <w:t>2）在指示规定的时间内，中标人必须将不合格的任何工程拆除并重新施工。</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ascii="仿宋_GB2312" w:hAnsi="仿宋_GB2312" w:eastAsia="仿宋_GB2312" w:cs="仿宋_GB2312"/>
          <w:sz w:val="28"/>
          <w:szCs w:val="28"/>
        </w:rPr>
      </w:pPr>
      <w:r>
        <w:rPr>
          <w:rFonts w:hint="eastAsia" w:ascii="仿宋_GB2312" w:hAnsi="仿宋_GB2312" w:eastAsia="仿宋_GB2312" w:cs="仿宋_GB2312"/>
          <w:sz w:val="28"/>
          <w:szCs w:val="28"/>
        </w:rPr>
        <w:t>（5）如果中标人在指示规定的时间内未执行上述指示时，则招标人有权雇用他人执行该项指示，所发生的有关费用由中标人负担。</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ascii="仿宋_GB2312" w:hAnsi="仿宋_GB2312" w:eastAsia="仿宋_GB2312" w:cs="仿宋_GB2312"/>
          <w:sz w:val="28"/>
          <w:szCs w:val="28"/>
        </w:rPr>
      </w:pPr>
      <w:r>
        <w:rPr>
          <w:rFonts w:hint="eastAsia" w:ascii="仿宋_GB2312" w:hAnsi="仿宋_GB2312" w:eastAsia="仿宋_GB2312" w:cs="仿宋_GB2312"/>
          <w:sz w:val="28"/>
          <w:szCs w:val="28"/>
        </w:rPr>
        <w:t>（6）根据招标人的指示，中标人应按招标人认为必要的时间和方式暂停工程或其他任何部分的工作，在暂时停工期间，中标人应对工程进行必要的保护和安全保障。</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ascii="仿宋_GB2312" w:hAnsi="仿宋_GB2312" w:eastAsia="仿宋_GB2312" w:cs="仿宋_GB2312"/>
          <w:sz w:val="28"/>
          <w:szCs w:val="28"/>
        </w:rPr>
      </w:pPr>
      <w:r>
        <w:rPr>
          <w:rFonts w:hint="eastAsia" w:ascii="仿宋_GB2312" w:hAnsi="仿宋_GB2312" w:eastAsia="仿宋_GB2312" w:cs="仿宋_GB2312"/>
          <w:sz w:val="28"/>
          <w:szCs w:val="28"/>
        </w:rPr>
        <w:t>3.3.3施工偏差要求</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ascii="仿宋_GB2312" w:hAnsi="仿宋_GB2312" w:eastAsia="仿宋_GB2312" w:cs="仿宋_GB2312"/>
          <w:sz w:val="28"/>
          <w:szCs w:val="28"/>
        </w:rPr>
      </w:pPr>
      <w:r>
        <w:rPr>
          <w:rFonts w:hint="eastAsia" w:ascii="仿宋_GB2312" w:hAnsi="仿宋_GB2312" w:eastAsia="仿宋_GB2312" w:cs="仿宋_GB2312"/>
          <w:sz w:val="28"/>
          <w:szCs w:val="28"/>
        </w:rPr>
        <w:t>中标人需就一切有关之材料和整体结构，必须满足相应的技术标准及规范的规定。若产生施工偏差，中标人必须无条件返工，直至达到相应的技术标准及规范的规定，费用由中标人承担。</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ascii="仿宋_GB2312" w:hAnsi="仿宋_GB2312" w:eastAsia="仿宋_GB2312" w:cs="仿宋_GB2312"/>
          <w:sz w:val="28"/>
          <w:szCs w:val="28"/>
        </w:rPr>
      </w:pPr>
      <w:r>
        <w:rPr>
          <w:rFonts w:hint="eastAsia" w:ascii="仿宋_GB2312" w:hAnsi="仿宋_GB2312" w:eastAsia="仿宋_GB2312" w:cs="仿宋_GB2312"/>
          <w:sz w:val="28"/>
          <w:szCs w:val="28"/>
        </w:rPr>
        <w:t>3.4检验和验收</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ascii="仿宋_GB2312" w:hAnsi="仿宋_GB2312" w:eastAsia="仿宋_GB2312" w:cs="仿宋_GB2312"/>
          <w:sz w:val="28"/>
          <w:szCs w:val="28"/>
        </w:rPr>
      </w:pPr>
      <w:r>
        <w:rPr>
          <w:rFonts w:hint="eastAsia" w:ascii="仿宋_GB2312" w:hAnsi="仿宋_GB2312" w:eastAsia="仿宋_GB2312" w:cs="仿宋_GB2312"/>
          <w:sz w:val="28"/>
          <w:szCs w:val="28"/>
        </w:rPr>
        <w:t>招标人有权在本工程施工过程中，进行随时地检查、检验和监督，为合同规定提供的材料进行性能试验。检验工作如果超出了中标人的能力，中标人应安排到第三方（指除招标人、中标人以外的另一方）进行，该第三方必须有检验条件和相应资质。检验工作的任何变化都应征得招标人的书面确认。如果某些试验项目在其他场所进行，</w:t>
      </w:r>
      <w:r>
        <w:rPr>
          <w:rFonts w:hint="eastAsia" w:ascii="仿宋_GB2312" w:hAnsi="仿宋_GB2312" w:eastAsia="仿宋_GB2312" w:cs="仿宋_GB2312"/>
          <w:b/>
          <w:bCs/>
          <w:sz w:val="28"/>
          <w:szCs w:val="28"/>
        </w:rPr>
        <w:t>中标人应替招标人办理进入现场的手续和亲自陪同。</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562" w:firstLineChars="200"/>
        <w:jc w:val="left"/>
        <w:textAlignment w:val="auto"/>
        <w:outlineLvl w:val="9"/>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3.5施工管理要求</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562" w:firstLineChars="200"/>
        <w:jc w:val="left"/>
        <w:textAlignment w:val="auto"/>
        <w:outlineLvl w:val="9"/>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3.5.1中标人必须服从招标人对于本工程进度、质量、安全施工等要求。</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562" w:firstLineChars="200"/>
        <w:jc w:val="left"/>
        <w:textAlignment w:val="auto"/>
        <w:outlineLvl w:val="9"/>
        <w:rPr>
          <w:rFonts w:ascii="仿宋_GB2312" w:hAnsi="仿宋_GB2312" w:eastAsia="仿宋_GB2312" w:cs="仿宋_GB2312"/>
          <w:b/>
          <w:sz w:val="28"/>
          <w:szCs w:val="28"/>
        </w:rPr>
      </w:pPr>
      <w:r>
        <w:rPr>
          <w:rFonts w:hint="eastAsia" w:ascii="仿宋_GB2312" w:hAnsi="仿宋_GB2312" w:eastAsia="仿宋_GB2312" w:cs="仿宋_GB2312"/>
          <w:b/>
          <w:sz w:val="28"/>
          <w:szCs w:val="28"/>
        </w:rPr>
        <w:t>3.5.2本工程发包范围内的工程项目，一律不得分包。一经发现立即取消承包资格，作违约处理，并承担由此引起的一切经济损失。</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562" w:firstLineChars="200"/>
        <w:jc w:val="left"/>
        <w:textAlignment w:val="auto"/>
        <w:outlineLvl w:val="9"/>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3.5.3中标人应严格按施工技术方案组织施工，并无条件地接受招标人对施工质量的监督和管理。</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562" w:firstLineChars="200"/>
        <w:jc w:val="left"/>
        <w:textAlignment w:val="auto"/>
        <w:outlineLvl w:val="9"/>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3.5.4施工现场的建筑垃圾要及时清运，并自行运至机场区域范围以外，施工现场的材料、设备退场及现场清扫工作需于竣工验收前全部完成。上述相关处置费用，由投标人综合考虑，包含在投标报价中。</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ascii="仿宋_GB2312" w:hAnsi="仿宋_GB2312" w:eastAsia="仿宋_GB2312" w:cs="仿宋_GB2312"/>
          <w:sz w:val="28"/>
          <w:szCs w:val="28"/>
        </w:rPr>
      </w:pPr>
      <w:r>
        <w:rPr>
          <w:rFonts w:hint="eastAsia" w:ascii="仿宋_GB2312" w:hAnsi="仿宋_GB2312" w:eastAsia="仿宋_GB2312" w:cs="仿宋_GB2312"/>
          <w:sz w:val="28"/>
          <w:szCs w:val="28"/>
        </w:rPr>
        <w:t>3.6主要施工技术要求</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ascii="仿宋_GB2312" w:hAnsi="仿宋_GB2312" w:eastAsia="仿宋_GB2312" w:cs="仿宋_GB2312"/>
          <w:sz w:val="28"/>
          <w:szCs w:val="28"/>
        </w:rPr>
      </w:pPr>
      <w:r>
        <w:rPr>
          <w:rFonts w:hint="eastAsia" w:ascii="仿宋_GB2312" w:hAnsi="仿宋_GB2312" w:eastAsia="仿宋_GB2312" w:cs="仿宋_GB2312"/>
          <w:sz w:val="28"/>
          <w:szCs w:val="28"/>
        </w:rPr>
        <w:t>3.6.1进出场道路：投标人现场自行调查了解，所有材料不因场内外道路状况、运输线路、运距发生变化而进行调价。</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3.6.2本工程施工用水、用电：由招标人提供水电接口，场内接管、安装水、电表由中标人自行解决。中标人施工前需向机场水电管理部门提出申请，由招标人按以下标准向中标人收取费用：</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招标人按杭州萧山供水有限公司目前的供水含税单价4.40元/吨为基础水价，向中标人开具 9% 增值税发票收取基本水费，并在基础单价上加收2.91元/吨的供水设施服务费（9%的增值税发票）。在合同有效期内，如遇杭州萧山供水有限公司调整供水单价，基础水价也作相应的调整，收费金额保留小数点后两位四舍五入。</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招标人按每月购入电价作为基础电价，向中标人开具 13% 增值税发票收取基本电费，并在基础单价上加收10%的转供电损耗费（13%增值税发票）。在合同有效期内，如遇招标人每月购入电价调整，基础电价也作相应的调整，收费金额保留小数点后两位四舍五入。</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ascii="仿宋_GB2312" w:hAnsi="仿宋_GB2312" w:eastAsia="仿宋_GB2312" w:cs="仿宋_GB2312"/>
          <w:sz w:val="28"/>
          <w:szCs w:val="28"/>
        </w:rPr>
      </w:pPr>
      <w:r>
        <w:rPr>
          <w:rFonts w:hint="eastAsia" w:ascii="仿宋_GB2312" w:hAnsi="仿宋_GB2312" w:eastAsia="仿宋_GB2312" w:cs="仿宋_GB2312"/>
          <w:sz w:val="28"/>
          <w:szCs w:val="28"/>
        </w:rPr>
        <w:t>3.6.3投标人应到工地踏勘以充分了解工地位置、情况、道路、储存空间、装卸限制及任何其他足以影响投标报价的情况，任何因忽视或误解工地情况而导致的索赔或工期延长申请将不被批准。现场安保工作需服从招标人统一安排、调遣，费用从各施工单位相关报价中扣除。</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ascii="仿宋_GB2312" w:hAnsi="仿宋_GB2312" w:eastAsia="仿宋_GB2312" w:cs="仿宋_GB2312"/>
          <w:sz w:val="28"/>
          <w:szCs w:val="28"/>
        </w:rPr>
      </w:pPr>
      <w:r>
        <w:rPr>
          <w:rFonts w:hint="eastAsia" w:ascii="仿宋_GB2312" w:hAnsi="仿宋_GB2312" w:eastAsia="仿宋_GB2312" w:cs="仿宋_GB2312"/>
          <w:sz w:val="28"/>
          <w:szCs w:val="28"/>
        </w:rPr>
        <w:t>3.6.4本次招标的工程需考虑以下问题：</w:t>
      </w:r>
    </w:p>
    <w:p>
      <w:pPr>
        <w:keepNext w:val="0"/>
        <w:keepLines w:val="0"/>
        <w:pageBreakBefore w:val="0"/>
        <w:numPr>
          <w:ilvl w:val="0"/>
          <w:numId w:val="10"/>
        </w:numPr>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ascii="仿宋_GB2312" w:hAnsi="仿宋_GB2312" w:eastAsia="仿宋_GB2312" w:cs="仿宋_GB2312"/>
          <w:sz w:val="28"/>
          <w:szCs w:val="28"/>
        </w:rPr>
      </w:pPr>
      <w:r>
        <w:rPr>
          <w:rFonts w:hint="eastAsia" w:ascii="仿宋_GB2312" w:hAnsi="仿宋_GB2312" w:eastAsia="仿宋_GB2312" w:cs="仿宋_GB2312"/>
          <w:sz w:val="28"/>
          <w:szCs w:val="28"/>
        </w:rPr>
        <w:t>需做好施工单位的车辆进出场及材料推放的管理工作，相关费用计入投标报价，中标后不再调整。</w:t>
      </w:r>
    </w:p>
    <w:p>
      <w:pPr>
        <w:keepNext w:val="0"/>
        <w:keepLines w:val="0"/>
        <w:pageBreakBefore w:val="0"/>
        <w:numPr>
          <w:ilvl w:val="0"/>
          <w:numId w:val="10"/>
        </w:numPr>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ascii="仿宋_GB2312" w:hAnsi="仿宋_GB2312" w:eastAsia="仿宋_GB2312" w:cs="仿宋_GB2312"/>
          <w:sz w:val="28"/>
          <w:szCs w:val="28"/>
        </w:rPr>
      </w:pPr>
      <w:r>
        <w:rPr>
          <w:rFonts w:hint="eastAsia" w:ascii="仿宋_GB2312" w:hAnsi="仿宋_GB2312" w:eastAsia="仿宋_GB2312" w:cs="仿宋_GB2312"/>
          <w:sz w:val="28"/>
          <w:szCs w:val="28"/>
        </w:rPr>
        <w:t>本工程开工时间根据招标人提供施工场地时间为准，投标人在投标时须考虑由此造成的工期延长，由此造成的费用不做变更。</w:t>
      </w:r>
    </w:p>
    <w:p>
      <w:pPr>
        <w:keepNext w:val="0"/>
        <w:keepLines w:val="0"/>
        <w:pageBreakBefore w:val="0"/>
        <w:numPr>
          <w:ilvl w:val="0"/>
          <w:numId w:val="10"/>
        </w:numPr>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ascii="仿宋_GB2312" w:hAnsi="仿宋_GB2312" w:eastAsia="仿宋_GB2312" w:cs="仿宋_GB2312"/>
          <w:sz w:val="28"/>
          <w:szCs w:val="28"/>
        </w:rPr>
      </w:pPr>
      <w:r>
        <w:rPr>
          <w:rFonts w:hint="eastAsia" w:ascii="仿宋_GB2312" w:hAnsi="仿宋_GB2312" w:eastAsia="仿宋_GB2312" w:cs="仿宋_GB2312"/>
          <w:sz w:val="28"/>
          <w:szCs w:val="28"/>
        </w:rPr>
        <w:t>本次施工区域可能存在部分障碍物需要拆除、移除，相关费用计入投标报价中，中标后不再调整。</w:t>
      </w:r>
    </w:p>
    <w:bookmarkEnd w:id="24"/>
    <w:p>
      <w:pPr>
        <w:keepNext w:val="0"/>
        <w:keepLines w:val="0"/>
        <w:pageBreakBefore w:val="0"/>
        <w:kinsoku/>
        <w:wordWrap/>
        <w:overflowPunct/>
        <w:topLinePunct w:val="0"/>
        <w:autoSpaceDE/>
        <w:autoSpaceDN/>
        <w:bidi w:val="0"/>
        <w:snapToGrid w:val="0"/>
        <w:spacing w:line="560" w:lineRule="exact"/>
        <w:ind w:left="0" w:leftChars="0" w:right="0" w:rightChars="0" w:firstLine="560" w:firstLineChars="200"/>
        <w:jc w:val="left"/>
        <w:textAlignment w:val="auto"/>
        <w:outlineLvl w:val="9"/>
        <w:rPr>
          <w:rFonts w:ascii="仿宋_GB2312" w:hAnsi="仿宋_GB2312" w:eastAsia="仿宋_GB2312" w:cs="仿宋_GB2312"/>
          <w:sz w:val="28"/>
          <w:szCs w:val="28"/>
        </w:rPr>
      </w:pPr>
      <w:r>
        <w:rPr>
          <w:rFonts w:hint="eastAsia" w:ascii="仿宋_GB2312" w:hAnsi="仿宋_GB2312" w:eastAsia="仿宋_GB2312" w:cs="仿宋_GB2312"/>
          <w:sz w:val="28"/>
          <w:szCs w:val="28"/>
        </w:rPr>
        <w:t>四、产品保护</w:t>
      </w:r>
    </w:p>
    <w:p>
      <w:pPr>
        <w:keepNext w:val="0"/>
        <w:keepLines w:val="0"/>
        <w:pageBreakBefore w:val="0"/>
        <w:kinsoku/>
        <w:wordWrap/>
        <w:overflowPunct/>
        <w:topLinePunct w:val="0"/>
        <w:autoSpaceDE/>
        <w:autoSpaceDN/>
        <w:bidi w:val="0"/>
        <w:snapToGrid w:val="0"/>
        <w:spacing w:line="560" w:lineRule="exact"/>
        <w:ind w:left="0" w:leftChars="0" w:right="0" w:rightChars="0" w:firstLine="560" w:firstLineChars="200"/>
        <w:jc w:val="left"/>
        <w:textAlignment w:val="auto"/>
        <w:outlineLvl w:val="9"/>
        <w:rPr>
          <w:rFonts w:ascii="仿宋_GB2312" w:hAnsi="仿宋_GB2312" w:eastAsia="仿宋_GB2312" w:cs="仿宋_GB2312"/>
          <w:sz w:val="28"/>
          <w:szCs w:val="28"/>
        </w:rPr>
      </w:pPr>
      <w:r>
        <w:rPr>
          <w:rFonts w:hint="eastAsia" w:ascii="仿宋_GB2312" w:hAnsi="仿宋_GB2312" w:eastAsia="仿宋_GB2312" w:cs="仿宋_GB2312"/>
          <w:sz w:val="28"/>
          <w:szCs w:val="28"/>
        </w:rPr>
        <w:t>4.1在工程现场及其周围已由其他施工单位完成和在建的建筑产品，中标人在现场施工中应负有保护责任和义务，因工程施工引起损坏，由中标人负责赔偿或修复。</w:t>
      </w:r>
    </w:p>
    <w:p>
      <w:pPr>
        <w:keepNext w:val="0"/>
        <w:keepLines w:val="0"/>
        <w:pageBreakBefore w:val="0"/>
        <w:kinsoku/>
        <w:wordWrap/>
        <w:overflowPunct/>
        <w:topLinePunct w:val="0"/>
        <w:autoSpaceDE/>
        <w:autoSpaceDN/>
        <w:bidi w:val="0"/>
        <w:snapToGrid w:val="0"/>
        <w:spacing w:line="560" w:lineRule="exact"/>
        <w:ind w:left="0" w:leftChars="0" w:right="0" w:rightChars="0" w:firstLine="560" w:firstLineChars="200"/>
        <w:jc w:val="left"/>
        <w:textAlignment w:val="auto"/>
        <w:outlineLvl w:val="9"/>
        <w:rPr>
          <w:rFonts w:ascii="仿宋_GB2312" w:hAnsi="仿宋_GB2312" w:eastAsia="仿宋_GB2312" w:cs="仿宋_GB2312"/>
          <w:sz w:val="28"/>
          <w:szCs w:val="28"/>
        </w:rPr>
      </w:pPr>
      <w:r>
        <w:rPr>
          <w:rFonts w:hint="eastAsia" w:ascii="仿宋_GB2312" w:hAnsi="仿宋_GB2312" w:eastAsia="仿宋_GB2312" w:cs="仿宋_GB2312"/>
          <w:sz w:val="28"/>
          <w:szCs w:val="28"/>
        </w:rPr>
        <w:t>4.2中标人在施工期间，直至竣工验收尚未正式移交之前，应负责对所有材料及现场进行保护和清洁工作，直至办理完正式移交为止。若在此过程中发生材料丢失和产品损坏，应承担赔偿和修复。</w:t>
      </w:r>
    </w:p>
    <w:p>
      <w:pPr>
        <w:keepNext w:val="0"/>
        <w:keepLines w:val="0"/>
        <w:pageBreakBefore w:val="0"/>
        <w:kinsoku/>
        <w:wordWrap/>
        <w:overflowPunct/>
        <w:topLinePunct w:val="0"/>
        <w:autoSpaceDE/>
        <w:autoSpaceDN/>
        <w:bidi w:val="0"/>
        <w:snapToGrid w:val="0"/>
        <w:spacing w:line="560" w:lineRule="exact"/>
        <w:ind w:left="0" w:leftChars="0" w:right="0" w:rightChars="0" w:firstLine="562" w:firstLineChars="200"/>
        <w:jc w:val="left"/>
        <w:textAlignment w:val="auto"/>
        <w:outlineLvl w:val="9"/>
        <w:rPr>
          <w:rFonts w:ascii="仿宋_GB2312" w:hAnsi="仿宋_GB2312" w:eastAsia="仿宋_GB2312" w:cs="仿宋_GB2312"/>
          <w:b/>
          <w:sz w:val="28"/>
          <w:szCs w:val="28"/>
        </w:rPr>
      </w:pPr>
      <w:r>
        <w:rPr>
          <w:rFonts w:hint="eastAsia" w:ascii="仿宋_GB2312" w:hAnsi="仿宋_GB2312" w:eastAsia="仿宋_GB2312" w:cs="仿宋_GB2312"/>
          <w:b/>
          <w:kern w:val="0"/>
          <w:sz w:val="28"/>
          <w:szCs w:val="28"/>
        </w:rPr>
        <w:t>五、其他要求</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562" w:firstLineChars="200"/>
        <w:jc w:val="left"/>
        <w:textAlignment w:val="auto"/>
        <w:outlineLvl w:val="9"/>
        <w:rPr>
          <w:rFonts w:ascii="仿宋_GB2312" w:hAnsi="仿宋_GB2312" w:eastAsia="仿宋_GB2312" w:cs="仿宋_GB2312"/>
          <w:b/>
          <w:sz w:val="28"/>
          <w:szCs w:val="28"/>
        </w:rPr>
      </w:pPr>
      <w:r>
        <w:rPr>
          <w:rFonts w:hint="eastAsia" w:ascii="仿宋_GB2312" w:hAnsi="仿宋_GB2312" w:eastAsia="仿宋_GB2312" w:cs="仿宋_GB2312"/>
          <w:b/>
          <w:sz w:val="28"/>
          <w:szCs w:val="28"/>
        </w:rPr>
        <w:t>5.1施工临设在建设单位指定区域自行搭设，施工进场前方案报招标人同意后方可搭建。施工临设用地、材料堆场等在工程竣工验收通过后10日内自行拆除、彻底清理，并恢复原状。费用由投标人综合考虑，不另行计算。</w:t>
      </w:r>
    </w:p>
    <w:p>
      <w:pPr>
        <w:keepNext w:val="0"/>
        <w:keepLines w:val="0"/>
        <w:pageBreakBefore w:val="0"/>
        <w:kinsoku/>
        <w:wordWrap/>
        <w:overflowPunct/>
        <w:topLinePunct w:val="0"/>
        <w:autoSpaceDE/>
        <w:autoSpaceDN/>
        <w:bidi w:val="0"/>
        <w:snapToGrid w:val="0"/>
        <w:spacing w:line="560" w:lineRule="exact"/>
        <w:ind w:left="0" w:leftChars="0" w:right="0" w:rightChars="0" w:firstLine="562" w:firstLineChars="200"/>
        <w:jc w:val="left"/>
        <w:textAlignment w:val="auto"/>
        <w:outlineLvl w:val="9"/>
        <w:rPr>
          <w:rFonts w:ascii="仿宋_GB2312" w:hAnsi="仿宋_GB2312" w:eastAsia="仿宋_GB2312" w:cs="仿宋_GB2312"/>
          <w:b/>
          <w:sz w:val="28"/>
          <w:szCs w:val="28"/>
        </w:rPr>
      </w:pPr>
      <w:r>
        <w:rPr>
          <w:rFonts w:hint="eastAsia" w:ascii="仿宋_GB2312" w:hAnsi="仿宋_GB2312" w:eastAsia="仿宋_GB2312" w:cs="仿宋_GB2312"/>
          <w:b/>
          <w:sz w:val="28"/>
          <w:szCs w:val="28"/>
        </w:rPr>
        <w:t>5.2中标人在整个项目的施工阶段，应采用拍照方式记录隐蔽工程及各道工序的施工过程，并形成一套完整的影像资料文件；拍摄的影像资料应能全面的记录整个施工全过程（包含实施前中后）的实际状况，所有的隐蔽工程验收及各道工序都须按检验批拍摄留存影像资料文件。</w:t>
      </w:r>
    </w:p>
    <w:p>
      <w:pPr>
        <w:keepNext w:val="0"/>
        <w:keepLines w:val="0"/>
        <w:pageBreakBefore w:val="0"/>
        <w:kinsoku/>
        <w:wordWrap/>
        <w:overflowPunct/>
        <w:topLinePunct w:val="0"/>
        <w:autoSpaceDE/>
        <w:autoSpaceDN/>
        <w:bidi w:val="0"/>
        <w:snapToGrid w:val="0"/>
        <w:spacing w:line="560" w:lineRule="exact"/>
        <w:ind w:left="0" w:leftChars="0" w:right="0" w:rightChars="0" w:firstLine="562" w:firstLineChars="200"/>
        <w:jc w:val="left"/>
        <w:textAlignment w:val="auto"/>
        <w:outlineLvl w:val="9"/>
        <w:rPr>
          <w:rFonts w:ascii="仿宋_GB2312" w:hAnsi="仿宋_GB2312" w:eastAsia="仿宋_GB2312" w:cs="仿宋_GB2312"/>
          <w:b/>
          <w:sz w:val="28"/>
          <w:szCs w:val="28"/>
        </w:rPr>
      </w:pPr>
      <w:r>
        <w:rPr>
          <w:rFonts w:hint="eastAsia" w:ascii="仿宋_GB2312" w:hAnsi="仿宋_GB2312" w:eastAsia="仿宋_GB2312" w:cs="仿宋_GB2312"/>
          <w:b/>
          <w:sz w:val="28"/>
          <w:szCs w:val="28"/>
        </w:rPr>
        <w:t>5.3本工程为固定单价合同。请投标人依据本项目招标内容、技术标准及要求、工程量清单提交报价，参与报价单位应充分考虑施工现场的实际情况、市场风险及自身承受能力，并根据本项目特点及施工技术规范、施工工艺要求，组织并测算为完成项目所必须采取的工艺及措施进行报价，报价应包含完成项目所需人工费、材料费、机械费和对应的企业管理费、利润以及全部风险费用、措施项目费用、其他项目费用、规费、税金等一切费用。项目竣工验收后按实办理结算（按项报价子目不再调整）。</w:t>
      </w:r>
    </w:p>
    <w:p>
      <w:pPr>
        <w:keepNext w:val="0"/>
        <w:keepLines w:val="0"/>
        <w:pageBreakBefore w:val="0"/>
        <w:kinsoku/>
        <w:wordWrap/>
        <w:overflowPunct/>
        <w:topLinePunct w:val="0"/>
        <w:autoSpaceDE/>
        <w:autoSpaceDN/>
        <w:bidi w:val="0"/>
        <w:snapToGrid w:val="0"/>
        <w:spacing w:line="560" w:lineRule="exact"/>
        <w:ind w:left="0" w:leftChars="0" w:right="0" w:rightChars="0" w:firstLine="562" w:firstLineChars="200"/>
        <w:jc w:val="left"/>
        <w:textAlignment w:val="auto"/>
        <w:outlineLvl w:val="9"/>
        <w:rPr>
          <w:rFonts w:ascii="仿宋_GB2312" w:hAnsi="仿宋_GB2312" w:eastAsia="仿宋_GB2312" w:cs="仿宋_GB2312"/>
          <w:b/>
          <w:sz w:val="28"/>
          <w:szCs w:val="28"/>
        </w:rPr>
      </w:pPr>
      <w:r>
        <w:rPr>
          <w:rFonts w:hint="eastAsia" w:ascii="仿宋_GB2312" w:hAnsi="仿宋_GB2312" w:eastAsia="仿宋_GB2312" w:cs="仿宋_GB2312"/>
          <w:b/>
          <w:sz w:val="28"/>
          <w:szCs w:val="28"/>
        </w:rPr>
        <w:t>5.4发包范围外招标人提出并签证的费用由中标人在施工前提出并补充编制工料单价预算书。</w:t>
      </w:r>
    </w:p>
    <w:p>
      <w:pPr>
        <w:keepNext w:val="0"/>
        <w:keepLines w:val="0"/>
        <w:pageBreakBefore w:val="0"/>
        <w:kinsoku/>
        <w:wordWrap/>
        <w:overflowPunct/>
        <w:topLinePunct w:val="0"/>
        <w:autoSpaceDE/>
        <w:autoSpaceDN/>
        <w:bidi w:val="0"/>
        <w:snapToGrid w:val="0"/>
        <w:spacing w:line="560" w:lineRule="exact"/>
        <w:ind w:left="0" w:leftChars="0" w:right="0" w:rightChars="0" w:firstLine="562" w:firstLineChars="200"/>
        <w:jc w:val="left"/>
        <w:textAlignment w:val="auto"/>
        <w:outlineLvl w:val="9"/>
        <w:rPr>
          <w:rFonts w:ascii="仿宋_GB2312" w:hAnsi="仿宋_GB2312" w:eastAsia="仿宋_GB2312" w:cs="仿宋_GB2312"/>
          <w:b/>
          <w:sz w:val="28"/>
          <w:szCs w:val="28"/>
        </w:rPr>
      </w:pPr>
      <w:r>
        <w:rPr>
          <w:rFonts w:hint="eastAsia" w:ascii="仿宋_GB2312" w:hAnsi="仿宋_GB2312" w:eastAsia="仿宋_GB2312" w:cs="仿宋_GB2312"/>
          <w:b/>
          <w:sz w:val="28"/>
          <w:szCs w:val="28"/>
        </w:rPr>
        <w:t>5.5计日工单价最高限价210元/工日。</w:t>
      </w:r>
    </w:p>
    <w:p>
      <w:pPr>
        <w:keepNext w:val="0"/>
        <w:keepLines w:val="0"/>
        <w:pageBreakBefore w:val="0"/>
        <w:kinsoku/>
        <w:wordWrap/>
        <w:overflowPunct/>
        <w:topLinePunct w:val="0"/>
        <w:autoSpaceDE/>
        <w:autoSpaceDN/>
        <w:bidi w:val="0"/>
        <w:snapToGrid w:val="0"/>
        <w:spacing w:line="560" w:lineRule="exact"/>
        <w:ind w:left="0" w:leftChars="0" w:right="0" w:rightChars="0" w:firstLine="562" w:firstLineChars="200"/>
        <w:jc w:val="left"/>
        <w:textAlignment w:val="auto"/>
        <w:outlineLvl w:val="9"/>
        <w:rPr>
          <w:rFonts w:ascii="仿宋_GB2312" w:hAnsi="仿宋_GB2312" w:eastAsia="仿宋_GB2312" w:cs="仿宋_GB2312"/>
          <w:b/>
          <w:sz w:val="28"/>
          <w:szCs w:val="28"/>
        </w:rPr>
      </w:pPr>
      <w:r>
        <w:rPr>
          <w:rFonts w:hint="eastAsia" w:ascii="仿宋_GB2312" w:hAnsi="仿宋_GB2312" w:eastAsia="仿宋_GB2312" w:cs="仿宋_GB2312"/>
          <w:b/>
          <w:sz w:val="28"/>
          <w:szCs w:val="28"/>
        </w:rPr>
        <w:t>5.6工程施工期间，中标人须无条件服从机场公司关于工期进度的统一安排。投标人需充分考虑机场</w:t>
      </w:r>
      <w:r>
        <w:rPr>
          <w:rFonts w:hint="eastAsia" w:ascii="仿宋_GB2312" w:hAnsi="仿宋_GB2312" w:eastAsia="仿宋_GB2312" w:cs="仿宋_GB2312"/>
          <w:b/>
          <w:sz w:val="28"/>
          <w:szCs w:val="28"/>
          <w:lang w:val="en-US" w:eastAsia="zh-CN"/>
        </w:rPr>
        <w:t>航站区</w:t>
      </w:r>
      <w:r>
        <w:rPr>
          <w:rFonts w:hint="eastAsia" w:ascii="仿宋_GB2312" w:hAnsi="仿宋_GB2312" w:eastAsia="仿宋_GB2312" w:cs="仿宋_GB2312"/>
          <w:b/>
          <w:sz w:val="28"/>
          <w:szCs w:val="28"/>
        </w:rPr>
        <w:t>内施工时间及工期的不确定性，如由于机场运行要求某些时间不得施工等或如遇长时间停工等任何突发情况，请投标人在投标时充分考虑相关费用，中标后不予增加费用。</w:t>
      </w:r>
    </w:p>
    <w:p>
      <w:pPr>
        <w:pStyle w:val="4"/>
        <w:keepNext w:val="0"/>
        <w:keepLines w:val="0"/>
        <w:pageBreakBefore w:val="0"/>
        <w:kinsoku/>
        <w:wordWrap/>
        <w:overflowPunct/>
        <w:topLinePunct w:val="0"/>
        <w:autoSpaceDE/>
        <w:autoSpaceDN/>
        <w:bidi w:val="0"/>
        <w:spacing w:line="560" w:lineRule="exact"/>
        <w:ind w:left="0" w:leftChars="0" w:right="0" w:rightChars="0" w:firstLine="562" w:firstLineChars="200"/>
        <w:jc w:val="left"/>
        <w:textAlignment w:val="auto"/>
        <w:outlineLvl w:val="9"/>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5.7本项目工程位于机场</w:t>
      </w:r>
      <w:r>
        <w:rPr>
          <w:rFonts w:hint="eastAsia" w:ascii="仿宋_GB2312" w:hAnsi="仿宋_GB2312" w:eastAsia="仿宋_GB2312" w:cs="仿宋_GB2312"/>
          <w:b/>
          <w:sz w:val="28"/>
          <w:szCs w:val="28"/>
          <w:lang w:val="en-US" w:eastAsia="zh-CN"/>
        </w:rPr>
        <w:t>航站楼</w:t>
      </w:r>
      <w:r>
        <w:rPr>
          <w:rFonts w:hint="eastAsia" w:ascii="仿宋_GB2312" w:hAnsi="仿宋_GB2312" w:eastAsia="仿宋_GB2312" w:cs="仿宋_GB2312"/>
          <w:b/>
          <w:sz w:val="28"/>
          <w:szCs w:val="28"/>
        </w:rPr>
        <w:t>内，中标人必须做好防尘降噪等措施</w:t>
      </w:r>
      <w:r>
        <w:rPr>
          <w:rFonts w:hint="eastAsia" w:ascii="仿宋_GB2312" w:hAnsi="仿宋_GB2312" w:eastAsia="仿宋_GB2312" w:cs="仿宋_GB2312"/>
          <w:b/>
          <w:sz w:val="28"/>
          <w:szCs w:val="28"/>
          <w:lang w:eastAsia="zh-CN"/>
        </w:rPr>
        <w:t>，</w:t>
      </w:r>
      <w:r>
        <w:rPr>
          <w:rFonts w:hint="eastAsia" w:ascii="仿宋_GB2312" w:hAnsi="仿宋_GB2312" w:eastAsia="仿宋_GB2312" w:cs="仿宋_GB2312"/>
          <w:b/>
          <w:sz w:val="28"/>
          <w:szCs w:val="28"/>
        </w:rPr>
        <w:t>确保在施工阶段不影响机场正常运行，遵守机场不停航施工管理规定、施工安全条例。</w:t>
      </w:r>
    </w:p>
    <w:p>
      <w:pPr>
        <w:pStyle w:val="4"/>
        <w:keepNext w:val="0"/>
        <w:keepLines w:val="0"/>
        <w:pageBreakBefore w:val="0"/>
        <w:kinsoku/>
        <w:wordWrap/>
        <w:overflowPunct/>
        <w:topLinePunct w:val="0"/>
        <w:autoSpaceDE/>
        <w:autoSpaceDN/>
        <w:bidi w:val="0"/>
        <w:spacing w:line="560" w:lineRule="exact"/>
        <w:ind w:left="0" w:leftChars="0" w:right="0" w:rightChars="0" w:firstLine="562" w:firstLineChars="200"/>
        <w:jc w:val="left"/>
        <w:textAlignment w:val="auto"/>
        <w:outlineLvl w:val="9"/>
        <w:rPr>
          <w:rFonts w:ascii="仿宋_GB2312" w:hAnsi="仿宋_GB2312" w:eastAsia="仿宋_GB2312" w:cs="仿宋_GB2312"/>
          <w:b/>
          <w:sz w:val="28"/>
          <w:szCs w:val="28"/>
        </w:rPr>
      </w:pPr>
      <w:r>
        <w:rPr>
          <w:rFonts w:hint="eastAsia" w:ascii="仿宋_GB2312" w:hAnsi="仿宋_GB2312" w:eastAsia="仿宋_GB2312" w:cs="仿宋_GB2312"/>
          <w:b/>
          <w:sz w:val="28"/>
          <w:szCs w:val="28"/>
        </w:rPr>
        <w:t>5.</w:t>
      </w:r>
      <w:r>
        <w:rPr>
          <w:rFonts w:hint="eastAsia" w:ascii="仿宋_GB2312" w:hAnsi="仿宋_GB2312" w:eastAsia="仿宋_GB2312" w:cs="仿宋_GB2312"/>
          <w:b/>
          <w:sz w:val="28"/>
          <w:szCs w:val="28"/>
          <w:lang w:val="en-US" w:eastAsia="zh-CN"/>
        </w:rPr>
        <w:t>8</w:t>
      </w:r>
      <w:r>
        <w:rPr>
          <w:rFonts w:hint="eastAsia" w:ascii="仿宋_GB2312" w:hAnsi="仿宋_GB2312" w:eastAsia="仿宋_GB2312" w:cs="仿宋_GB2312"/>
          <w:b/>
          <w:sz w:val="28"/>
          <w:szCs w:val="28"/>
        </w:rPr>
        <w:t>中标人须无条件配合招标人要求，施工前应征得招标人同意，不得擅自施工，如擅自施工导致的一切后果由中标人承担。</w:t>
      </w:r>
    </w:p>
    <w:p>
      <w:pPr>
        <w:keepNext w:val="0"/>
        <w:keepLines w:val="0"/>
        <w:pageBreakBefore w:val="0"/>
        <w:kinsoku/>
        <w:wordWrap/>
        <w:overflowPunct/>
        <w:topLinePunct w:val="0"/>
        <w:autoSpaceDE/>
        <w:autoSpaceDN/>
        <w:bidi w:val="0"/>
        <w:spacing w:line="560" w:lineRule="exact"/>
        <w:ind w:left="0" w:leftChars="0" w:right="0" w:rightChars="0" w:firstLine="562" w:firstLineChars="200"/>
        <w:jc w:val="left"/>
        <w:textAlignment w:val="auto"/>
        <w:outlineLvl w:val="9"/>
        <w:rPr>
          <w:rFonts w:ascii="仿宋_GB2312" w:hAnsi="仿宋_GB2312" w:eastAsia="仿宋_GB2312" w:cs="仿宋_GB2312"/>
          <w:b/>
          <w:sz w:val="28"/>
          <w:szCs w:val="28"/>
        </w:rPr>
      </w:pPr>
      <w:r>
        <w:rPr>
          <w:rFonts w:hint="eastAsia" w:ascii="仿宋_GB2312" w:hAnsi="仿宋_GB2312" w:eastAsia="仿宋_GB2312" w:cs="仿宋_GB2312"/>
          <w:b/>
          <w:sz w:val="28"/>
          <w:szCs w:val="28"/>
        </w:rPr>
        <w:t>5.</w:t>
      </w:r>
      <w:r>
        <w:rPr>
          <w:rFonts w:hint="eastAsia" w:ascii="仿宋_GB2312" w:hAnsi="仿宋_GB2312" w:eastAsia="仿宋_GB2312" w:cs="仿宋_GB2312"/>
          <w:b/>
          <w:sz w:val="28"/>
          <w:szCs w:val="28"/>
          <w:lang w:val="en-US" w:eastAsia="zh-CN"/>
        </w:rPr>
        <w:t>9</w:t>
      </w:r>
      <w:r>
        <w:rPr>
          <w:rFonts w:hint="eastAsia" w:ascii="仿宋_GB2312" w:hAnsi="仿宋_GB2312" w:eastAsia="仿宋_GB2312" w:cs="仿宋_GB2312"/>
          <w:b/>
          <w:sz w:val="28"/>
          <w:szCs w:val="28"/>
        </w:rPr>
        <w:t>项目开工前中标人需提供施工进度计划表、施工材料及明细表，待材料、人员、证件全部准备完善并经招标人同意方可进行施工。</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p>
    <w:p>
      <w:pPr>
        <w:pStyle w:val="13"/>
        <w:keepNext/>
        <w:pageBreakBefore/>
        <w:spacing w:before="0" w:after="0" w:line="560" w:lineRule="exact"/>
      </w:pPr>
      <w:bookmarkStart w:id="25" w:name="_Toc139785994"/>
      <w:bookmarkStart w:id="26" w:name="_Toc10055"/>
      <w:bookmarkStart w:id="27" w:name="_Toc52907682"/>
      <w:bookmarkStart w:id="28" w:name="_Toc28597"/>
      <w:r>
        <w:t>第</w:t>
      </w:r>
      <w:r>
        <w:rPr>
          <w:rFonts w:hint="eastAsia"/>
          <w:lang w:val="en-US" w:eastAsia="zh-CN"/>
        </w:rPr>
        <w:t>七</w:t>
      </w:r>
      <w:r>
        <w:t>章</w:t>
      </w:r>
      <w:r>
        <w:rPr>
          <w:rFonts w:hint="eastAsia"/>
        </w:rPr>
        <w:t xml:space="preserve"> </w:t>
      </w:r>
      <w:r>
        <w:t>投标文件格式</w:t>
      </w:r>
      <w:bookmarkEnd w:id="25"/>
      <w:bookmarkEnd w:id="26"/>
      <w:bookmarkEnd w:id="27"/>
      <w:bookmarkEnd w:id="28"/>
    </w:p>
    <w:p>
      <w:pPr>
        <w:autoSpaceDE w:val="0"/>
        <w:autoSpaceDN w:val="0"/>
        <w:adjustRightInd w:val="0"/>
        <w:spacing w:line="560" w:lineRule="exact"/>
        <w:jc w:val="left"/>
        <w:rPr>
          <w:rFonts w:cs="微软雅黑"/>
          <w:kern w:val="0"/>
          <w:sz w:val="20"/>
          <w:szCs w:val="20"/>
        </w:rPr>
      </w:pPr>
    </w:p>
    <w:p>
      <w:pPr>
        <w:autoSpaceDE w:val="0"/>
        <w:autoSpaceDN w:val="0"/>
        <w:adjustRightInd w:val="0"/>
        <w:spacing w:line="560" w:lineRule="exact"/>
        <w:jc w:val="left"/>
        <w:rPr>
          <w:rFonts w:cs="微软雅黑"/>
          <w:kern w:val="0"/>
          <w:sz w:val="20"/>
          <w:szCs w:val="20"/>
        </w:rPr>
      </w:pPr>
    </w:p>
    <w:p>
      <w:pPr>
        <w:tabs>
          <w:tab w:val="left" w:pos="2980"/>
        </w:tabs>
        <w:autoSpaceDE w:val="0"/>
        <w:autoSpaceDN w:val="0"/>
        <w:adjustRightInd w:val="0"/>
        <w:spacing w:line="560" w:lineRule="exact"/>
        <w:ind w:left="1880" w:right="-20" w:firstLine="1417" w:firstLineChars="350"/>
        <w:jc w:val="left"/>
        <w:rPr>
          <w:rFonts w:cs="微软雅黑"/>
          <w:kern w:val="0"/>
          <w:sz w:val="24"/>
          <w:szCs w:val="28"/>
        </w:rPr>
      </w:pPr>
      <w:r>
        <w:rPr>
          <w:rFonts w:cs="微软雅黑"/>
          <w:w w:val="169"/>
          <w:kern w:val="0"/>
          <w:position w:val="-3"/>
          <w:sz w:val="24"/>
          <w:szCs w:val="28"/>
          <w:u w:val="single"/>
        </w:rPr>
        <w:t xml:space="preserve">       </w:t>
      </w:r>
      <w:r>
        <w:rPr>
          <w:rFonts w:hint="eastAsia" w:cs="微软雅黑"/>
          <w:w w:val="169"/>
          <w:kern w:val="0"/>
          <w:position w:val="-3"/>
          <w:sz w:val="24"/>
          <w:szCs w:val="28"/>
          <w:u w:val="single"/>
        </w:rPr>
        <w:t xml:space="preserve">           </w:t>
      </w:r>
      <w:r>
        <w:rPr>
          <w:rFonts w:cs="微软雅黑"/>
          <w:w w:val="169"/>
          <w:kern w:val="0"/>
          <w:position w:val="-3"/>
          <w:sz w:val="24"/>
          <w:szCs w:val="28"/>
          <w:u w:val="single"/>
        </w:rPr>
        <w:t xml:space="preserve">       </w:t>
      </w:r>
      <w:r>
        <w:rPr>
          <w:rFonts w:cs="微软雅黑"/>
          <w:kern w:val="0"/>
          <w:position w:val="-3"/>
          <w:sz w:val="24"/>
          <w:szCs w:val="28"/>
          <w:u w:val="single"/>
        </w:rPr>
        <w:tab/>
      </w:r>
      <w:r>
        <w:rPr>
          <w:rFonts w:cs="微软雅黑"/>
          <w:kern w:val="0"/>
          <w:position w:val="-3"/>
          <w:sz w:val="24"/>
          <w:szCs w:val="28"/>
        </w:rPr>
        <w:t>(项目</w:t>
      </w:r>
      <w:r>
        <w:rPr>
          <w:rFonts w:cs="微软雅黑"/>
          <w:spacing w:val="-3"/>
          <w:kern w:val="0"/>
          <w:position w:val="-3"/>
          <w:sz w:val="24"/>
          <w:szCs w:val="28"/>
        </w:rPr>
        <w:t>名</w:t>
      </w:r>
      <w:r>
        <w:rPr>
          <w:rFonts w:cs="微软雅黑"/>
          <w:kern w:val="0"/>
          <w:position w:val="-3"/>
          <w:sz w:val="24"/>
          <w:szCs w:val="28"/>
        </w:rPr>
        <w:t>称)</w:t>
      </w:r>
    </w:p>
    <w:p>
      <w:pPr>
        <w:autoSpaceDE w:val="0"/>
        <w:autoSpaceDN w:val="0"/>
        <w:adjustRightInd w:val="0"/>
        <w:spacing w:line="560" w:lineRule="exact"/>
        <w:jc w:val="left"/>
        <w:rPr>
          <w:rFonts w:cs="微软雅黑"/>
          <w:kern w:val="0"/>
          <w:sz w:val="10"/>
          <w:szCs w:val="10"/>
        </w:rPr>
      </w:pPr>
    </w:p>
    <w:p>
      <w:pPr>
        <w:autoSpaceDE w:val="0"/>
        <w:autoSpaceDN w:val="0"/>
        <w:adjustRightInd w:val="0"/>
        <w:spacing w:line="560" w:lineRule="exact"/>
        <w:jc w:val="left"/>
        <w:rPr>
          <w:rFonts w:cs="微软雅黑"/>
          <w:kern w:val="0"/>
          <w:sz w:val="20"/>
          <w:szCs w:val="20"/>
        </w:rPr>
      </w:pPr>
    </w:p>
    <w:p>
      <w:pPr>
        <w:autoSpaceDE w:val="0"/>
        <w:autoSpaceDN w:val="0"/>
        <w:adjustRightInd w:val="0"/>
        <w:spacing w:line="560" w:lineRule="exact"/>
        <w:jc w:val="left"/>
        <w:rPr>
          <w:rFonts w:cs="微软雅黑"/>
          <w:kern w:val="0"/>
          <w:sz w:val="20"/>
          <w:szCs w:val="20"/>
        </w:rPr>
      </w:pPr>
    </w:p>
    <w:p>
      <w:pPr>
        <w:tabs>
          <w:tab w:val="left" w:pos="3780"/>
          <w:tab w:val="left" w:pos="4440"/>
          <w:tab w:val="left" w:pos="5100"/>
        </w:tabs>
        <w:autoSpaceDE w:val="0"/>
        <w:autoSpaceDN w:val="0"/>
        <w:adjustRightInd w:val="0"/>
        <w:spacing w:line="560" w:lineRule="exact"/>
        <w:ind w:left="3138" w:right="3116"/>
        <w:jc w:val="center"/>
        <w:rPr>
          <w:rFonts w:cs="微软雅黑"/>
          <w:kern w:val="0"/>
          <w:sz w:val="44"/>
          <w:szCs w:val="44"/>
        </w:rPr>
      </w:pPr>
      <w:r>
        <w:rPr>
          <w:rFonts w:cs="微软雅黑"/>
          <w:kern w:val="0"/>
          <w:sz w:val="44"/>
          <w:szCs w:val="44"/>
        </w:rPr>
        <w:t>投</w:t>
      </w:r>
      <w:r>
        <w:rPr>
          <w:rFonts w:cs="微软雅黑"/>
          <w:kern w:val="0"/>
          <w:sz w:val="44"/>
          <w:szCs w:val="44"/>
        </w:rPr>
        <w:tab/>
      </w:r>
      <w:r>
        <w:rPr>
          <w:rFonts w:cs="微软雅黑"/>
          <w:kern w:val="0"/>
          <w:sz w:val="44"/>
          <w:szCs w:val="44"/>
        </w:rPr>
        <w:t>标</w:t>
      </w:r>
      <w:r>
        <w:rPr>
          <w:rFonts w:cs="微软雅黑"/>
          <w:kern w:val="0"/>
          <w:sz w:val="44"/>
          <w:szCs w:val="44"/>
        </w:rPr>
        <w:tab/>
      </w:r>
      <w:r>
        <w:rPr>
          <w:rFonts w:cs="微软雅黑"/>
          <w:kern w:val="0"/>
          <w:sz w:val="44"/>
          <w:szCs w:val="44"/>
        </w:rPr>
        <w:t>文</w:t>
      </w:r>
      <w:r>
        <w:rPr>
          <w:rFonts w:cs="微软雅黑"/>
          <w:kern w:val="0"/>
          <w:sz w:val="44"/>
          <w:szCs w:val="44"/>
        </w:rPr>
        <w:tab/>
      </w:r>
      <w:r>
        <w:rPr>
          <w:rFonts w:cs="微软雅黑"/>
          <w:w w:val="99"/>
          <w:kern w:val="0"/>
          <w:sz w:val="44"/>
          <w:szCs w:val="44"/>
        </w:rPr>
        <w:t>件</w:t>
      </w:r>
    </w:p>
    <w:p>
      <w:pPr>
        <w:autoSpaceDE w:val="0"/>
        <w:autoSpaceDN w:val="0"/>
        <w:adjustRightInd w:val="0"/>
        <w:spacing w:line="560" w:lineRule="exact"/>
        <w:jc w:val="left"/>
        <w:rPr>
          <w:rFonts w:cs="微软雅黑"/>
          <w:kern w:val="0"/>
          <w:sz w:val="20"/>
          <w:szCs w:val="20"/>
        </w:rPr>
      </w:pPr>
    </w:p>
    <w:p>
      <w:pPr>
        <w:autoSpaceDE w:val="0"/>
        <w:autoSpaceDN w:val="0"/>
        <w:adjustRightInd w:val="0"/>
        <w:spacing w:line="560" w:lineRule="exact"/>
        <w:jc w:val="left"/>
        <w:rPr>
          <w:rFonts w:cs="微软雅黑"/>
          <w:kern w:val="0"/>
          <w:sz w:val="20"/>
          <w:szCs w:val="20"/>
        </w:rPr>
      </w:pPr>
    </w:p>
    <w:p>
      <w:pPr>
        <w:autoSpaceDE w:val="0"/>
        <w:autoSpaceDN w:val="0"/>
        <w:adjustRightInd w:val="0"/>
        <w:spacing w:line="560" w:lineRule="exact"/>
        <w:jc w:val="left"/>
        <w:rPr>
          <w:rFonts w:cs="微软雅黑"/>
          <w:kern w:val="0"/>
          <w:sz w:val="20"/>
          <w:szCs w:val="20"/>
        </w:rPr>
      </w:pPr>
    </w:p>
    <w:p>
      <w:pPr>
        <w:autoSpaceDE w:val="0"/>
        <w:autoSpaceDN w:val="0"/>
        <w:adjustRightInd w:val="0"/>
        <w:spacing w:line="560" w:lineRule="exact"/>
        <w:jc w:val="left"/>
        <w:rPr>
          <w:rFonts w:cs="微软雅黑"/>
          <w:kern w:val="0"/>
          <w:sz w:val="20"/>
          <w:szCs w:val="20"/>
        </w:rPr>
      </w:pPr>
    </w:p>
    <w:p>
      <w:pPr>
        <w:autoSpaceDE w:val="0"/>
        <w:autoSpaceDN w:val="0"/>
        <w:adjustRightInd w:val="0"/>
        <w:spacing w:line="560" w:lineRule="exact"/>
        <w:jc w:val="left"/>
        <w:rPr>
          <w:rFonts w:cs="微软雅黑"/>
          <w:kern w:val="0"/>
          <w:sz w:val="20"/>
          <w:szCs w:val="20"/>
        </w:rPr>
      </w:pPr>
    </w:p>
    <w:p>
      <w:pPr>
        <w:autoSpaceDE w:val="0"/>
        <w:autoSpaceDN w:val="0"/>
        <w:adjustRightInd w:val="0"/>
        <w:spacing w:line="560" w:lineRule="exact"/>
        <w:jc w:val="left"/>
        <w:rPr>
          <w:rFonts w:cs="微软雅黑"/>
          <w:kern w:val="0"/>
          <w:sz w:val="20"/>
          <w:szCs w:val="20"/>
        </w:rPr>
      </w:pPr>
    </w:p>
    <w:p>
      <w:pPr>
        <w:autoSpaceDE w:val="0"/>
        <w:autoSpaceDN w:val="0"/>
        <w:adjustRightInd w:val="0"/>
        <w:spacing w:line="560" w:lineRule="exact"/>
        <w:jc w:val="left"/>
        <w:rPr>
          <w:rFonts w:cs="微软雅黑"/>
          <w:kern w:val="0"/>
          <w:sz w:val="20"/>
          <w:szCs w:val="20"/>
        </w:rPr>
      </w:pPr>
    </w:p>
    <w:p>
      <w:pPr>
        <w:autoSpaceDE w:val="0"/>
        <w:autoSpaceDN w:val="0"/>
        <w:adjustRightInd w:val="0"/>
        <w:spacing w:line="560" w:lineRule="exact"/>
        <w:jc w:val="left"/>
        <w:rPr>
          <w:rFonts w:cs="微软雅黑"/>
          <w:kern w:val="0"/>
          <w:sz w:val="20"/>
          <w:szCs w:val="20"/>
        </w:rPr>
      </w:pPr>
    </w:p>
    <w:p>
      <w:pPr>
        <w:autoSpaceDE w:val="0"/>
        <w:autoSpaceDN w:val="0"/>
        <w:adjustRightInd w:val="0"/>
        <w:spacing w:line="560" w:lineRule="exact"/>
        <w:jc w:val="left"/>
        <w:rPr>
          <w:rFonts w:cs="微软雅黑"/>
          <w:kern w:val="0"/>
          <w:sz w:val="20"/>
          <w:szCs w:val="20"/>
        </w:rPr>
      </w:pPr>
    </w:p>
    <w:p>
      <w:pPr>
        <w:autoSpaceDE w:val="0"/>
        <w:autoSpaceDN w:val="0"/>
        <w:adjustRightInd w:val="0"/>
        <w:spacing w:line="560" w:lineRule="exact"/>
        <w:jc w:val="left"/>
        <w:rPr>
          <w:rFonts w:cs="微软雅黑"/>
          <w:kern w:val="0"/>
          <w:sz w:val="24"/>
          <w:szCs w:val="24"/>
        </w:rPr>
      </w:pPr>
    </w:p>
    <w:p>
      <w:pPr>
        <w:tabs>
          <w:tab w:val="left" w:pos="6940"/>
          <w:tab w:val="left" w:pos="7520"/>
        </w:tabs>
        <w:autoSpaceDE w:val="0"/>
        <w:autoSpaceDN w:val="0"/>
        <w:adjustRightInd w:val="0"/>
        <w:spacing w:line="560" w:lineRule="exact"/>
        <w:ind w:left="1201" w:right="52"/>
        <w:jc w:val="left"/>
        <w:rPr>
          <w:rFonts w:ascii="宋体" w:hAnsi="宋体" w:cs="微软雅黑"/>
          <w:kern w:val="0"/>
          <w:sz w:val="24"/>
          <w:szCs w:val="28"/>
        </w:rPr>
      </w:pPr>
      <w:r>
        <w:rPr>
          <w:rFonts w:ascii="宋体" w:hAnsi="宋体" w:cs="微软雅黑"/>
          <w:kern w:val="0"/>
          <w:sz w:val="24"/>
          <w:szCs w:val="28"/>
        </w:rPr>
        <w:t>投标人：</w:t>
      </w:r>
      <w:r>
        <w:rPr>
          <w:rFonts w:ascii="宋体" w:hAnsi="宋体" w:cs="微软雅黑"/>
          <w:spacing w:val="57"/>
          <w:kern w:val="0"/>
          <w:sz w:val="24"/>
          <w:szCs w:val="28"/>
          <w:u w:val="single"/>
        </w:rPr>
        <w:t xml:space="preserve"> </w:t>
      </w:r>
      <w:r>
        <w:rPr>
          <w:rFonts w:ascii="宋体" w:hAnsi="宋体" w:cs="微软雅黑"/>
          <w:kern w:val="0"/>
          <w:sz w:val="24"/>
          <w:szCs w:val="28"/>
          <w:u w:val="single"/>
        </w:rPr>
        <w:tab/>
      </w:r>
      <w:r>
        <w:rPr>
          <w:rFonts w:ascii="宋体" w:hAnsi="宋体" w:cs="微软雅黑"/>
          <w:kern w:val="0"/>
          <w:sz w:val="24"/>
          <w:szCs w:val="28"/>
        </w:rPr>
        <w:t>(盖</w:t>
      </w:r>
      <w:r>
        <w:rPr>
          <w:rFonts w:ascii="宋体" w:hAnsi="宋体" w:cs="微软雅黑"/>
          <w:spacing w:val="-3"/>
          <w:kern w:val="0"/>
          <w:sz w:val="24"/>
          <w:szCs w:val="28"/>
        </w:rPr>
        <w:t>单</w:t>
      </w:r>
      <w:r>
        <w:rPr>
          <w:rFonts w:ascii="宋体" w:hAnsi="宋体" w:cs="微软雅黑"/>
          <w:kern w:val="0"/>
          <w:sz w:val="24"/>
          <w:szCs w:val="28"/>
        </w:rPr>
        <w:t>位</w:t>
      </w:r>
      <w:r>
        <w:rPr>
          <w:rFonts w:ascii="宋体" w:hAnsi="宋体" w:cs="微软雅黑"/>
          <w:spacing w:val="-3"/>
          <w:kern w:val="0"/>
          <w:sz w:val="24"/>
          <w:szCs w:val="28"/>
        </w:rPr>
        <w:t>章</w:t>
      </w:r>
      <w:r>
        <w:rPr>
          <w:rFonts w:ascii="宋体" w:hAnsi="宋体" w:cs="微软雅黑"/>
          <w:kern w:val="0"/>
          <w:sz w:val="24"/>
          <w:szCs w:val="28"/>
        </w:rPr>
        <w:t>)</w:t>
      </w:r>
    </w:p>
    <w:p>
      <w:pPr>
        <w:tabs>
          <w:tab w:val="left" w:pos="6940"/>
          <w:tab w:val="left" w:pos="7520"/>
        </w:tabs>
        <w:autoSpaceDE w:val="0"/>
        <w:autoSpaceDN w:val="0"/>
        <w:adjustRightInd w:val="0"/>
        <w:spacing w:line="560" w:lineRule="exact"/>
        <w:ind w:left="1201" w:right="52"/>
        <w:jc w:val="left"/>
        <w:rPr>
          <w:rFonts w:ascii="宋体" w:hAnsi="宋体" w:cs="微软雅黑"/>
          <w:kern w:val="0"/>
          <w:sz w:val="24"/>
          <w:szCs w:val="28"/>
        </w:rPr>
      </w:pPr>
      <w:r>
        <w:rPr>
          <w:rFonts w:ascii="宋体" w:hAnsi="宋体" w:cs="微软雅黑"/>
          <w:kern w:val="0"/>
          <w:sz w:val="24"/>
          <w:szCs w:val="28"/>
        </w:rPr>
        <w:t>法定代</w:t>
      </w:r>
      <w:r>
        <w:rPr>
          <w:rFonts w:ascii="宋体" w:hAnsi="宋体" w:cs="微软雅黑"/>
          <w:spacing w:val="-3"/>
          <w:kern w:val="0"/>
          <w:sz w:val="24"/>
          <w:szCs w:val="28"/>
        </w:rPr>
        <w:t>表</w:t>
      </w:r>
      <w:r>
        <w:rPr>
          <w:rFonts w:ascii="宋体" w:hAnsi="宋体" w:cs="微软雅黑"/>
          <w:kern w:val="0"/>
          <w:sz w:val="24"/>
          <w:szCs w:val="28"/>
        </w:rPr>
        <w:t>人或其</w:t>
      </w:r>
      <w:r>
        <w:rPr>
          <w:rFonts w:ascii="宋体" w:hAnsi="宋体" w:cs="微软雅黑"/>
          <w:spacing w:val="-3"/>
          <w:kern w:val="0"/>
          <w:sz w:val="24"/>
          <w:szCs w:val="28"/>
        </w:rPr>
        <w:t>委托</w:t>
      </w:r>
      <w:r>
        <w:rPr>
          <w:rFonts w:ascii="宋体" w:hAnsi="宋体" w:cs="微软雅黑"/>
          <w:kern w:val="0"/>
          <w:sz w:val="24"/>
          <w:szCs w:val="28"/>
        </w:rPr>
        <w:t>代理人</w:t>
      </w:r>
      <w:r>
        <w:rPr>
          <w:rFonts w:ascii="宋体" w:hAnsi="宋体" w:cs="微软雅黑"/>
          <w:spacing w:val="2"/>
          <w:kern w:val="0"/>
          <w:sz w:val="24"/>
          <w:szCs w:val="28"/>
        </w:rPr>
        <w:t>：</w:t>
      </w:r>
      <w:r>
        <w:rPr>
          <w:rFonts w:ascii="宋体" w:hAnsi="宋体" w:cs="微软雅黑"/>
          <w:spacing w:val="57"/>
          <w:kern w:val="0"/>
          <w:sz w:val="24"/>
          <w:szCs w:val="28"/>
          <w:u w:val="single"/>
        </w:rPr>
        <w:t xml:space="preserve"> </w:t>
      </w:r>
      <w:r>
        <w:rPr>
          <w:rFonts w:ascii="宋体" w:hAnsi="宋体" w:cs="微软雅黑"/>
          <w:kern w:val="0"/>
          <w:sz w:val="24"/>
          <w:szCs w:val="28"/>
          <w:u w:val="single"/>
        </w:rPr>
        <w:tab/>
      </w:r>
      <w:r>
        <w:rPr>
          <w:rFonts w:ascii="宋体" w:hAnsi="宋体" w:cs="微软雅黑"/>
          <w:kern w:val="0"/>
          <w:sz w:val="24"/>
          <w:szCs w:val="28"/>
        </w:rPr>
        <w:t>(</w:t>
      </w:r>
      <w:r>
        <w:rPr>
          <w:rFonts w:ascii="宋体" w:hAnsi="宋体" w:cs="微软雅黑"/>
          <w:spacing w:val="-3"/>
          <w:kern w:val="0"/>
          <w:sz w:val="24"/>
          <w:szCs w:val="28"/>
        </w:rPr>
        <w:t>签</w:t>
      </w:r>
      <w:r>
        <w:rPr>
          <w:rFonts w:ascii="宋体" w:hAnsi="宋体" w:cs="微软雅黑"/>
          <w:kern w:val="0"/>
          <w:sz w:val="24"/>
          <w:szCs w:val="28"/>
        </w:rPr>
        <w:t>字</w:t>
      </w:r>
      <w:r>
        <w:rPr>
          <w:rFonts w:hint="eastAsia" w:ascii="宋体" w:hAnsi="宋体" w:cs="微软雅黑"/>
          <w:kern w:val="0"/>
          <w:sz w:val="24"/>
          <w:szCs w:val="28"/>
        </w:rPr>
        <w:t>或盖章</w:t>
      </w:r>
      <w:r>
        <w:rPr>
          <w:rFonts w:ascii="宋体" w:hAnsi="宋体" w:cs="微软雅黑"/>
          <w:kern w:val="0"/>
          <w:sz w:val="24"/>
          <w:szCs w:val="28"/>
        </w:rPr>
        <w:t>)</w:t>
      </w:r>
    </w:p>
    <w:p>
      <w:pPr>
        <w:autoSpaceDE w:val="0"/>
        <w:autoSpaceDN w:val="0"/>
        <w:adjustRightInd w:val="0"/>
        <w:spacing w:line="560" w:lineRule="exact"/>
        <w:jc w:val="left"/>
        <w:rPr>
          <w:rFonts w:cs="微软雅黑"/>
          <w:kern w:val="0"/>
          <w:sz w:val="13"/>
          <w:szCs w:val="13"/>
        </w:rPr>
      </w:pPr>
    </w:p>
    <w:p>
      <w:pPr>
        <w:tabs>
          <w:tab w:val="left" w:pos="3600"/>
          <w:tab w:val="left" w:pos="4620"/>
          <w:tab w:val="left" w:pos="5520"/>
        </w:tabs>
        <w:autoSpaceDE w:val="0"/>
        <w:autoSpaceDN w:val="0"/>
        <w:adjustRightInd w:val="0"/>
        <w:spacing w:line="560" w:lineRule="exact"/>
        <w:ind w:right="-20" w:firstLine="2280" w:firstLineChars="950"/>
        <w:jc w:val="left"/>
        <w:rPr>
          <w:rFonts w:cs="微软雅黑"/>
          <w:kern w:val="0"/>
          <w:sz w:val="24"/>
          <w:szCs w:val="28"/>
        </w:rPr>
      </w:pPr>
      <w:r>
        <w:rPr>
          <w:rFonts w:cs="微软雅黑"/>
          <w:kern w:val="0"/>
          <w:sz w:val="24"/>
          <w:szCs w:val="28"/>
          <w:u w:val="single"/>
        </w:rPr>
        <w:tab/>
      </w:r>
      <w:r>
        <w:rPr>
          <w:rFonts w:cs="微软雅黑"/>
          <w:spacing w:val="2"/>
          <w:kern w:val="0"/>
          <w:sz w:val="24"/>
          <w:szCs w:val="28"/>
        </w:rPr>
        <w:t>年</w:t>
      </w:r>
      <w:r>
        <w:rPr>
          <w:rFonts w:cs="微软雅黑"/>
          <w:spacing w:val="57"/>
          <w:kern w:val="0"/>
          <w:sz w:val="24"/>
          <w:szCs w:val="28"/>
          <w:u w:val="single"/>
        </w:rPr>
        <w:t xml:space="preserve"> </w:t>
      </w:r>
      <w:r>
        <w:rPr>
          <w:rFonts w:cs="微软雅黑"/>
          <w:kern w:val="0"/>
          <w:sz w:val="24"/>
          <w:szCs w:val="28"/>
          <w:u w:val="single"/>
        </w:rPr>
        <w:tab/>
      </w:r>
      <w:r>
        <w:rPr>
          <w:rFonts w:cs="微软雅黑"/>
          <w:spacing w:val="2"/>
          <w:kern w:val="0"/>
          <w:sz w:val="24"/>
          <w:szCs w:val="28"/>
        </w:rPr>
        <w:t>月</w:t>
      </w:r>
      <w:r>
        <w:rPr>
          <w:rFonts w:cs="微软雅黑"/>
          <w:kern w:val="0"/>
          <w:sz w:val="24"/>
          <w:szCs w:val="28"/>
          <w:u w:val="single"/>
        </w:rPr>
        <w:tab/>
      </w:r>
      <w:r>
        <w:rPr>
          <w:rFonts w:cs="微软雅黑"/>
          <w:kern w:val="0"/>
          <w:sz w:val="24"/>
          <w:szCs w:val="28"/>
          <w:u w:val="single"/>
        </w:rPr>
        <w:t xml:space="preserve">     </w:t>
      </w:r>
      <w:r>
        <w:rPr>
          <w:rFonts w:cs="微软雅黑"/>
          <w:kern w:val="0"/>
          <w:sz w:val="24"/>
          <w:szCs w:val="28"/>
        </w:rPr>
        <w:t>日</w:t>
      </w:r>
    </w:p>
    <w:p>
      <w:pPr>
        <w:tabs>
          <w:tab w:val="left" w:pos="3600"/>
          <w:tab w:val="left" w:pos="4620"/>
          <w:tab w:val="left" w:pos="5640"/>
        </w:tabs>
        <w:autoSpaceDE w:val="0"/>
        <w:autoSpaceDN w:val="0"/>
        <w:adjustRightInd w:val="0"/>
        <w:spacing w:line="560" w:lineRule="exact"/>
        <w:ind w:left="2877" w:right="-20" w:firstLine="480" w:firstLineChars="200"/>
        <w:jc w:val="left"/>
        <w:rPr>
          <w:rFonts w:cs="微软雅黑"/>
          <w:kern w:val="0"/>
          <w:sz w:val="24"/>
          <w:szCs w:val="28"/>
        </w:rPr>
        <w:sectPr>
          <w:footerReference r:id="rId8" w:type="default"/>
          <w:pgSz w:w="11907" w:h="16840"/>
          <w:pgMar w:top="1134" w:right="1134" w:bottom="1134" w:left="1134" w:header="567" w:footer="567" w:gutter="0"/>
          <w:pgNumType w:fmt="decimal"/>
          <w:cols w:space="720" w:num="1"/>
        </w:sectPr>
      </w:pPr>
    </w:p>
    <w:p>
      <w:pPr>
        <w:autoSpaceDE w:val="0"/>
        <w:autoSpaceDN w:val="0"/>
        <w:adjustRightInd w:val="0"/>
        <w:spacing w:line="560" w:lineRule="exact"/>
        <w:jc w:val="center"/>
        <w:rPr>
          <w:rFonts w:cs="微软雅黑"/>
          <w:b/>
          <w:kern w:val="0"/>
          <w:sz w:val="36"/>
          <w:szCs w:val="36"/>
        </w:rPr>
      </w:pPr>
      <w:r>
        <w:rPr>
          <w:rFonts w:cs="微软雅黑"/>
          <w:b/>
          <w:kern w:val="0"/>
          <w:sz w:val="36"/>
          <w:szCs w:val="36"/>
        </w:rPr>
        <w:t>目 录</w:t>
      </w:r>
    </w:p>
    <w:p>
      <w:pPr>
        <w:pStyle w:val="19"/>
        <w:numPr>
          <w:ilvl w:val="0"/>
          <w:numId w:val="0"/>
        </w:numPr>
        <w:tabs>
          <w:tab w:val="left" w:pos="360"/>
        </w:tabs>
        <w:autoSpaceDE w:val="0"/>
        <w:autoSpaceDN w:val="0"/>
        <w:adjustRightInd w:val="0"/>
        <w:spacing w:line="560" w:lineRule="exact"/>
        <w:ind w:leftChars="0" w:right="4013" w:rightChars="0"/>
        <w:rPr>
          <w:rFonts w:ascii="微软雅黑" w:hAnsi="Times New Roman" w:cs="微软雅黑"/>
          <w:spacing w:val="-2"/>
          <w:kern w:val="0"/>
          <w:sz w:val="22"/>
        </w:rPr>
      </w:pPr>
      <w:r>
        <w:rPr>
          <w:rFonts w:hint="eastAsia" w:ascii="微软雅黑" w:hAnsi="Times New Roman" w:cs="微软雅黑"/>
          <w:spacing w:val="-2"/>
          <w:kern w:val="0"/>
          <w:sz w:val="22"/>
          <w:lang w:val="en-US" w:eastAsia="zh-CN"/>
        </w:rPr>
        <w:t>一、</w:t>
      </w:r>
      <w:r>
        <w:rPr>
          <w:rFonts w:ascii="微软雅黑" w:hAnsi="Times New Roman" w:cs="微软雅黑"/>
          <w:spacing w:val="-2"/>
          <w:kern w:val="0"/>
          <w:sz w:val="22"/>
        </w:rPr>
        <w:t>投标函；</w:t>
      </w:r>
    </w:p>
    <w:p>
      <w:pPr>
        <w:pStyle w:val="19"/>
        <w:tabs>
          <w:tab w:val="left" w:pos="360"/>
        </w:tabs>
        <w:autoSpaceDE w:val="0"/>
        <w:autoSpaceDN w:val="0"/>
        <w:adjustRightInd w:val="0"/>
        <w:spacing w:line="560" w:lineRule="exact"/>
        <w:ind w:firstLine="0" w:firstLineChars="0"/>
        <w:rPr>
          <w:rFonts w:ascii="微软雅黑" w:hAnsi="Times New Roman" w:cs="微软雅黑"/>
          <w:spacing w:val="-2"/>
          <w:kern w:val="0"/>
          <w:sz w:val="22"/>
        </w:rPr>
      </w:pPr>
      <w:r>
        <w:rPr>
          <w:rFonts w:hint="eastAsia" w:ascii="宋体" w:hAnsi="宋体" w:cs="宋体"/>
          <w:kern w:val="0"/>
          <w:sz w:val="22"/>
        </w:rPr>
        <w:t>二、法定代表人身份证明、</w:t>
      </w:r>
      <w:r>
        <w:rPr>
          <w:rFonts w:ascii="宋体" w:hAnsi="宋体" w:cs="宋体"/>
          <w:kern w:val="0"/>
          <w:sz w:val="22"/>
        </w:rPr>
        <w:t>法定代表人授权委托书(投标文件</w:t>
      </w:r>
      <w:r>
        <w:rPr>
          <w:rFonts w:hint="eastAsia" w:ascii="宋体" w:hAnsi="宋体" w:cs="宋体"/>
          <w:kern w:val="0"/>
          <w:sz w:val="22"/>
        </w:rPr>
        <w:t>由</w:t>
      </w:r>
      <w:r>
        <w:rPr>
          <w:rFonts w:ascii="宋体" w:hAnsi="宋体" w:cs="宋体"/>
          <w:kern w:val="0"/>
          <w:sz w:val="22"/>
        </w:rPr>
        <w:t>委托代理人签字</w:t>
      </w:r>
      <w:r>
        <w:rPr>
          <w:rFonts w:hint="eastAsia" w:ascii="宋体" w:hAnsi="宋体" w:cs="宋体"/>
          <w:kern w:val="0"/>
          <w:sz w:val="22"/>
        </w:rPr>
        <w:t>时</w:t>
      </w:r>
      <w:r>
        <w:rPr>
          <w:rFonts w:ascii="宋体" w:hAnsi="宋体" w:cs="宋体"/>
          <w:kern w:val="0"/>
          <w:sz w:val="22"/>
        </w:rPr>
        <w:t>提供</w:t>
      </w:r>
      <w:r>
        <w:rPr>
          <w:rFonts w:hint="eastAsia" w:ascii="宋体" w:hAnsi="宋体" w:cs="宋体"/>
          <w:kern w:val="0"/>
          <w:sz w:val="22"/>
        </w:rPr>
        <w:t>)</w:t>
      </w:r>
      <w:r>
        <w:rPr>
          <w:rFonts w:ascii="微软雅黑" w:hAnsi="Times New Roman" w:cs="微软雅黑"/>
          <w:spacing w:val="-2"/>
          <w:kern w:val="0"/>
          <w:sz w:val="22"/>
        </w:rPr>
        <w:t>；</w:t>
      </w:r>
    </w:p>
    <w:p>
      <w:pPr>
        <w:pStyle w:val="19"/>
        <w:tabs>
          <w:tab w:val="left" w:pos="360"/>
        </w:tabs>
        <w:autoSpaceDE w:val="0"/>
        <w:autoSpaceDN w:val="0"/>
        <w:adjustRightInd w:val="0"/>
        <w:spacing w:line="560" w:lineRule="exact"/>
        <w:ind w:right="4013" w:firstLine="0" w:firstLineChars="0"/>
        <w:rPr>
          <w:rFonts w:ascii="微软雅黑" w:hAnsi="Times New Roman" w:cs="微软雅黑"/>
          <w:spacing w:val="-2"/>
          <w:kern w:val="0"/>
          <w:sz w:val="22"/>
        </w:rPr>
      </w:pPr>
      <w:r>
        <w:rPr>
          <w:rFonts w:hint="eastAsia" w:ascii="微软雅黑" w:hAnsi="Times New Roman" w:cs="微软雅黑"/>
          <w:spacing w:val="-2"/>
          <w:kern w:val="0"/>
          <w:sz w:val="22"/>
        </w:rPr>
        <w:t>三、</w:t>
      </w:r>
      <w:r>
        <w:rPr>
          <w:rFonts w:ascii="微软雅黑" w:hAnsi="Times New Roman" w:cs="微软雅黑"/>
          <w:spacing w:val="-2"/>
          <w:kern w:val="0"/>
          <w:sz w:val="22"/>
        </w:rPr>
        <w:t>已标价工程量清单；</w:t>
      </w:r>
    </w:p>
    <w:p>
      <w:pPr>
        <w:pStyle w:val="19"/>
        <w:tabs>
          <w:tab w:val="left" w:pos="360"/>
        </w:tabs>
        <w:autoSpaceDE w:val="0"/>
        <w:autoSpaceDN w:val="0"/>
        <w:adjustRightInd w:val="0"/>
        <w:spacing w:line="560" w:lineRule="exact"/>
        <w:ind w:right="4013" w:firstLine="0" w:firstLineChars="0"/>
        <w:rPr>
          <w:rFonts w:ascii="微软雅黑" w:hAnsi="Times New Roman" w:cs="微软雅黑"/>
          <w:spacing w:val="-2"/>
          <w:kern w:val="0"/>
          <w:sz w:val="22"/>
        </w:rPr>
      </w:pPr>
      <w:r>
        <w:rPr>
          <w:rFonts w:hint="eastAsia" w:ascii="微软雅黑" w:hAnsi="Times New Roman" w:cs="微软雅黑"/>
          <w:spacing w:val="-2"/>
          <w:kern w:val="0"/>
          <w:sz w:val="22"/>
        </w:rPr>
        <w:t>四、施工组织设计</w:t>
      </w:r>
      <w:r>
        <w:rPr>
          <w:rFonts w:hint="eastAsia" w:ascii="微软雅黑" w:hAnsi="Times New Roman" w:cs="微软雅黑"/>
          <w:spacing w:val="-2"/>
          <w:kern w:val="0"/>
          <w:sz w:val="22"/>
          <w:lang w:eastAsia="zh-CN"/>
        </w:rPr>
        <w:t>；</w:t>
      </w:r>
    </w:p>
    <w:p>
      <w:pPr>
        <w:pStyle w:val="19"/>
        <w:tabs>
          <w:tab w:val="left" w:pos="360"/>
        </w:tabs>
        <w:autoSpaceDE w:val="0"/>
        <w:autoSpaceDN w:val="0"/>
        <w:adjustRightInd w:val="0"/>
        <w:spacing w:line="560" w:lineRule="exact"/>
        <w:ind w:right="4013" w:firstLine="0" w:firstLineChars="0"/>
        <w:rPr>
          <w:rFonts w:ascii="微软雅黑" w:hAnsi="Times New Roman" w:cs="微软雅黑"/>
          <w:spacing w:val="-2"/>
          <w:kern w:val="0"/>
          <w:sz w:val="22"/>
        </w:rPr>
      </w:pPr>
      <w:r>
        <w:rPr>
          <w:rFonts w:hint="eastAsia" w:ascii="微软雅黑" w:hAnsi="Times New Roman" w:cs="微软雅黑"/>
          <w:spacing w:val="-2"/>
          <w:kern w:val="0"/>
          <w:sz w:val="22"/>
          <w:lang w:val="en-US" w:eastAsia="zh-CN"/>
        </w:rPr>
        <w:t>五</w:t>
      </w:r>
      <w:r>
        <w:rPr>
          <w:rFonts w:hint="eastAsia" w:ascii="微软雅黑" w:hAnsi="Times New Roman" w:cs="微软雅黑"/>
          <w:spacing w:val="-2"/>
          <w:kern w:val="0"/>
          <w:sz w:val="22"/>
        </w:rPr>
        <w:t>、</w:t>
      </w:r>
      <w:r>
        <w:rPr>
          <w:rFonts w:ascii="微软雅黑" w:hAnsi="Times New Roman" w:cs="微软雅黑"/>
          <w:spacing w:val="-2"/>
          <w:kern w:val="0"/>
          <w:sz w:val="22"/>
        </w:rPr>
        <w:t>投标人</w:t>
      </w:r>
      <w:r>
        <w:rPr>
          <w:rFonts w:hint="eastAsia" w:ascii="微软雅黑" w:hAnsi="Times New Roman" w:cs="微软雅黑"/>
          <w:spacing w:val="-2"/>
          <w:kern w:val="0"/>
          <w:sz w:val="22"/>
        </w:rPr>
        <w:t>认为需要提供的</w:t>
      </w:r>
      <w:r>
        <w:rPr>
          <w:rFonts w:ascii="微软雅黑" w:hAnsi="Times New Roman" w:cs="微软雅黑"/>
          <w:spacing w:val="-2"/>
          <w:kern w:val="0"/>
          <w:sz w:val="22"/>
        </w:rPr>
        <w:t>其他材料。</w:t>
      </w:r>
    </w:p>
    <w:p>
      <w:pPr>
        <w:pStyle w:val="19"/>
        <w:tabs>
          <w:tab w:val="left" w:pos="360"/>
        </w:tabs>
        <w:autoSpaceDE w:val="0"/>
        <w:autoSpaceDN w:val="0"/>
        <w:adjustRightInd w:val="0"/>
        <w:spacing w:line="560" w:lineRule="exact"/>
        <w:ind w:right="4013" w:firstLine="0" w:firstLineChars="0"/>
        <w:rPr>
          <w:rFonts w:ascii="微软雅黑" w:hAnsi="Times New Roman" w:cs="微软雅黑"/>
          <w:b/>
          <w:bCs/>
          <w:spacing w:val="-2"/>
          <w:kern w:val="0"/>
          <w:sz w:val="22"/>
        </w:rPr>
      </w:pPr>
      <w:r>
        <w:rPr>
          <w:rFonts w:hint="eastAsia" w:ascii="微软雅黑" w:hAnsi="Times New Roman" w:cs="微软雅黑"/>
          <w:b/>
          <w:bCs/>
          <w:spacing w:val="-2"/>
          <w:kern w:val="0"/>
          <w:sz w:val="22"/>
        </w:rPr>
        <w:t>注：未提供格式的由投标人自行拟定格式。</w:t>
      </w:r>
    </w:p>
    <w:p>
      <w:pPr>
        <w:autoSpaceDE w:val="0"/>
        <w:autoSpaceDN w:val="0"/>
        <w:adjustRightInd w:val="0"/>
        <w:snapToGrid w:val="0"/>
        <w:spacing w:line="560" w:lineRule="exact"/>
        <w:ind w:firstLine="723" w:firstLineChars="200"/>
        <w:rPr>
          <w:rFonts w:ascii="宋体" w:hAnsi="宋体" w:cs="微软雅黑"/>
          <w:b/>
          <w:kern w:val="0"/>
          <w:sz w:val="36"/>
          <w:szCs w:val="36"/>
        </w:rPr>
      </w:pPr>
      <w:r>
        <w:rPr>
          <w:rFonts w:ascii="宋体" w:hAnsi="宋体" w:cs="微软雅黑"/>
          <w:b/>
          <w:kern w:val="0"/>
          <w:sz w:val="36"/>
          <w:szCs w:val="36"/>
        </w:rPr>
        <w:br w:type="page"/>
      </w:r>
    </w:p>
    <w:p>
      <w:pPr>
        <w:autoSpaceDE w:val="0"/>
        <w:autoSpaceDN w:val="0"/>
        <w:adjustRightInd w:val="0"/>
        <w:spacing w:line="560" w:lineRule="exact"/>
        <w:jc w:val="center"/>
        <w:rPr>
          <w:rFonts w:cs="微软雅黑"/>
          <w:b/>
          <w:kern w:val="0"/>
          <w:sz w:val="36"/>
          <w:szCs w:val="36"/>
        </w:rPr>
      </w:pPr>
      <w:r>
        <w:rPr>
          <w:rFonts w:cs="微软雅黑"/>
          <w:b/>
          <w:kern w:val="0"/>
          <w:sz w:val="36"/>
          <w:szCs w:val="36"/>
        </w:rPr>
        <w:t>一、投标函</w:t>
      </w:r>
    </w:p>
    <w:p>
      <w:pPr>
        <w:snapToGrid w:val="0"/>
        <w:spacing w:line="360" w:lineRule="exact"/>
        <w:rPr>
          <w:rFonts w:cs="宋体"/>
          <w:b/>
          <w:sz w:val="22"/>
        </w:rPr>
      </w:pPr>
      <w:r>
        <w:rPr>
          <w:rFonts w:cs="宋体"/>
          <w:b/>
          <w:sz w:val="22"/>
          <w:u w:val="single"/>
        </w:rPr>
        <w:t xml:space="preserve">                    </w:t>
      </w:r>
      <w:r>
        <w:rPr>
          <w:rFonts w:cs="宋体"/>
          <w:b/>
          <w:sz w:val="22"/>
        </w:rPr>
        <w:t>(招标人)：</w:t>
      </w:r>
    </w:p>
    <w:p>
      <w:pPr>
        <w:snapToGrid w:val="0"/>
        <w:spacing w:line="360" w:lineRule="exact"/>
        <w:ind w:firstLine="440" w:firstLineChars="200"/>
        <w:rPr>
          <w:rFonts w:cs="宋体"/>
          <w:b/>
          <w:sz w:val="22"/>
        </w:rPr>
      </w:pPr>
      <w:r>
        <w:rPr>
          <w:rFonts w:cs="宋体"/>
          <w:sz w:val="22"/>
        </w:rPr>
        <w:t>我方已全面阅读和研究了</w:t>
      </w:r>
      <w:r>
        <w:rPr>
          <w:rFonts w:cs="宋体"/>
          <w:b/>
          <w:bCs/>
          <w:sz w:val="22"/>
          <w:u w:val="single"/>
        </w:rPr>
        <w:t xml:space="preserve">                           </w:t>
      </w:r>
      <w:r>
        <w:rPr>
          <w:rFonts w:cs="宋体"/>
          <w:b/>
          <w:bCs/>
          <w:sz w:val="22"/>
        </w:rPr>
        <w:t>项目</w:t>
      </w:r>
      <w:r>
        <w:rPr>
          <w:rFonts w:cs="宋体"/>
          <w:sz w:val="22"/>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为：人民币(大写)</w:t>
      </w:r>
      <w:r>
        <w:rPr>
          <w:rFonts w:cs="宋体"/>
          <w:sz w:val="22"/>
          <w:u w:val="single"/>
        </w:rPr>
        <w:t xml:space="preserve">       </w:t>
      </w:r>
      <w:r>
        <w:rPr>
          <w:rFonts w:hint="eastAsia" w:cs="宋体"/>
          <w:sz w:val="22"/>
          <w:u w:val="single"/>
        </w:rPr>
        <w:t xml:space="preserve">           </w:t>
      </w:r>
      <w:r>
        <w:rPr>
          <w:rFonts w:cs="宋体"/>
          <w:kern w:val="0"/>
          <w:sz w:val="22"/>
        </w:rPr>
        <w:t>(</w:t>
      </w:r>
      <w:r>
        <w:rPr>
          <w:rFonts w:cs="宋体"/>
          <w:spacing w:val="-61"/>
          <w:kern w:val="0"/>
          <w:sz w:val="22"/>
        </w:rPr>
        <w:t>¥</w:t>
      </w:r>
      <w:r>
        <w:rPr>
          <w:rFonts w:cs="宋体"/>
          <w:spacing w:val="43"/>
          <w:kern w:val="0"/>
          <w:sz w:val="22"/>
          <w:u w:val="single"/>
        </w:rPr>
        <w:t xml:space="preserve">    </w:t>
      </w:r>
      <w:r>
        <w:rPr>
          <w:rFonts w:hint="eastAsia" w:cs="宋体"/>
          <w:spacing w:val="43"/>
          <w:kern w:val="0"/>
          <w:sz w:val="22"/>
          <w:u w:val="single"/>
        </w:rPr>
        <w:t xml:space="preserve">         </w:t>
      </w:r>
      <w:r>
        <w:rPr>
          <w:rFonts w:cs="宋体"/>
          <w:spacing w:val="43"/>
          <w:kern w:val="0"/>
          <w:sz w:val="22"/>
          <w:u w:val="single"/>
        </w:rPr>
        <w:t xml:space="preserve">   </w:t>
      </w:r>
      <w:r>
        <w:rPr>
          <w:rFonts w:cs="宋体"/>
          <w:kern w:val="0"/>
          <w:sz w:val="22"/>
          <w:u w:val="single"/>
        </w:rPr>
        <w:tab/>
      </w:r>
      <w:r>
        <w:rPr>
          <w:rFonts w:cs="宋体"/>
          <w:kern w:val="0"/>
          <w:sz w:val="22"/>
          <w:u w:val="single"/>
        </w:rPr>
        <w:tab/>
      </w:r>
      <w:r>
        <w:rPr>
          <w:rFonts w:cs="宋体"/>
          <w:spacing w:val="-12"/>
          <w:kern w:val="0"/>
          <w:sz w:val="22"/>
        </w:rPr>
        <w:t>)</w:t>
      </w:r>
      <w:r>
        <w:rPr>
          <w:rFonts w:cs="宋体"/>
          <w:kern w:val="0"/>
          <w:sz w:val="22"/>
        </w:rPr>
        <w:t>；</w:t>
      </w:r>
      <w:r>
        <w:rPr>
          <w:rFonts w:cs="宋体"/>
          <w:sz w:val="22"/>
        </w:rPr>
        <w:t>项目负责人为：</w:t>
      </w:r>
      <w:r>
        <w:rPr>
          <w:rFonts w:cs="宋体"/>
          <w:sz w:val="22"/>
          <w:u w:val="single"/>
        </w:rPr>
        <w:t xml:space="preserve">    </w:t>
      </w:r>
      <w:r>
        <w:rPr>
          <w:rFonts w:hint="eastAsia" w:cs="宋体"/>
          <w:sz w:val="22"/>
          <w:u w:val="single"/>
        </w:rPr>
        <w:t xml:space="preserve">      </w:t>
      </w:r>
      <w:r>
        <w:rPr>
          <w:rFonts w:cs="宋体"/>
          <w:sz w:val="22"/>
          <w:u w:val="single"/>
        </w:rPr>
        <w:t xml:space="preserve">        </w:t>
      </w:r>
      <w:r>
        <w:rPr>
          <w:rFonts w:cs="宋体"/>
          <w:sz w:val="22"/>
        </w:rPr>
        <w:t>(身份证号码：</w:t>
      </w:r>
      <w:r>
        <w:rPr>
          <w:rFonts w:cs="宋体"/>
          <w:sz w:val="22"/>
          <w:u w:val="single"/>
        </w:rPr>
        <w:t xml:space="preserve">             </w:t>
      </w:r>
      <w:r>
        <w:rPr>
          <w:rFonts w:hint="eastAsia" w:cs="宋体"/>
          <w:sz w:val="22"/>
        </w:rPr>
        <w:t>，电话号码：</w:t>
      </w:r>
      <w:r>
        <w:rPr>
          <w:rFonts w:hint="eastAsia" w:cs="宋体"/>
          <w:sz w:val="22"/>
          <w:u w:val="single"/>
        </w:rPr>
        <w:t xml:space="preserve">                          </w:t>
      </w:r>
      <w:r>
        <w:rPr>
          <w:rFonts w:cs="宋体"/>
          <w:sz w:val="22"/>
        </w:rPr>
        <w:t>)</w:t>
      </w:r>
      <w:r>
        <w:rPr>
          <w:rFonts w:hint="eastAsia" w:cs="宋体"/>
          <w:sz w:val="22"/>
        </w:rPr>
        <w:t>；</w:t>
      </w:r>
      <w:r>
        <w:rPr>
          <w:rFonts w:cs="宋体"/>
          <w:sz w:val="22"/>
        </w:rPr>
        <w:t>工期</w:t>
      </w:r>
      <w:r>
        <w:rPr>
          <w:rFonts w:cs="宋体"/>
          <w:sz w:val="22"/>
          <w:u w:val="single"/>
        </w:rPr>
        <w:t xml:space="preserve">  </w:t>
      </w:r>
      <w:r>
        <w:rPr>
          <w:rFonts w:hint="eastAsia" w:cs="宋体"/>
          <w:b/>
          <w:sz w:val="22"/>
          <w:u w:val="single"/>
        </w:rPr>
        <w:t xml:space="preserve">                                   </w:t>
      </w:r>
      <w:r>
        <w:rPr>
          <w:rFonts w:hint="eastAsia" w:ascii="宋体" w:hAnsi="宋体"/>
          <w:sz w:val="22"/>
        </w:rPr>
        <w:t>日历天</w:t>
      </w:r>
      <w:r>
        <w:rPr>
          <w:rFonts w:hint="eastAsia" w:cs="宋体"/>
          <w:b/>
          <w:sz w:val="22"/>
        </w:rPr>
        <w:t>；</w:t>
      </w:r>
      <w:r>
        <w:rPr>
          <w:rFonts w:hint="eastAsia" w:ascii="宋体" w:hAnsi="宋体" w:cs="宋体"/>
          <w:sz w:val="22"/>
        </w:rPr>
        <w:t>工程质量达到一次验收合格</w:t>
      </w:r>
      <w:r>
        <w:rPr>
          <w:rFonts w:cs="宋体"/>
          <w:sz w:val="22"/>
        </w:rPr>
        <w:t>。</w:t>
      </w:r>
    </w:p>
    <w:p>
      <w:pPr>
        <w:snapToGrid w:val="0"/>
        <w:spacing w:line="360" w:lineRule="exact"/>
        <w:ind w:firstLine="440" w:firstLineChars="200"/>
        <w:rPr>
          <w:rFonts w:cs="宋体"/>
          <w:b/>
          <w:sz w:val="22"/>
        </w:rPr>
      </w:pPr>
      <w:r>
        <w:rPr>
          <w:rFonts w:ascii="宋体" w:hAnsi="宋体"/>
          <w:sz w:val="22"/>
        </w:rPr>
        <w:t>1</w:t>
      </w:r>
      <w:r>
        <w:rPr>
          <w:rFonts w:hint="eastAsia" w:ascii="宋体" w:hAnsi="宋体"/>
          <w:sz w:val="22"/>
        </w:rPr>
        <w:t>.根据招标人要求，做出如下承诺：</w:t>
      </w:r>
    </w:p>
    <w:p>
      <w:pPr>
        <w:snapToGrid w:val="0"/>
        <w:spacing w:line="360" w:lineRule="exact"/>
        <w:ind w:firstLine="440" w:firstLineChars="200"/>
        <w:rPr>
          <w:rFonts w:ascii="宋体" w:hAnsi="宋体" w:cs="Arial"/>
          <w:b/>
          <w:sz w:val="22"/>
        </w:rPr>
      </w:pPr>
      <w:r>
        <w:rPr>
          <w:rFonts w:ascii="宋体" w:hAnsi="宋体"/>
          <w:sz w:val="22"/>
        </w:rPr>
        <w:t>(1</w:t>
      </w:r>
      <w:r>
        <w:rPr>
          <w:rFonts w:hint="eastAsia" w:ascii="宋体" w:hAnsi="宋体"/>
          <w:sz w:val="22"/>
        </w:rPr>
        <w:t>)</w:t>
      </w:r>
      <w:r>
        <w:rPr>
          <w:rFonts w:hint="eastAsia" w:ascii="宋体" w:hAnsi="宋体" w:cs="Arial"/>
          <w:b/>
          <w:sz w:val="22"/>
        </w:rPr>
        <w:t>本工程计日工单价为：</w:t>
      </w:r>
      <w:r>
        <w:rPr>
          <w:rFonts w:hint="eastAsia" w:ascii="宋体" w:hAnsi="宋体" w:cs="Arial"/>
          <w:b/>
          <w:sz w:val="22"/>
          <w:u w:val="single"/>
        </w:rPr>
        <w:t xml:space="preserve">      </w:t>
      </w:r>
      <w:r>
        <w:rPr>
          <w:rFonts w:hint="eastAsia" w:ascii="宋体" w:hAnsi="宋体" w:cs="Arial"/>
          <w:b/>
          <w:sz w:val="22"/>
        </w:rPr>
        <w:t>元/工日；</w:t>
      </w:r>
    </w:p>
    <w:p>
      <w:pPr>
        <w:snapToGrid w:val="0"/>
        <w:spacing w:line="360" w:lineRule="exact"/>
        <w:ind w:firstLine="440" w:firstLineChars="200"/>
        <w:rPr>
          <w:rFonts w:cs="宋体"/>
          <w:b/>
          <w:sz w:val="22"/>
        </w:rPr>
      </w:pPr>
      <w:r>
        <w:rPr>
          <w:rFonts w:ascii="宋体" w:hAnsi="宋体"/>
          <w:sz w:val="22"/>
        </w:rPr>
        <w:t>(2</w:t>
      </w:r>
      <w:r>
        <w:rPr>
          <w:rFonts w:hint="eastAsia" w:ascii="宋体" w:hAnsi="宋体"/>
          <w:sz w:val="22"/>
        </w:rPr>
        <w:t>)</w:t>
      </w:r>
      <w:r>
        <w:rPr>
          <w:rFonts w:hint="eastAsia" w:ascii="宋体" w:hAnsi="宋体"/>
          <w:b/>
          <w:bCs/>
          <w:sz w:val="22"/>
        </w:rPr>
        <w:t>我方承诺</w:t>
      </w:r>
      <w:r>
        <w:rPr>
          <w:rFonts w:ascii="宋体" w:hAnsi="宋体"/>
          <w:b/>
          <w:bCs/>
          <w:spacing w:val="-1"/>
          <w:sz w:val="22"/>
        </w:rPr>
        <w:t>可提供增值税</w:t>
      </w:r>
      <w:r>
        <w:rPr>
          <w:rFonts w:hint="eastAsia" w:ascii="宋体" w:hAnsi="宋体"/>
          <w:b/>
          <w:bCs/>
          <w:spacing w:val="-1"/>
          <w:sz w:val="22"/>
        </w:rPr>
        <w:t>率为</w:t>
      </w:r>
      <w:r>
        <w:rPr>
          <w:rFonts w:hint="eastAsia" w:ascii="宋体" w:hAnsi="宋体"/>
          <w:b/>
          <w:bCs/>
          <w:spacing w:val="-1"/>
          <w:sz w:val="22"/>
          <w:u w:val="single"/>
        </w:rPr>
        <w:t xml:space="preserve"> </w:t>
      </w:r>
      <w:r>
        <w:rPr>
          <w:rFonts w:ascii="宋体" w:hAnsi="宋体"/>
          <w:b/>
          <w:bCs/>
          <w:spacing w:val="-1"/>
          <w:sz w:val="22"/>
          <w:u w:val="single"/>
        </w:rPr>
        <w:t xml:space="preserve">   </w:t>
      </w:r>
      <w:r>
        <w:rPr>
          <w:rFonts w:ascii="宋体" w:hAnsi="宋体"/>
          <w:b/>
          <w:bCs/>
          <w:spacing w:val="-1"/>
          <w:sz w:val="22"/>
        </w:rPr>
        <w:t>%</w:t>
      </w:r>
      <w:r>
        <w:rPr>
          <w:rFonts w:hint="eastAsia" w:ascii="宋体" w:hAnsi="宋体"/>
          <w:b/>
          <w:bCs/>
          <w:spacing w:val="-1"/>
          <w:sz w:val="22"/>
        </w:rPr>
        <w:t>的增值税</w:t>
      </w:r>
      <w:r>
        <w:rPr>
          <w:rFonts w:ascii="宋体" w:hAnsi="宋体"/>
          <w:b/>
          <w:bCs/>
          <w:spacing w:val="-1"/>
          <w:sz w:val="22"/>
        </w:rPr>
        <w:t>专用发票</w:t>
      </w:r>
      <w:r>
        <w:rPr>
          <w:rFonts w:hint="eastAsia" w:ascii="宋体" w:hAnsi="宋体"/>
          <w:b/>
          <w:bCs/>
          <w:sz w:val="22"/>
        </w:rPr>
        <w:t>；</w:t>
      </w:r>
    </w:p>
    <w:p>
      <w:pPr>
        <w:snapToGrid w:val="0"/>
        <w:spacing w:line="360" w:lineRule="exact"/>
        <w:ind w:firstLine="440" w:firstLineChars="200"/>
        <w:rPr>
          <w:rFonts w:cs="宋体"/>
          <w:b/>
          <w:sz w:val="22"/>
        </w:rPr>
      </w:pPr>
      <w:r>
        <w:rPr>
          <w:rFonts w:ascii="宋体" w:hAnsi="宋体"/>
          <w:sz w:val="22"/>
        </w:rPr>
        <w:t>(</w:t>
      </w:r>
      <w:r>
        <w:rPr>
          <w:rFonts w:hint="eastAsia" w:ascii="宋体" w:hAnsi="宋体"/>
          <w:sz w:val="22"/>
        </w:rPr>
        <w:t>3)如我方中标，在收到中标通知书后，在中标通知书规定的期限内与你方签订合同；</w:t>
      </w:r>
    </w:p>
    <w:p>
      <w:pPr>
        <w:snapToGrid w:val="0"/>
        <w:spacing w:line="360" w:lineRule="exact"/>
        <w:ind w:firstLine="440" w:firstLineChars="200"/>
        <w:rPr>
          <w:kern w:val="0"/>
          <w:sz w:val="22"/>
        </w:rPr>
      </w:pPr>
      <w:r>
        <w:rPr>
          <w:rFonts w:hint="eastAsia" w:ascii="宋体" w:hAnsi="宋体"/>
          <w:sz w:val="22"/>
        </w:rPr>
        <w:t>(4)</w:t>
      </w:r>
      <w:r>
        <w:rPr>
          <w:kern w:val="0"/>
          <w:sz w:val="22"/>
        </w:rPr>
        <w:t>在招投标过程中，廉洁自律并对所获悉的招标人的相关信息予以保密</w:t>
      </w:r>
      <w:r>
        <w:rPr>
          <w:rFonts w:hint="eastAsia"/>
          <w:kern w:val="0"/>
          <w:sz w:val="22"/>
        </w:rPr>
        <w:t>；</w:t>
      </w:r>
    </w:p>
    <w:p>
      <w:pPr>
        <w:snapToGrid w:val="0"/>
        <w:spacing w:line="360" w:lineRule="exact"/>
        <w:ind w:firstLine="440" w:firstLineChars="200"/>
        <w:rPr>
          <w:rFonts w:ascii="宋体" w:hAnsi="宋体" w:cs="宋体"/>
          <w:sz w:val="22"/>
        </w:rPr>
      </w:pPr>
      <w:r>
        <w:rPr>
          <w:rFonts w:hint="eastAsia" w:ascii="宋体" w:hAnsi="宋体"/>
          <w:sz w:val="22"/>
        </w:rPr>
        <w:t>(5)</w:t>
      </w:r>
      <w:r>
        <w:rPr>
          <w:rFonts w:ascii="宋体" w:hAnsi="宋体"/>
          <w:sz w:val="22"/>
        </w:rPr>
        <w:t>我方承诺</w:t>
      </w:r>
      <w:r>
        <w:rPr>
          <w:rFonts w:hint="eastAsia" w:ascii="宋体" w:hAnsi="宋体"/>
          <w:sz w:val="22"/>
        </w:rPr>
        <w:t>所递交的投标文件及有关资料内容完整、真实和准确。</w:t>
      </w:r>
    </w:p>
    <w:p>
      <w:pPr>
        <w:snapToGrid w:val="0"/>
        <w:spacing w:line="360" w:lineRule="exact"/>
        <w:ind w:firstLine="440"/>
        <w:rPr>
          <w:rFonts w:cs="宋体"/>
          <w:b/>
          <w:sz w:val="22"/>
        </w:rPr>
      </w:pPr>
      <w:r>
        <w:rPr>
          <w:kern w:val="0"/>
          <w:sz w:val="22"/>
        </w:rPr>
        <w:t>以上承诺如有虚假给招标人造成损失的，愿意依法承担</w:t>
      </w:r>
      <w:r>
        <w:rPr>
          <w:rFonts w:hint="eastAsia"/>
          <w:kern w:val="0"/>
          <w:sz w:val="22"/>
        </w:rPr>
        <w:t>全部</w:t>
      </w:r>
      <w:r>
        <w:rPr>
          <w:kern w:val="0"/>
          <w:sz w:val="22"/>
        </w:rPr>
        <w:t>责任。如已中标，同意招标人取消我公司中标资格的处理。</w:t>
      </w:r>
    </w:p>
    <w:p>
      <w:pPr>
        <w:snapToGrid w:val="0"/>
        <w:spacing w:line="360" w:lineRule="exact"/>
        <w:ind w:firstLine="440" w:firstLineChars="200"/>
        <w:rPr>
          <w:rFonts w:cs="宋体"/>
          <w:sz w:val="22"/>
        </w:rPr>
      </w:pPr>
      <w:r>
        <w:rPr>
          <w:rFonts w:hint="eastAsia" w:ascii="宋体" w:hAnsi="宋体"/>
          <w:sz w:val="22"/>
        </w:rPr>
        <w:t>2.我方已详细审查招标文件包括澄清函和修改文件</w:t>
      </w:r>
      <w:r>
        <w:rPr>
          <w:rFonts w:ascii="宋体" w:hAnsi="宋体"/>
          <w:sz w:val="22"/>
        </w:rPr>
        <w:t>(若有)、所有</w:t>
      </w:r>
      <w:r>
        <w:rPr>
          <w:rFonts w:hint="eastAsia" w:ascii="宋体" w:hAnsi="宋体"/>
          <w:sz w:val="22"/>
        </w:rPr>
        <w:t>已</w:t>
      </w:r>
      <w:r>
        <w:rPr>
          <w:rFonts w:ascii="宋体" w:hAnsi="宋体"/>
          <w:sz w:val="22"/>
        </w:rPr>
        <w:t>提供的资料以及有关附件，我</w:t>
      </w:r>
      <w:r>
        <w:rPr>
          <w:rFonts w:hint="eastAsia" w:ascii="宋体" w:hAnsi="宋体"/>
          <w:sz w:val="22"/>
        </w:rPr>
        <w:t>方</w:t>
      </w:r>
      <w:r>
        <w:rPr>
          <w:rFonts w:ascii="宋体" w:hAnsi="宋体"/>
          <w:sz w:val="22"/>
        </w:rPr>
        <w:t>已完全理解上述文件的全部内容</w:t>
      </w:r>
      <w:r>
        <w:rPr>
          <w:rFonts w:hint="eastAsia" w:ascii="宋体" w:hAnsi="宋体"/>
          <w:sz w:val="22"/>
        </w:rPr>
        <w:t>且无异议</w:t>
      </w:r>
      <w:r>
        <w:rPr>
          <w:rFonts w:ascii="宋体" w:hAnsi="宋体"/>
          <w:sz w:val="22"/>
        </w:rPr>
        <w:t>，并放弃提出任何误解或不明作为抗辩的权利。</w:t>
      </w:r>
    </w:p>
    <w:p>
      <w:pPr>
        <w:snapToGrid w:val="0"/>
        <w:spacing w:line="360" w:lineRule="exact"/>
        <w:ind w:firstLine="440" w:firstLineChars="200"/>
        <w:rPr>
          <w:rFonts w:cs="宋体"/>
          <w:sz w:val="22"/>
        </w:rPr>
      </w:pPr>
      <w:r>
        <w:rPr>
          <w:rFonts w:hint="eastAsia" w:ascii="宋体" w:hAnsi="宋体"/>
          <w:sz w:val="22"/>
        </w:rPr>
        <w:t>3.我方同意按照你方可能提出的要求，提供有关的任何其它数字或资料，并对你方可能不接受最低报价及任何报价表示理解。</w:t>
      </w:r>
    </w:p>
    <w:p>
      <w:pPr>
        <w:snapToGrid w:val="0"/>
        <w:spacing w:line="360" w:lineRule="exact"/>
        <w:ind w:firstLine="440" w:firstLineChars="200"/>
        <w:rPr>
          <w:rFonts w:cs="宋体"/>
          <w:sz w:val="22"/>
        </w:rPr>
      </w:pPr>
      <w:r>
        <w:rPr>
          <w:rFonts w:hint="eastAsia" w:ascii="宋体" w:hAnsi="宋体"/>
          <w:sz w:val="22"/>
        </w:rPr>
        <w:t>4.在合同协议书正式签署生效之前，本投标函连同你方的中标通知书将构成我们双方之间共同遵守的文件，对双方具有约束力。</w:t>
      </w:r>
    </w:p>
    <w:p>
      <w:pPr>
        <w:snapToGrid w:val="0"/>
        <w:spacing w:line="360" w:lineRule="exact"/>
        <w:ind w:firstLine="440" w:firstLineChars="200"/>
        <w:rPr>
          <w:rFonts w:cs="宋体"/>
          <w:sz w:val="22"/>
        </w:rPr>
      </w:pPr>
      <w:r>
        <w:rPr>
          <w:rFonts w:hint="eastAsia" w:ascii="宋体" w:hAnsi="宋体"/>
          <w:sz w:val="22"/>
        </w:rPr>
        <w:t>5.(其他补充说明)</w:t>
      </w:r>
      <w:r>
        <w:rPr>
          <w:rFonts w:ascii="宋体" w:hAnsi="宋体"/>
          <w:sz w:val="22"/>
          <w:u w:val="single"/>
        </w:rPr>
        <w:t xml:space="preserve">                                              </w:t>
      </w:r>
      <w:r>
        <w:rPr>
          <w:rFonts w:hint="eastAsia" w:ascii="宋体" w:hAnsi="宋体"/>
          <w:sz w:val="22"/>
        </w:rPr>
        <w:t>。</w:t>
      </w:r>
    </w:p>
    <w:p>
      <w:pPr>
        <w:snapToGrid w:val="0"/>
        <w:spacing w:line="360" w:lineRule="exact"/>
        <w:ind w:firstLine="3968" w:firstLineChars="1804"/>
        <w:jc w:val="left"/>
        <w:rPr>
          <w:rFonts w:cs="宋体"/>
          <w:sz w:val="22"/>
        </w:rPr>
      </w:pPr>
    </w:p>
    <w:p>
      <w:pPr>
        <w:snapToGrid w:val="0"/>
        <w:spacing w:line="360" w:lineRule="exact"/>
        <w:ind w:firstLine="3968" w:firstLineChars="1804"/>
        <w:jc w:val="left"/>
        <w:rPr>
          <w:rFonts w:cs="宋体"/>
          <w:sz w:val="22"/>
        </w:rPr>
      </w:pPr>
    </w:p>
    <w:p>
      <w:pPr>
        <w:snapToGrid w:val="0"/>
        <w:spacing w:line="360" w:lineRule="exact"/>
        <w:ind w:firstLine="3968" w:firstLineChars="1804"/>
        <w:jc w:val="left"/>
        <w:rPr>
          <w:rFonts w:cs="宋体"/>
          <w:sz w:val="22"/>
        </w:rPr>
      </w:pPr>
      <w:r>
        <w:rPr>
          <w:rFonts w:cs="宋体"/>
          <w:sz w:val="22"/>
        </w:rPr>
        <w:t>投标人：</w:t>
      </w:r>
      <w:r>
        <w:rPr>
          <w:rFonts w:cs="宋体"/>
          <w:sz w:val="22"/>
          <w:u w:val="single"/>
        </w:rPr>
        <w:t xml:space="preserve">                </w:t>
      </w:r>
      <w:r>
        <w:rPr>
          <w:rFonts w:cs="宋体"/>
          <w:sz w:val="22"/>
        </w:rPr>
        <w:t>(盖章)</w:t>
      </w:r>
    </w:p>
    <w:p>
      <w:pPr>
        <w:snapToGrid w:val="0"/>
        <w:spacing w:line="360" w:lineRule="exact"/>
        <w:ind w:firstLine="3968" w:firstLineChars="1804"/>
        <w:jc w:val="left"/>
        <w:rPr>
          <w:rFonts w:cs="宋体"/>
          <w:sz w:val="22"/>
          <w:u w:val="single"/>
        </w:rPr>
      </w:pPr>
      <w:r>
        <w:rPr>
          <w:rFonts w:cs="宋体"/>
          <w:sz w:val="22"/>
        </w:rPr>
        <w:t>法定代表或委托代理人：</w:t>
      </w:r>
      <w:r>
        <w:rPr>
          <w:rFonts w:cs="宋体"/>
          <w:sz w:val="22"/>
          <w:u w:val="single"/>
        </w:rPr>
        <w:t xml:space="preserve">         </w:t>
      </w:r>
      <w:r>
        <w:rPr>
          <w:rFonts w:cs="宋体"/>
          <w:sz w:val="22"/>
        </w:rPr>
        <w:t>(签字或盖章)</w:t>
      </w:r>
    </w:p>
    <w:p>
      <w:pPr>
        <w:snapToGrid w:val="0"/>
        <w:spacing w:line="360" w:lineRule="exact"/>
        <w:ind w:firstLine="3968" w:firstLineChars="1804"/>
        <w:jc w:val="left"/>
        <w:rPr>
          <w:rFonts w:cs="宋体"/>
          <w:sz w:val="22"/>
          <w:u w:val="single"/>
        </w:rPr>
      </w:pPr>
      <w:r>
        <w:rPr>
          <w:rFonts w:cs="宋体"/>
          <w:sz w:val="22"/>
        </w:rPr>
        <w:t>联系人：</w:t>
      </w:r>
      <w:r>
        <w:rPr>
          <w:rFonts w:cs="宋体"/>
          <w:sz w:val="22"/>
          <w:u w:val="single"/>
        </w:rPr>
        <w:t xml:space="preserve">                    </w:t>
      </w:r>
    </w:p>
    <w:p>
      <w:pPr>
        <w:snapToGrid w:val="0"/>
        <w:spacing w:line="360" w:lineRule="exact"/>
        <w:ind w:firstLine="3968" w:firstLineChars="1804"/>
        <w:jc w:val="left"/>
        <w:rPr>
          <w:rFonts w:cs="宋体"/>
          <w:sz w:val="22"/>
          <w:u w:val="single"/>
        </w:rPr>
      </w:pPr>
      <w:r>
        <w:rPr>
          <w:rFonts w:cs="宋体"/>
          <w:sz w:val="22"/>
        </w:rPr>
        <w:t>联系地址：</w:t>
      </w:r>
      <w:r>
        <w:rPr>
          <w:rFonts w:cs="宋体"/>
          <w:sz w:val="22"/>
          <w:u w:val="single"/>
        </w:rPr>
        <w:t xml:space="preserve">                    </w:t>
      </w:r>
    </w:p>
    <w:p>
      <w:pPr>
        <w:snapToGrid w:val="0"/>
        <w:spacing w:line="360" w:lineRule="exact"/>
        <w:ind w:firstLine="3968" w:firstLineChars="1804"/>
        <w:jc w:val="left"/>
        <w:rPr>
          <w:rFonts w:cs="宋体"/>
          <w:sz w:val="22"/>
          <w:u w:val="single"/>
        </w:rPr>
      </w:pPr>
      <w:r>
        <w:rPr>
          <w:rFonts w:cs="宋体"/>
          <w:sz w:val="22"/>
        </w:rPr>
        <w:t>电话：</w:t>
      </w:r>
      <w:r>
        <w:rPr>
          <w:rFonts w:cs="宋体"/>
          <w:sz w:val="22"/>
          <w:u w:val="single"/>
        </w:rPr>
        <w:t xml:space="preserve">                    </w:t>
      </w:r>
    </w:p>
    <w:p>
      <w:pPr>
        <w:snapToGrid w:val="0"/>
        <w:spacing w:line="360" w:lineRule="exact"/>
        <w:ind w:firstLine="3968" w:firstLineChars="1804"/>
        <w:jc w:val="left"/>
        <w:rPr>
          <w:rFonts w:cs="宋体"/>
          <w:sz w:val="22"/>
          <w:u w:val="single"/>
        </w:rPr>
      </w:pPr>
      <w:r>
        <w:rPr>
          <w:rFonts w:cs="宋体"/>
          <w:sz w:val="22"/>
        </w:rPr>
        <w:t>邮编：</w:t>
      </w:r>
      <w:r>
        <w:rPr>
          <w:rFonts w:cs="宋体"/>
          <w:sz w:val="22"/>
          <w:u w:val="single"/>
        </w:rPr>
        <w:t xml:space="preserve">                    </w:t>
      </w:r>
    </w:p>
    <w:p>
      <w:pPr>
        <w:snapToGrid w:val="0"/>
        <w:spacing w:line="360" w:lineRule="exact"/>
        <w:ind w:firstLine="3968" w:firstLineChars="1804"/>
        <w:jc w:val="left"/>
        <w:rPr>
          <w:rFonts w:cs="宋体"/>
          <w:sz w:val="22"/>
        </w:rPr>
      </w:pPr>
      <w:r>
        <w:rPr>
          <w:rFonts w:cs="宋体"/>
          <w:sz w:val="22"/>
          <w:u w:val="single"/>
        </w:rPr>
        <w:t xml:space="preserve">       </w:t>
      </w:r>
      <w:r>
        <w:rPr>
          <w:rFonts w:cs="宋体"/>
          <w:sz w:val="22"/>
        </w:rPr>
        <w:t xml:space="preserve">年 </w:t>
      </w:r>
      <w:r>
        <w:rPr>
          <w:rFonts w:cs="宋体"/>
          <w:sz w:val="22"/>
          <w:u w:val="single"/>
        </w:rPr>
        <w:t xml:space="preserve">       </w:t>
      </w:r>
      <w:r>
        <w:rPr>
          <w:rFonts w:cs="宋体"/>
          <w:sz w:val="22"/>
        </w:rPr>
        <w:t xml:space="preserve"> 月</w:t>
      </w:r>
      <w:r>
        <w:rPr>
          <w:rFonts w:cs="宋体"/>
          <w:sz w:val="22"/>
          <w:u w:val="single"/>
        </w:rPr>
        <w:t xml:space="preserve">      </w:t>
      </w:r>
      <w:r>
        <w:rPr>
          <w:rFonts w:cs="宋体"/>
          <w:sz w:val="22"/>
        </w:rPr>
        <w:t>日</w:t>
      </w:r>
    </w:p>
    <w:p>
      <w:pPr>
        <w:widowControl/>
        <w:spacing w:line="360" w:lineRule="exact"/>
        <w:jc w:val="left"/>
        <w:rPr>
          <w:rFonts w:cs="微软雅黑"/>
          <w:b/>
          <w:kern w:val="0"/>
          <w:sz w:val="36"/>
          <w:szCs w:val="36"/>
        </w:rPr>
      </w:pPr>
      <w:r>
        <w:rPr>
          <w:rFonts w:cs="微软雅黑"/>
          <w:b/>
          <w:kern w:val="0"/>
          <w:sz w:val="36"/>
          <w:szCs w:val="36"/>
        </w:rPr>
        <w:br w:type="page"/>
      </w:r>
    </w:p>
    <w:p>
      <w:pPr>
        <w:autoSpaceDE w:val="0"/>
        <w:autoSpaceDN w:val="0"/>
        <w:adjustRightInd w:val="0"/>
        <w:spacing w:line="560" w:lineRule="exact"/>
        <w:jc w:val="center"/>
        <w:rPr>
          <w:rFonts w:cs="微软雅黑"/>
          <w:b/>
          <w:kern w:val="0"/>
          <w:sz w:val="36"/>
          <w:szCs w:val="36"/>
        </w:rPr>
      </w:pPr>
      <w:r>
        <w:rPr>
          <w:rFonts w:ascii="宋体" w:hAnsi="宋体" w:cs="微软雅黑"/>
          <w:b/>
          <w:kern w:val="0"/>
          <w:sz w:val="36"/>
          <w:szCs w:val="36"/>
        </w:rPr>
        <w:t>二</w:t>
      </w:r>
      <w:r>
        <w:rPr>
          <w:rFonts w:hint="eastAsia" w:ascii="宋体" w:hAnsi="宋体" w:cs="微软雅黑"/>
          <w:b/>
          <w:kern w:val="0"/>
          <w:sz w:val="36"/>
          <w:szCs w:val="36"/>
        </w:rPr>
        <w:t>-1</w:t>
      </w:r>
      <w:r>
        <w:rPr>
          <w:rFonts w:cs="微软雅黑"/>
          <w:b/>
          <w:kern w:val="0"/>
          <w:sz w:val="36"/>
          <w:szCs w:val="36"/>
        </w:rPr>
        <w:t>、法定代表人身份证明</w:t>
      </w:r>
    </w:p>
    <w:p>
      <w:pPr>
        <w:autoSpaceDE w:val="0"/>
        <w:autoSpaceDN w:val="0"/>
        <w:adjustRightInd w:val="0"/>
        <w:spacing w:line="360" w:lineRule="exact"/>
        <w:jc w:val="left"/>
        <w:rPr>
          <w:rFonts w:cs="微软雅黑"/>
          <w:kern w:val="0"/>
          <w:sz w:val="20"/>
          <w:szCs w:val="20"/>
        </w:rPr>
      </w:pPr>
    </w:p>
    <w:p>
      <w:pPr>
        <w:spacing w:line="360" w:lineRule="exact"/>
        <w:rPr>
          <w:rFonts w:cs="Calibri"/>
          <w:szCs w:val="21"/>
          <w:u w:val="single"/>
        </w:rPr>
      </w:pPr>
      <w:r>
        <w:rPr>
          <w:rFonts w:cs="Calibri"/>
          <w:szCs w:val="21"/>
        </w:rPr>
        <w:t>投标人名称：</w:t>
      </w:r>
      <w:r>
        <w:rPr>
          <w:rFonts w:cs="Calibri"/>
          <w:szCs w:val="21"/>
          <w:u w:val="single"/>
        </w:rPr>
        <w:t xml:space="preserve">                                  </w:t>
      </w:r>
    </w:p>
    <w:p>
      <w:pPr>
        <w:spacing w:line="360" w:lineRule="exact"/>
        <w:rPr>
          <w:rFonts w:cs="Calibri"/>
          <w:szCs w:val="21"/>
          <w:u w:val="single"/>
        </w:rPr>
      </w:pPr>
      <w:r>
        <w:rPr>
          <w:rFonts w:cs="Calibri"/>
          <w:szCs w:val="21"/>
        </w:rPr>
        <w:t>单位性质：</w:t>
      </w:r>
      <w:r>
        <w:rPr>
          <w:rFonts w:cs="Calibri"/>
          <w:szCs w:val="21"/>
          <w:u w:val="single"/>
        </w:rPr>
        <w:t xml:space="preserve">                                    </w:t>
      </w:r>
    </w:p>
    <w:p>
      <w:pPr>
        <w:spacing w:line="360" w:lineRule="exact"/>
        <w:rPr>
          <w:rFonts w:cs="Calibri"/>
          <w:szCs w:val="21"/>
          <w:u w:val="single"/>
        </w:rPr>
      </w:pPr>
      <w:r>
        <w:rPr>
          <w:rFonts w:cs="Calibri"/>
          <w:szCs w:val="21"/>
        </w:rPr>
        <w:t>地址：</w:t>
      </w:r>
      <w:r>
        <w:rPr>
          <w:rFonts w:cs="Calibri"/>
          <w:szCs w:val="21"/>
          <w:u w:val="single"/>
        </w:rPr>
        <w:t xml:space="preserve">                                        </w:t>
      </w:r>
    </w:p>
    <w:p>
      <w:pPr>
        <w:spacing w:line="360" w:lineRule="exact"/>
        <w:rPr>
          <w:rFonts w:cs="Calibri"/>
          <w:szCs w:val="21"/>
          <w:u w:val="single"/>
        </w:rPr>
      </w:pPr>
      <w:r>
        <w:rPr>
          <w:rFonts w:cs="Calibri"/>
          <w:szCs w:val="21"/>
        </w:rPr>
        <w:t>成立时间：</w:t>
      </w:r>
      <w:r>
        <w:rPr>
          <w:rFonts w:cs="Calibri"/>
          <w:szCs w:val="21"/>
          <w:u w:val="single"/>
        </w:rPr>
        <w:t xml:space="preserve">          </w:t>
      </w:r>
      <w:r>
        <w:rPr>
          <w:rFonts w:cs="Calibri"/>
          <w:szCs w:val="21"/>
        </w:rPr>
        <w:t>年</w:t>
      </w:r>
      <w:r>
        <w:rPr>
          <w:rFonts w:cs="Calibri"/>
          <w:szCs w:val="21"/>
          <w:u w:val="single"/>
        </w:rPr>
        <w:t xml:space="preserve">           </w:t>
      </w:r>
      <w:r>
        <w:rPr>
          <w:rFonts w:cs="Calibri"/>
          <w:szCs w:val="21"/>
        </w:rPr>
        <w:t>月</w:t>
      </w:r>
      <w:r>
        <w:rPr>
          <w:rFonts w:cs="Calibri"/>
          <w:szCs w:val="21"/>
          <w:u w:val="single"/>
        </w:rPr>
        <w:t xml:space="preserve">           </w:t>
      </w:r>
      <w:r>
        <w:rPr>
          <w:rFonts w:cs="Calibri"/>
          <w:szCs w:val="21"/>
        </w:rPr>
        <w:t>日</w:t>
      </w:r>
    </w:p>
    <w:p>
      <w:pPr>
        <w:spacing w:line="360" w:lineRule="exact"/>
        <w:rPr>
          <w:rFonts w:cs="Calibri"/>
          <w:szCs w:val="21"/>
          <w:u w:val="single"/>
        </w:rPr>
      </w:pPr>
      <w:r>
        <w:rPr>
          <w:rFonts w:cs="Calibri"/>
          <w:szCs w:val="21"/>
        </w:rPr>
        <w:t>经营期限：</w:t>
      </w:r>
      <w:r>
        <w:rPr>
          <w:rFonts w:cs="Calibri"/>
          <w:szCs w:val="21"/>
          <w:u w:val="single"/>
        </w:rPr>
        <w:t xml:space="preserve">                                     </w:t>
      </w:r>
    </w:p>
    <w:p>
      <w:pPr>
        <w:spacing w:line="360" w:lineRule="exact"/>
        <w:rPr>
          <w:rFonts w:cs="Calibri"/>
          <w:szCs w:val="21"/>
          <w:u w:val="single"/>
        </w:rPr>
      </w:pPr>
      <w:r>
        <w:rPr>
          <w:rFonts w:cs="Calibri"/>
          <w:szCs w:val="21"/>
        </w:rPr>
        <w:t>姓名：</w:t>
      </w:r>
      <w:r>
        <w:rPr>
          <w:rFonts w:cs="Calibri"/>
          <w:szCs w:val="21"/>
          <w:u w:val="single"/>
        </w:rPr>
        <w:t xml:space="preserve">         </w:t>
      </w:r>
      <w:r>
        <w:rPr>
          <w:rFonts w:cs="Calibri"/>
          <w:szCs w:val="21"/>
        </w:rPr>
        <w:t xml:space="preserve">  性别：</w:t>
      </w:r>
      <w:r>
        <w:rPr>
          <w:rFonts w:cs="Calibri"/>
          <w:szCs w:val="21"/>
          <w:u w:val="single"/>
        </w:rPr>
        <w:t xml:space="preserve">         </w:t>
      </w:r>
      <w:r>
        <w:rPr>
          <w:rFonts w:cs="Calibri"/>
          <w:szCs w:val="21"/>
        </w:rPr>
        <w:t xml:space="preserve">  年龄：</w:t>
      </w:r>
      <w:r>
        <w:rPr>
          <w:rFonts w:cs="Calibri"/>
          <w:szCs w:val="21"/>
          <w:u w:val="single"/>
        </w:rPr>
        <w:t xml:space="preserve">         </w:t>
      </w:r>
      <w:r>
        <w:rPr>
          <w:rFonts w:cs="Calibri"/>
          <w:szCs w:val="21"/>
        </w:rPr>
        <w:t xml:space="preserve">  职务：</w:t>
      </w:r>
      <w:r>
        <w:rPr>
          <w:rFonts w:cs="Calibri"/>
          <w:szCs w:val="21"/>
          <w:u w:val="single"/>
        </w:rPr>
        <w:t xml:space="preserve">         </w:t>
      </w:r>
      <w:r>
        <w:rPr>
          <w:rFonts w:cs="Calibri"/>
          <w:szCs w:val="21"/>
        </w:rPr>
        <w:t xml:space="preserve">  </w:t>
      </w:r>
    </w:p>
    <w:p>
      <w:pPr>
        <w:spacing w:line="360" w:lineRule="exact"/>
        <w:rPr>
          <w:rFonts w:cs="Calibri"/>
          <w:szCs w:val="21"/>
          <w:u w:val="single"/>
        </w:rPr>
      </w:pPr>
      <w:r>
        <w:rPr>
          <w:rFonts w:cs="Calibri"/>
          <w:szCs w:val="21"/>
        </w:rPr>
        <w:t>身份证号码：</w:t>
      </w:r>
      <w:r>
        <w:rPr>
          <w:rFonts w:cs="Calibri"/>
          <w:szCs w:val="21"/>
          <w:u w:val="single"/>
        </w:rPr>
        <w:t xml:space="preserve">                           </w:t>
      </w:r>
    </w:p>
    <w:p>
      <w:pPr>
        <w:spacing w:line="360" w:lineRule="exact"/>
        <w:ind w:firstLine="560"/>
        <w:rPr>
          <w:rFonts w:cs="Calibri"/>
          <w:szCs w:val="21"/>
        </w:rPr>
      </w:pPr>
    </w:p>
    <w:p>
      <w:pPr>
        <w:spacing w:line="360" w:lineRule="exact"/>
        <w:rPr>
          <w:rFonts w:cs="Calibri"/>
          <w:szCs w:val="21"/>
        </w:rPr>
      </w:pPr>
      <w:r>
        <w:rPr>
          <w:rFonts w:cs="Calibri"/>
          <w:szCs w:val="21"/>
        </w:rPr>
        <w:t xml:space="preserve">    系</w:t>
      </w:r>
      <w:r>
        <w:rPr>
          <w:rFonts w:cs="Calibri"/>
          <w:szCs w:val="21"/>
          <w:u w:val="single"/>
        </w:rPr>
        <w:t xml:space="preserve">                          </w:t>
      </w:r>
      <w:r>
        <w:rPr>
          <w:rFonts w:cs="Calibri"/>
          <w:szCs w:val="21"/>
        </w:rPr>
        <w:t>(投标人名称)的法定代表人。</w:t>
      </w:r>
    </w:p>
    <w:p>
      <w:pPr>
        <w:spacing w:line="360" w:lineRule="exact"/>
        <w:ind w:firstLine="560"/>
        <w:rPr>
          <w:rFonts w:cs="Calibri"/>
          <w:szCs w:val="21"/>
        </w:rPr>
      </w:pPr>
    </w:p>
    <w:p>
      <w:pPr>
        <w:spacing w:line="360" w:lineRule="exact"/>
        <w:rPr>
          <w:rFonts w:cs="Calibri"/>
          <w:szCs w:val="21"/>
        </w:rPr>
      </w:pPr>
      <w:r>
        <w:rPr>
          <w:rFonts w:cs="Calibri"/>
          <w:szCs w:val="21"/>
        </w:rPr>
        <w:t>特此证明。</w:t>
      </w:r>
    </w:p>
    <w:p>
      <w:pPr>
        <w:spacing w:line="360" w:lineRule="exact"/>
        <w:rPr>
          <w:rFonts w:cs="Calibri"/>
          <w:szCs w:val="21"/>
        </w:rPr>
      </w:pPr>
      <w:r>
        <w:rPr>
          <w:rFonts w:cs="Calibri"/>
          <w:szCs w:val="21"/>
        </w:rPr>
        <w:t xml:space="preserve">投标人：(盖单位章) </w:t>
      </w:r>
    </w:p>
    <w:p>
      <w:pPr>
        <w:spacing w:line="360" w:lineRule="exact"/>
        <w:ind w:firstLine="6240" w:firstLineChars="2960"/>
        <w:rPr>
          <w:rFonts w:cs="Calibri"/>
          <w:b/>
          <w:szCs w:val="21"/>
        </w:rPr>
      </w:pPr>
      <w:r>
        <w:rPr>
          <w:rFonts w:cs="Calibri"/>
          <w:b/>
          <w:szCs w:val="21"/>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396240</wp:posOffset>
                </wp:positionV>
                <wp:extent cx="5372100" cy="2179320"/>
                <wp:effectExtent l="5080" t="4445" r="13970" b="6985"/>
                <wp:wrapSquare wrapText="bothSides"/>
                <wp:docPr id="5" name="文本框 3"/>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wps:txbx>
                      <wps:bodyPr rot="0" vert="horz" wrap="square" lIns="91440" tIns="45720" rIns="91440" bIns="45720" anchor="t" anchorCtr="0" upright="1">
                        <a:noAutofit/>
                      </wps:bodyPr>
                    </wps:wsp>
                  </a:graphicData>
                </a:graphic>
              </wp:anchor>
            </w:drawing>
          </mc:Choice>
          <mc:Fallback>
            <w:pict>
              <v:shape id="文本框 3" o:spid="_x0000_s1026" o:spt="202" type="#_x0000_t202" style="position:absolute;left:0pt;margin-left:0pt;margin-top:31.2pt;height:171.6pt;width:423pt;mso-wrap-distance-bottom:0pt;mso-wrap-distance-left:9pt;mso-wrap-distance-right:9pt;mso-wrap-distance-top:0pt;z-index:251657216;mso-width-relative:page;mso-height-relative:page;" fillcolor="#FFFFFF" filled="t" stroked="t" coordsize="21600,21600" o:gfxdata="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BqfK7TXAAAABwEAAA8AAAAAAAAAAQAgAAAAIgAAAGRycy9kb3ducmV2LnhtbFBLAQIU&#10;ABQAAAAIAIdO4kB4wumPLQIAAEgEAAAOAAAAAAAAAAEAIAAAACYBAABkcnMvZTJvRG9jLnhtbFBL&#10;BQYAAAAABgAGAFkBAADF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v:textbox>
                <w10:wrap type="square"/>
              </v:shape>
            </w:pict>
          </mc:Fallback>
        </mc:AlternateContent>
      </w:r>
      <w:r>
        <w:rPr>
          <w:rFonts w:cs="Calibri"/>
          <w:szCs w:val="21"/>
        </w:rPr>
        <w:t>日期：   年    月    日</w:t>
      </w:r>
    </w:p>
    <w:p>
      <w:pPr>
        <w:autoSpaceDE w:val="0"/>
        <w:autoSpaceDN w:val="0"/>
        <w:adjustRightInd w:val="0"/>
        <w:spacing w:line="360" w:lineRule="exact"/>
        <w:jc w:val="center"/>
        <w:rPr>
          <w:rFonts w:cs="微软雅黑"/>
          <w:b/>
          <w:kern w:val="0"/>
          <w:sz w:val="36"/>
          <w:szCs w:val="36"/>
        </w:rPr>
      </w:pPr>
      <w:r>
        <w:rPr>
          <w:rFonts w:cs="Calibri"/>
          <w:szCs w:val="21"/>
        </w:rPr>
        <w:br w:type="page"/>
      </w:r>
      <w:r>
        <w:rPr>
          <w:rFonts w:hint="eastAsia" w:ascii="宋体" w:hAnsi="宋体" w:cs="微软雅黑"/>
          <w:b/>
          <w:kern w:val="0"/>
          <w:sz w:val="36"/>
          <w:szCs w:val="36"/>
        </w:rPr>
        <w:t>二-2</w:t>
      </w:r>
      <w:r>
        <w:rPr>
          <w:rFonts w:cs="微软雅黑"/>
          <w:b/>
          <w:kern w:val="0"/>
          <w:sz w:val="36"/>
          <w:szCs w:val="36"/>
        </w:rPr>
        <w:t>、法定代表人授权委托书</w:t>
      </w:r>
    </w:p>
    <w:p>
      <w:pPr>
        <w:autoSpaceDE w:val="0"/>
        <w:autoSpaceDN w:val="0"/>
        <w:adjustRightInd w:val="0"/>
        <w:spacing w:line="360" w:lineRule="exact"/>
        <w:ind w:firstLine="480" w:firstLineChars="200"/>
        <w:jc w:val="left"/>
        <w:rPr>
          <w:rFonts w:cs="微软雅黑"/>
          <w:kern w:val="0"/>
          <w:sz w:val="24"/>
          <w:szCs w:val="24"/>
        </w:rPr>
      </w:pPr>
    </w:p>
    <w:p>
      <w:pPr>
        <w:spacing w:line="360" w:lineRule="exact"/>
        <w:ind w:firstLine="420" w:firstLineChars="200"/>
        <w:rPr>
          <w:rFonts w:cs="Calibri"/>
          <w:szCs w:val="21"/>
        </w:rPr>
      </w:pPr>
      <w:r>
        <w:rPr>
          <w:rFonts w:cs="Calibri"/>
          <w:szCs w:val="21"/>
        </w:rPr>
        <w:t>本人</w:t>
      </w:r>
      <w:r>
        <w:rPr>
          <w:rFonts w:cs="Calibri"/>
          <w:szCs w:val="21"/>
          <w:u w:val="single"/>
        </w:rPr>
        <w:t xml:space="preserve">        </w:t>
      </w:r>
      <w:r>
        <w:rPr>
          <w:rFonts w:cs="Calibri"/>
          <w:szCs w:val="21"/>
        </w:rPr>
        <w:t>(姓名)系</w:t>
      </w:r>
      <w:r>
        <w:rPr>
          <w:rFonts w:cs="Calibri"/>
          <w:szCs w:val="21"/>
          <w:u w:val="single"/>
        </w:rPr>
        <w:t xml:space="preserve">                </w:t>
      </w:r>
      <w:r>
        <w:rPr>
          <w:rFonts w:cs="Calibri"/>
          <w:szCs w:val="21"/>
        </w:rPr>
        <w:t>(投标人名称)的法定代表人，现委托</w:t>
      </w:r>
      <w:r>
        <w:rPr>
          <w:rFonts w:cs="Calibri"/>
          <w:szCs w:val="21"/>
          <w:u w:val="single"/>
        </w:rPr>
        <w:t xml:space="preserve">      </w:t>
      </w:r>
      <w:r>
        <w:rPr>
          <w:rFonts w:cs="Calibri"/>
          <w:szCs w:val="21"/>
        </w:rPr>
        <w:t>(姓名)为我方代理人。代理人根据授权，以我方名义签署、澄清、说明、补正、递交、撤回、修改</w:t>
      </w:r>
      <w:r>
        <w:rPr>
          <w:rFonts w:cs="Calibri"/>
          <w:szCs w:val="21"/>
          <w:u w:val="single"/>
        </w:rPr>
        <w:t xml:space="preserve">              </w:t>
      </w:r>
      <w:r>
        <w:rPr>
          <w:rFonts w:cs="Calibri"/>
          <w:szCs w:val="21"/>
        </w:rPr>
        <w:t>(项目名称)投标文件、签订合同和处理有关事宜，其法律后果由我方承担。</w:t>
      </w:r>
    </w:p>
    <w:p>
      <w:pPr>
        <w:spacing w:line="360" w:lineRule="exact"/>
        <w:ind w:firstLine="420" w:firstLineChars="200"/>
        <w:rPr>
          <w:rFonts w:cs="Calibri"/>
          <w:szCs w:val="21"/>
        </w:rPr>
      </w:pPr>
      <w:r>
        <w:rPr>
          <w:rFonts w:cs="Calibri"/>
          <w:szCs w:val="21"/>
        </w:rPr>
        <w:t>代理人无转委托权。</w:t>
      </w:r>
    </w:p>
    <w:p>
      <w:pPr>
        <w:spacing w:line="360" w:lineRule="exact"/>
        <w:ind w:firstLine="420" w:firstLineChars="200"/>
        <w:rPr>
          <w:rFonts w:cs="Calibri"/>
          <w:szCs w:val="21"/>
        </w:rPr>
      </w:pPr>
      <w:r>
        <w:rPr>
          <w:rFonts w:cs="Calibri"/>
          <w:szCs w:val="21"/>
        </w:rPr>
        <w:t>附：委托代理人身份证复制件。</w:t>
      </w:r>
    </w:p>
    <w:p>
      <w:pPr>
        <w:spacing w:line="360" w:lineRule="exact"/>
        <w:rPr>
          <w:rFonts w:cs="Calibri"/>
          <w:szCs w:val="21"/>
        </w:rPr>
      </w:pPr>
    </w:p>
    <w:p>
      <w:pPr>
        <w:spacing w:line="360" w:lineRule="exact"/>
        <w:rPr>
          <w:rFonts w:cs="Calibri"/>
          <w:szCs w:val="21"/>
        </w:rPr>
      </w:pPr>
      <w:r>
        <w:rPr>
          <w:rFonts w:cs="Calibri"/>
          <w:szCs w:val="21"/>
        </w:rPr>
        <w:t>投标人：(盖单位章)</w:t>
      </w:r>
    </w:p>
    <w:p>
      <w:pPr>
        <w:spacing w:line="360" w:lineRule="exact"/>
        <w:rPr>
          <w:rFonts w:cs="Calibri"/>
          <w:szCs w:val="21"/>
        </w:rPr>
      </w:pPr>
      <w:r>
        <w:rPr>
          <w:rFonts w:cs="Calibri"/>
          <w:szCs w:val="21"/>
        </w:rPr>
        <w:t>法定代表人：(签字或盖章)</w:t>
      </w:r>
    </w:p>
    <w:p>
      <w:pPr>
        <w:spacing w:line="360" w:lineRule="exact"/>
        <w:rPr>
          <w:rFonts w:cs="Calibri"/>
          <w:szCs w:val="21"/>
        </w:rPr>
      </w:pPr>
      <w:r>
        <w:rPr>
          <w:rFonts w:cs="Calibri"/>
          <w:szCs w:val="21"/>
        </w:rPr>
        <w:t>身份证号码：</w:t>
      </w:r>
    </w:p>
    <w:p>
      <w:pPr>
        <w:spacing w:line="360" w:lineRule="exact"/>
        <w:rPr>
          <w:rFonts w:cs="Calibri"/>
          <w:szCs w:val="21"/>
        </w:rPr>
      </w:pPr>
    </w:p>
    <w:p>
      <w:pPr>
        <w:tabs>
          <w:tab w:val="left" w:pos="6818"/>
        </w:tabs>
        <w:spacing w:line="360" w:lineRule="exact"/>
        <w:rPr>
          <w:rFonts w:cs="Calibri"/>
          <w:szCs w:val="21"/>
        </w:rPr>
      </w:pPr>
      <w:r>
        <w:rPr>
          <w:rFonts w:cs="Calibri"/>
          <w:szCs w:val="21"/>
        </w:rPr>
        <w:t>委托的代理人：(签字或盖章)</w:t>
      </w:r>
      <w:r>
        <w:rPr>
          <w:rFonts w:cs="Calibri"/>
          <w:szCs w:val="21"/>
        </w:rPr>
        <w:tab/>
      </w:r>
    </w:p>
    <w:p>
      <w:pPr>
        <w:spacing w:line="360" w:lineRule="exact"/>
        <w:rPr>
          <w:rFonts w:cs="Calibri"/>
          <w:szCs w:val="21"/>
        </w:rPr>
      </w:pPr>
      <w:r>
        <w:rPr>
          <w:rFonts w:cs="Calibri"/>
          <w:szCs w:val="21"/>
        </w:rPr>
        <w:t>身份证号码：</w:t>
      </w:r>
    </w:p>
    <w:p>
      <w:pPr>
        <w:spacing w:line="360" w:lineRule="exact"/>
        <w:rPr>
          <w:rFonts w:cs="Calibri"/>
          <w:szCs w:val="21"/>
        </w:rPr>
      </w:pPr>
      <w:r>
        <w:rPr>
          <w:rFonts w:hint="eastAsia" w:cs="Calibri"/>
          <w:szCs w:val="21"/>
        </w:rPr>
        <w:t>手机号码：</w:t>
      </w:r>
    </w:p>
    <w:p>
      <w:pPr>
        <w:spacing w:line="360" w:lineRule="exact"/>
        <w:rPr>
          <w:rFonts w:cs="Calibri"/>
          <w:szCs w:val="21"/>
        </w:rPr>
      </w:pPr>
      <w:r>
        <w:rPr>
          <w:rFonts w:hint="eastAsia" w:cs="Calibri"/>
          <w:szCs w:val="21"/>
        </w:rPr>
        <w:t>电子邮箱：</w:t>
      </w:r>
    </w:p>
    <w:p>
      <w:pPr>
        <w:spacing w:line="360" w:lineRule="exact"/>
        <w:ind w:firstLine="4515" w:firstLineChars="2150"/>
        <w:rPr>
          <w:rFonts w:cs="Calibri"/>
          <w:szCs w:val="21"/>
        </w:rPr>
      </w:pPr>
      <w:r>
        <w:rPr>
          <w:rFonts w:cs="Calibri"/>
          <w:szCs w:val="21"/>
        </w:rPr>
        <w:t>日期：</w:t>
      </w:r>
      <w:r>
        <w:rPr>
          <w:rFonts w:cs="Calibri"/>
          <w:szCs w:val="21"/>
          <w:u w:val="single"/>
        </w:rPr>
        <w:t xml:space="preserve">      </w:t>
      </w:r>
      <w:r>
        <w:rPr>
          <w:rFonts w:cs="Calibri"/>
          <w:szCs w:val="21"/>
        </w:rPr>
        <w:t>年</w:t>
      </w:r>
      <w:r>
        <w:rPr>
          <w:rFonts w:cs="Calibri"/>
          <w:szCs w:val="21"/>
          <w:u w:val="single"/>
        </w:rPr>
        <w:t xml:space="preserve">      </w:t>
      </w:r>
      <w:r>
        <w:rPr>
          <w:rFonts w:cs="Calibri"/>
          <w:szCs w:val="21"/>
        </w:rPr>
        <w:t>月</w:t>
      </w:r>
      <w:r>
        <w:rPr>
          <w:rFonts w:cs="Calibri"/>
          <w:szCs w:val="21"/>
          <w:u w:val="single"/>
        </w:rPr>
        <w:t xml:space="preserve">      </w:t>
      </w:r>
      <w:r>
        <w:rPr>
          <w:rFonts w:cs="Calibri"/>
          <w:szCs w:val="21"/>
        </w:rPr>
        <w:t>日</w:t>
      </w:r>
    </w:p>
    <w:p>
      <w:pPr>
        <w:snapToGrid w:val="0"/>
        <w:spacing w:line="360" w:lineRule="exact"/>
        <w:rPr>
          <w:rFonts w:cs="Calibri"/>
          <w:szCs w:val="21"/>
        </w:rPr>
      </w:pPr>
      <w:r>
        <w:rPr>
          <w:rFonts w:cs="Calibri"/>
          <w:b/>
          <w:szCs w:val="21"/>
        </w:rPr>
        <mc:AlternateContent>
          <mc:Choice Requires="wps">
            <w:drawing>
              <wp:anchor distT="0" distB="0" distL="114300" distR="114300" simplePos="0" relativeHeight="251658240"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6" name="文本框 5"/>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文本框 5" o:spid="_x0000_s1026" o:spt="202" type="#_x0000_t202" style="position:absolute;left:0pt;margin-left:9.15pt;margin-top:20.8pt;height:171.6pt;width:423pt;mso-wrap-distance-bottom:0pt;mso-wrap-distance-left:9pt;mso-wrap-distance-right:9pt;mso-wrap-distance-top:0pt;z-index:251658240;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OpPesHXAAAACQEAAA8AAAAAAAAAAQAgAAAAIgAAAGRycy9kb3ducmV2LnhtbFBLAQIU&#10;ABQAAAAIAIdO4kDo3+NlLQIAAEgEAAAOAAAAAAAAAAEAIAAAACYBAABkcnMvZTJvRG9jLnhtbFBL&#10;BQYAAAAABgAGAFkBAADF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v:textbox>
                <w10:wrap type="square"/>
              </v:shape>
            </w:pict>
          </mc:Fallback>
        </mc:AlternateContent>
      </w:r>
      <w:r>
        <w:rPr>
          <w:rFonts w:cs="Calibri"/>
          <w:szCs w:val="21"/>
        </w:rPr>
        <w:t xml:space="preserve">                                  </w:t>
      </w:r>
    </w:p>
    <w:p>
      <w:pPr>
        <w:spacing w:line="360" w:lineRule="exact"/>
        <w:rPr>
          <w:rFonts w:cs="Calibri"/>
          <w:b/>
          <w:bCs/>
          <w:szCs w:val="21"/>
        </w:rPr>
      </w:pPr>
      <w:r>
        <w:rPr>
          <w:rFonts w:cs="Calibri"/>
          <w:b/>
          <w:bCs/>
          <w:szCs w:val="21"/>
        </w:rPr>
        <w:t xml:space="preserve">  </w:t>
      </w:r>
    </w:p>
    <w:p>
      <w:pPr>
        <w:spacing w:line="360" w:lineRule="exact"/>
        <w:rPr>
          <w:rFonts w:cs="Calibri"/>
          <w:b/>
          <w:bCs/>
          <w:szCs w:val="21"/>
        </w:rPr>
      </w:pPr>
    </w:p>
    <w:p>
      <w:pPr>
        <w:spacing w:line="360" w:lineRule="exact"/>
        <w:rPr>
          <w:rFonts w:cs="Calibri"/>
          <w:szCs w:val="21"/>
        </w:rPr>
      </w:pPr>
    </w:p>
    <w:p>
      <w:pPr>
        <w:spacing w:line="360" w:lineRule="exact"/>
        <w:rPr>
          <w:rFonts w:cs="Calibri"/>
          <w:szCs w:val="21"/>
        </w:rPr>
      </w:pPr>
    </w:p>
    <w:p>
      <w:pPr>
        <w:spacing w:line="360" w:lineRule="exact"/>
        <w:rPr>
          <w:rFonts w:cs="Calibri"/>
          <w:szCs w:val="21"/>
        </w:rPr>
      </w:pPr>
    </w:p>
    <w:p>
      <w:pPr>
        <w:spacing w:line="360" w:lineRule="exact"/>
        <w:rPr>
          <w:rFonts w:cs="Calibri"/>
          <w:szCs w:val="21"/>
        </w:rPr>
      </w:pPr>
    </w:p>
    <w:p>
      <w:pPr>
        <w:spacing w:line="360" w:lineRule="exact"/>
        <w:rPr>
          <w:rFonts w:cs="Calibri"/>
          <w:szCs w:val="21"/>
        </w:rPr>
      </w:pPr>
    </w:p>
    <w:p>
      <w:pPr>
        <w:spacing w:line="560" w:lineRule="exact"/>
        <w:rPr>
          <w:rFonts w:cs="Calibri"/>
          <w:szCs w:val="21"/>
        </w:rPr>
      </w:pPr>
    </w:p>
    <w:p>
      <w:pPr>
        <w:spacing w:line="560" w:lineRule="exact"/>
        <w:rPr>
          <w:rFonts w:cs="Calibri"/>
          <w:szCs w:val="21"/>
        </w:rPr>
      </w:pPr>
    </w:p>
    <w:p>
      <w:pPr>
        <w:tabs>
          <w:tab w:val="left" w:pos="2420"/>
          <w:tab w:val="left" w:pos="5580"/>
        </w:tabs>
        <w:autoSpaceDE w:val="0"/>
        <w:autoSpaceDN w:val="0"/>
        <w:adjustRightInd w:val="0"/>
        <w:spacing w:line="360" w:lineRule="exact"/>
        <w:ind w:right="-23" w:firstLine="420" w:firstLineChars="200"/>
        <w:jc w:val="left"/>
        <w:rPr>
          <w:rFonts w:cs="微软雅黑"/>
          <w:kern w:val="0"/>
          <w:sz w:val="24"/>
          <w:szCs w:val="24"/>
        </w:rPr>
      </w:pPr>
      <w:r>
        <w:rPr>
          <w:rFonts w:cs="Calibri"/>
          <w:szCs w:val="21"/>
        </w:rPr>
        <w:t>注：如投标文件由委托代理人签字或盖章的，投标文件必须附此授权委托书。</w:t>
      </w:r>
      <w:r>
        <w:rPr>
          <w:rFonts w:cs="Calibri"/>
          <w:b/>
          <w:bCs/>
          <w:szCs w:val="21"/>
        </w:rPr>
        <w:t xml:space="preserve">    </w:t>
      </w:r>
    </w:p>
    <w:p>
      <w:pPr>
        <w:tabs>
          <w:tab w:val="left" w:pos="6640"/>
          <w:tab w:val="left" w:pos="7580"/>
          <w:tab w:val="left" w:pos="8520"/>
        </w:tabs>
        <w:autoSpaceDE w:val="0"/>
        <w:autoSpaceDN w:val="0"/>
        <w:adjustRightInd w:val="0"/>
        <w:spacing w:line="560" w:lineRule="exact"/>
        <w:ind w:left="5907" w:right="-20" w:firstLine="480" w:firstLineChars="200"/>
        <w:jc w:val="left"/>
        <w:rPr>
          <w:rFonts w:cs="微软雅黑"/>
          <w:kern w:val="0"/>
          <w:sz w:val="24"/>
          <w:szCs w:val="21"/>
        </w:rPr>
        <w:sectPr>
          <w:pgSz w:w="11907" w:h="16840"/>
          <w:pgMar w:top="1134" w:right="1134" w:bottom="1134" w:left="1134" w:header="567" w:footer="567" w:gutter="0"/>
          <w:pgNumType w:fmt="decimal"/>
          <w:cols w:space="720" w:num="1"/>
        </w:sectPr>
      </w:pPr>
    </w:p>
    <w:p>
      <w:pPr>
        <w:spacing w:line="560" w:lineRule="exact"/>
        <w:jc w:val="center"/>
        <w:rPr>
          <w:rFonts w:cs="微软雅黑"/>
          <w:b/>
          <w:kern w:val="0"/>
          <w:sz w:val="36"/>
          <w:szCs w:val="36"/>
        </w:rPr>
      </w:pPr>
      <w:r>
        <w:rPr>
          <w:rFonts w:hint="eastAsia" w:cs="微软雅黑"/>
          <w:b/>
          <w:kern w:val="0"/>
          <w:sz w:val="36"/>
          <w:szCs w:val="36"/>
        </w:rPr>
        <w:t>三、已标价工程量清单</w:t>
      </w:r>
    </w:p>
    <w:p>
      <w:pPr>
        <w:autoSpaceDE w:val="0"/>
        <w:autoSpaceDN w:val="0"/>
        <w:adjustRightInd w:val="0"/>
        <w:snapToGrid w:val="0"/>
        <w:spacing w:line="560" w:lineRule="exact"/>
        <w:ind w:firstLine="420" w:firstLineChars="200"/>
        <w:rPr>
          <w:rFonts w:ascii="宋体" w:hAnsi="宋体" w:cs="Arial"/>
          <w:kern w:val="0"/>
          <w:szCs w:val="21"/>
        </w:rPr>
      </w:pPr>
    </w:p>
    <w:p>
      <w:pPr>
        <w:keepNext w:val="0"/>
        <w:keepLines w:val="0"/>
        <w:pageBreakBefore/>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cs="微软雅黑"/>
          <w:b/>
          <w:kern w:val="0"/>
          <w:sz w:val="36"/>
          <w:szCs w:val="36"/>
        </w:rPr>
      </w:pPr>
      <w:bookmarkStart w:id="29" w:name="_Hlk54024727"/>
      <w:r>
        <w:rPr>
          <w:rFonts w:hint="eastAsia" w:cs="微软雅黑"/>
          <w:b/>
          <w:kern w:val="0"/>
          <w:sz w:val="36"/>
          <w:szCs w:val="36"/>
        </w:rPr>
        <w:t>四、施工组织设计</w:t>
      </w:r>
    </w:p>
    <w:p>
      <w:pPr>
        <w:spacing w:line="360" w:lineRule="auto"/>
        <w:ind w:firstLine="420" w:firstLineChars="200"/>
        <w:rPr>
          <w:rFonts w:ascii="宋体" w:hAnsi="宋体"/>
          <w:szCs w:val="21"/>
        </w:rPr>
      </w:pPr>
      <w:r>
        <w:rPr>
          <w:rFonts w:hint="eastAsia" w:ascii="宋体" w:hAnsi="宋体"/>
          <w:szCs w:val="21"/>
        </w:rPr>
        <w:t>1．投标人编制施工组织设计的要求：编制时应采用文字并结合图表形式说明施工方法；拟投入本标段的主要施工设备情况、拟配备本标段的试验和检测仪器设备情况、劳动力计划等；结合工程特点提出切实可行的工程质量、安全生产、文明施工、工程进度、技术组织措施，同时应对关键工序、复杂环节重点提出相应技术措施，如不停运施工、冬雨季施工技术、减少噪音、降低环境污染、地下管线及其他地上地下设施的保护加固措施等。</w:t>
      </w:r>
    </w:p>
    <w:p>
      <w:pPr>
        <w:spacing w:line="360" w:lineRule="auto"/>
        <w:ind w:firstLine="420" w:firstLineChars="200"/>
        <w:rPr>
          <w:rFonts w:ascii="宋体" w:hAnsi="宋体"/>
          <w:szCs w:val="21"/>
        </w:rPr>
      </w:pPr>
      <w:r>
        <w:rPr>
          <w:rFonts w:hint="eastAsia" w:ascii="宋体" w:hAnsi="宋体"/>
          <w:szCs w:val="21"/>
        </w:rPr>
        <w:t>2．施工组织设计除采用文字表述外可附下列图表，图表及格式要求附后。</w:t>
      </w:r>
    </w:p>
    <w:p>
      <w:pPr>
        <w:spacing w:line="360" w:lineRule="auto"/>
        <w:ind w:firstLine="420" w:firstLineChars="200"/>
        <w:rPr>
          <w:rFonts w:ascii="宋体" w:hAnsi="宋体"/>
          <w:szCs w:val="21"/>
        </w:rPr>
      </w:pPr>
      <w:r>
        <w:rPr>
          <w:rFonts w:hint="eastAsia" w:ascii="宋体" w:hAnsi="宋体"/>
          <w:szCs w:val="21"/>
        </w:rPr>
        <w:t>附表一  拟投入本标段的主要施工设备表</w:t>
      </w:r>
    </w:p>
    <w:p>
      <w:pPr>
        <w:spacing w:line="360" w:lineRule="auto"/>
        <w:ind w:firstLine="420" w:firstLineChars="200"/>
        <w:rPr>
          <w:rFonts w:ascii="宋体" w:hAnsi="宋体"/>
          <w:szCs w:val="21"/>
        </w:rPr>
      </w:pPr>
      <w:r>
        <w:rPr>
          <w:rFonts w:hint="eastAsia" w:ascii="宋体" w:hAnsi="宋体"/>
          <w:szCs w:val="21"/>
        </w:rPr>
        <w:t>附表二  拟配备本标段的试验和检测仪器设备表</w:t>
      </w:r>
    </w:p>
    <w:p>
      <w:pPr>
        <w:spacing w:line="360" w:lineRule="auto"/>
        <w:ind w:firstLine="420" w:firstLineChars="200"/>
        <w:rPr>
          <w:rFonts w:ascii="宋体" w:hAnsi="宋体"/>
          <w:szCs w:val="21"/>
        </w:rPr>
      </w:pPr>
      <w:r>
        <w:rPr>
          <w:rFonts w:hint="eastAsia" w:ascii="宋体" w:hAnsi="宋体"/>
          <w:szCs w:val="21"/>
        </w:rPr>
        <w:t>附表三  劳动力计划表</w:t>
      </w:r>
    </w:p>
    <w:p>
      <w:pPr>
        <w:spacing w:line="360" w:lineRule="auto"/>
        <w:ind w:firstLine="420" w:firstLineChars="200"/>
        <w:rPr>
          <w:rFonts w:hint="eastAsia" w:ascii="宋体" w:hAnsi="宋体"/>
          <w:szCs w:val="21"/>
        </w:rPr>
      </w:pPr>
      <w:r>
        <w:rPr>
          <w:rFonts w:hint="eastAsia" w:ascii="宋体" w:hAnsi="宋体"/>
          <w:szCs w:val="21"/>
        </w:rPr>
        <w:t>附表四  计划开、竣工日期和施工进度网络图</w:t>
      </w:r>
    </w:p>
    <w:p>
      <w:pPr>
        <w:keepNext w:val="0"/>
        <w:keepLines w:val="0"/>
        <w:pageBreakBefore/>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ascii="黑体" w:eastAsia="黑体" w:cs="黑体"/>
          <w:kern w:val="0"/>
          <w:sz w:val="23"/>
          <w:szCs w:val="23"/>
        </w:rPr>
      </w:pPr>
      <w:r>
        <w:rPr>
          <w:rFonts w:hint="eastAsia" w:ascii="黑体" w:eastAsia="黑体" w:cs="黑体"/>
          <w:kern w:val="0"/>
          <w:sz w:val="23"/>
          <w:szCs w:val="23"/>
        </w:rPr>
        <w:t>附表一：拟投入本工程的主要施工设备表</w:t>
      </w:r>
    </w:p>
    <w:tbl>
      <w:tblPr>
        <w:tblStyle w:val="14"/>
        <w:tblW w:w="98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0"/>
        <w:gridCol w:w="972"/>
        <w:gridCol w:w="972"/>
        <w:gridCol w:w="973"/>
        <w:gridCol w:w="973"/>
        <w:gridCol w:w="974"/>
        <w:gridCol w:w="1046"/>
        <w:gridCol w:w="969"/>
        <w:gridCol w:w="1037"/>
        <w:gridCol w:w="9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70"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序号</w:t>
            </w:r>
          </w:p>
        </w:tc>
        <w:tc>
          <w:tcPr>
            <w:tcW w:w="972"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设备名称</w:t>
            </w:r>
          </w:p>
        </w:tc>
        <w:tc>
          <w:tcPr>
            <w:tcW w:w="972"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型号规格</w:t>
            </w:r>
          </w:p>
        </w:tc>
        <w:tc>
          <w:tcPr>
            <w:tcW w:w="973"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数量</w:t>
            </w:r>
          </w:p>
        </w:tc>
        <w:tc>
          <w:tcPr>
            <w:tcW w:w="973"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国别产地</w:t>
            </w:r>
          </w:p>
        </w:tc>
        <w:tc>
          <w:tcPr>
            <w:tcW w:w="974"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制造年份</w:t>
            </w:r>
          </w:p>
        </w:tc>
        <w:tc>
          <w:tcPr>
            <w:tcW w:w="1046"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额定功率(</w:t>
            </w:r>
            <w:r>
              <w:rPr>
                <w:rFonts w:ascii="宋体" w:hAnsi="宋体" w:cs="TimesNewRomanPSMT"/>
                <w:kern w:val="0"/>
                <w:sz w:val="20"/>
              </w:rPr>
              <w:t>KW</w:t>
            </w:r>
            <w:r>
              <w:rPr>
                <w:rFonts w:hint="eastAsia" w:ascii="宋体" w:hAnsi="宋体" w:cs="宋体"/>
                <w:kern w:val="0"/>
                <w:sz w:val="20"/>
              </w:rPr>
              <w:t>)</w:t>
            </w:r>
          </w:p>
        </w:tc>
        <w:tc>
          <w:tcPr>
            <w:tcW w:w="969"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生产能力</w:t>
            </w:r>
          </w:p>
        </w:tc>
        <w:tc>
          <w:tcPr>
            <w:tcW w:w="1037"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用于施工部位</w:t>
            </w:r>
          </w:p>
        </w:tc>
        <w:tc>
          <w:tcPr>
            <w:tcW w:w="969"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70" w:type="dxa"/>
            <w:vAlign w:val="center"/>
          </w:tcPr>
          <w:p>
            <w:pPr>
              <w:jc w:val="center"/>
              <w:rPr>
                <w:rFonts w:ascii="宋体" w:hAnsi="宋体"/>
                <w:szCs w:val="21"/>
              </w:rPr>
            </w:pPr>
          </w:p>
        </w:tc>
        <w:tc>
          <w:tcPr>
            <w:tcW w:w="972" w:type="dxa"/>
            <w:vAlign w:val="center"/>
          </w:tcPr>
          <w:p>
            <w:pPr>
              <w:jc w:val="center"/>
              <w:rPr>
                <w:rFonts w:ascii="宋体" w:hAnsi="宋体"/>
                <w:szCs w:val="21"/>
              </w:rPr>
            </w:pPr>
          </w:p>
        </w:tc>
        <w:tc>
          <w:tcPr>
            <w:tcW w:w="972" w:type="dxa"/>
            <w:vAlign w:val="center"/>
          </w:tcPr>
          <w:p>
            <w:pPr>
              <w:jc w:val="center"/>
              <w:rPr>
                <w:rFonts w:ascii="宋体" w:hAnsi="宋体"/>
                <w:szCs w:val="21"/>
              </w:rPr>
            </w:pPr>
          </w:p>
        </w:tc>
        <w:tc>
          <w:tcPr>
            <w:tcW w:w="973" w:type="dxa"/>
            <w:vAlign w:val="center"/>
          </w:tcPr>
          <w:p>
            <w:pPr>
              <w:jc w:val="center"/>
              <w:rPr>
                <w:rFonts w:ascii="宋体" w:hAnsi="宋体"/>
                <w:szCs w:val="21"/>
              </w:rPr>
            </w:pPr>
          </w:p>
        </w:tc>
        <w:tc>
          <w:tcPr>
            <w:tcW w:w="973" w:type="dxa"/>
            <w:vAlign w:val="center"/>
          </w:tcPr>
          <w:p>
            <w:pPr>
              <w:jc w:val="center"/>
              <w:rPr>
                <w:rFonts w:ascii="宋体" w:hAnsi="宋体"/>
                <w:szCs w:val="21"/>
              </w:rPr>
            </w:pPr>
          </w:p>
        </w:tc>
        <w:tc>
          <w:tcPr>
            <w:tcW w:w="974" w:type="dxa"/>
            <w:vAlign w:val="center"/>
          </w:tcPr>
          <w:p>
            <w:pPr>
              <w:jc w:val="center"/>
              <w:rPr>
                <w:rFonts w:ascii="宋体" w:hAnsi="宋体"/>
                <w:szCs w:val="21"/>
              </w:rPr>
            </w:pPr>
          </w:p>
        </w:tc>
        <w:tc>
          <w:tcPr>
            <w:tcW w:w="1046" w:type="dxa"/>
            <w:vAlign w:val="center"/>
          </w:tcPr>
          <w:p>
            <w:pPr>
              <w:jc w:val="center"/>
              <w:rPr>
                <w:rFonts w:ascii="宋体" w:hAnsi="宋体"/>
                <w:szCs w:val="21"/>
              </w:rPr>
            </w:pPr>
          </w:p>
        </w:tc>
        <w:tc>
          <w:tcPr>
            <w:tcW w:w="969" w:type="dxa"/>
            <w:vAlign w:val="center"/>
          </w:tcPr>
          <w:p>
            <w:pPr>
              <w:jc w:val="center"/>
              <w:rPr>
                <w:rFonts w:ascii="宋体" w:hAnsi="宋体"/>
                <w:szCs w:val="21"/>
              </w:rPr>
            </w:pPr>
          </w:p>
        </w:tc>
        <w:tc>
          <w:tcPr>
            <w:tcW w:w="1037" w:type="dxa"/>
            <w:vAlign w:val="center"/>
          </w:tcPr>
          <w:p>
            <w:pPr>
              <w:jc w:val="center"/>
              <w:rPr>
                <w:rFonts w:ascii="宋体" w:hAnsi="宋体"/>
                <w:szCs w:val="21"/>
              </w:rPr>
            </w:pPr>
          </w:p>
        </w:tc>
        <w:tc>
          <w:tcPr>
            <w:tcW w:w="969"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70" w:type="dxa"/>
            <w:vAlign w:val="center"/>
          </w:tcPr>
          <w:p>
            <w:pPr>
              <w:jc w:val="center"/>
              <w:rPr>
                <w:rFonts w:ascii="宋体" w:hAnsi="宋体"/>
                <w:szCs w:val="21"/>
              </w:rPr>
            </w:pPr>
          </w:p>
        </w:tc>
        <w:tc>
          <w:tcPr>
            <w:tcW w:w="972" w:type="dxa"/>
            <w:vAlign w:val="center"/>
          </w:tcPr>
          <w:p>
            <w:pPr>
              <w:jc w:val="center"/>
              <w:rPr>
                <w:rFonts w:ascii="宋体" w:hAnsi="宋体"/>
                <w:szCs w:val="21"/>
              </w:rPr>
            </w:pPr>
          </w:p>
        </w:tc>
        <w:tc>
          <w:tcPr>
            <w:tcW w:w="972" w:type="dxa"/>
            <w:vAlign w:val="center"/>
          </w:tcPr>
          <w:p>
            <w:pPr>
              <w:jc w:val="center"/>
              <w:rPr>
                <w:rFonts w:ascii="宋体" w:hAnsi="宋体"/>
                <w:szCs w:val="21"/>
              </w:rPr>
            </w:pPr>
          </w:p>
        </w:tc>
        <w:tc>
          <w:tcPr>
            <w:tcW w:w="973" w:type="dxa"/>
            <w:vAlign w:val="center"/>
          </w:tcPr>
          <w:p>
            <w:pPr>
              <w:jc w:val="center"/>
              <w:rPr>
                <w:rFonts w:ascii="宋体" w:hAnsi="宋体"/>
                <w:szCs w:val="21"/>
              </w:rPr>
            </w:pPr>
          </w:p>
        </w:tc>
        <w:tc>
          <w:tcPr>
            <w:tcW w:w="973" w:type="dxa"/>
            <w:vAlign w:val="center"/>
          </w:tcPr>
          <w:p>
            <w:pPr>
              <w:jc w:val="center"/>
              <w:rPr>
                <w:rFonts w:ascii="宋体" w:hAnsi="宋体"/>
                <w:szCs w:val="21"/>
              </w:rPr>
            </w:pPr>
          </w:p>
        </w:tc>
        <w:tc>
          <w:tcPr>
            <w:tcW w:w="974" w:type="dxa"/>
            <w:vAlign w:val="center"/>
          </w:tcPr>
          <w:p>
            <w:pPr>
              <w:jc w:val="center"/>
              <w:rPr>
                <w:rFonts w:ascii="宋体" w:hAnsi="宋体"/>
                <w:szCs w:val="21"/>
              </w:rPr>
            </w:pPr>
          </w:p>
        </w:tc>
        <w:tc>
          <w:tcPr>
            <w:tcW w:w="1046" w:type="dxa"/>
            <w:vAlign w:val="center"/>
          </w:tcPr>
          <w:p>
            <w:pPr>
              <w:jc w:val="center"/>
              <w:rPr>
                <w:rFonts w:ascii="宋体" w:hAnsi="宋体"/>
                <w:szCs w:val="21"/>
              </w:rPr>
            </w:pPr>
          </w:p>
        </w:tc>
        <w:tc>
          <w:tcPr>
            <w:tcW w:w="969" w:type="dxa"/>
            <w:vAlign w:val="center"/>
          </w:tcPr>
          <w:p>
            <w:pPr>
              <w:jc w:val="center"/>
              <w:rPr>
                <w:rFonts w:ascii="宋体" w:hAnsi="宋体"/>
                <w:szCs w:val="21"/>
              </w:rPr>
            </w:pPr>
          </w:p>
        </w:tc>
        <w:tc>
          <w:tcPr>
            <w:tcW w:w="1037" w:type="dxa"/>
            <w:vAlign w:val="center"/>
          </w:tcPr>
          <w:p>
            <w:pPr>
              <w:jc w:val="center"/>
              <w:rPr>
                <w:rFonts w:ascii="宋体" w:hAnsi="宋体"/>
                <w:szCs w:val="21"/>
              </w:rPr>
            </w:pPr>
          </w:p>
        </w:tc>
        <w:tc>
          <w:tcPr>
            <w:tcW w:w="969"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70" w:type="dxa"/>
            <w:vAlign w:val="center"/>
          </w:tcPr>
          <w:p>
            <w:pPr>
              <w:jc w:val="center"/>
              <w:rPr>
                <w:rFonts w:ascii="宋体" w:hAnsi="宋体"/>
                <w:szCs w:val="21"/>
              </w:rPr>
            </w:pPr>
          </w:p>
        </w:tc>
        <w:tc>
          <w:tcPr>
            <w:tcW w:w="972" w:type="dxa"/>
            <w:vAlign w:val="center"/>
          </w:tcPr>
          <w:p>
            <w:pPr>
              <w:jc w:val="center"/>
              <w:rPr>
                <w:rFonts w:ascii="宋体" w:hAnsi="宋体"/>
                <w:szCs w:val="21"/>
              </w:rPr>
            </w:pPr>
          </w:p>
        </w:tc>
        <w:tc>
          <w:tcPr>
            <w:tcW w:w="972" w:type="dxa"/>
            <w:vAlign w:val="center"/>
          </w:tcPr>
          <w:p>
            <w:pPr>
              <w:jc w:val="center"/>
              <w:rPr>
                <w:rFonts w:ascii="宋体" w:hAnsi="宋体"/>
                <w:szCs w:val="21"/>
              </w:rPr>
            </w:pPr>
          </w:p>
        </w:tc>
        <w:tc>
          <w:tcPr>
            <w:tcW w:w="973" w:type="dxa"/>
            <w:vAlign w:val="center"/>
          </w:tcPr>
          <w:p>
            <w:pPr>
              <w:jc w:val="center"/>
              <w:rPr>
                <w:rFonts w:ascii="宋体" w:hAnsi="宋体"/>
                <w:szCs w:val="21"/>
              </w:rPr>
            </w:pPr>
          </w:p>
        </w:tc>
        <w:tc>
          <w:tcPr>
            <w:tcW w:w="973" w:type="dxa"/>
            <w:vAlign w:val="center"/>
          </w:tcPr>
          <w:p>
            <w:pPr>
              <w:jc w:val="center"/>
              <w:rPr>
                <w:rFonts w:ascii="宋体" w:hAnsi="宋体"/>
                <w:szCs w:val="21"/>
              </w:rPr>
            </w:pPr>
          </w:p>
        </w:tc>
        <w:tc>
          <w:tcPr>
            <w:tcW w:w="974" w:type="dxa"/>
            <w:vAlign w:val="center"/>
          </w:tcPr>
          <w:p>
            <w:pPr>
              <w:jc w:val="center"/>
              <w:rPr>
                <w:rFonts w:ascii="宋体" w:hAnsi="宋体"/>
                <w:szCs w:val="21"/>
              </w:rPr>
            </w:pPr>
          </w:p>
        </w:tc>
        <w:tc>
          <w:tcPr>
            <w:tcW w:w="1046" w:type="dxa"/>
            <w:vAlign w:val="center"/>
          </w:tcPr>
          <w:p>
            <w:pPr>
              <w:jc w:val="center"/>
              <w:rPr>
                <w:rFonts w:ascii="宋体" w:hAnsi="宋体"/>
                <w:szCs w:val="21"/>
              </w:rPr>
            </w:pPr>
          </w:p>
        </w:tc>
        <w:tc>
          <w:tcPr>
            <w:tcW w:w="969" w:type="dxa"/>
            <w:vAlign w:val="center"/>
          </w:tcPr>
          <w:p>
            <w:pPr>
              <w:jc w:val="center"/>
              <w:rPr>
                <w:rFonts w:ascii="宋体" w:hAnsi="宋体"/>
                <w:szCs w:val="21"/>
              </w:rPr>
            </w:pPr>
          </w:p>
        </w:tc>
        <w:tc>
          <w:tcPr>
            <w:tcW w:w="1037" w:type="dxa"/>
            <w:vAlign w:val="center"/>
          </w:tcPr>
          <w:p>
            <w:pPr>
              <w:jc w:val="center"/>
              <w:rPr>
                <w:rFonts w:ascii="宋体" w:hAnsi="宋体"/>
                <w:szCs w:val="21"/>
              </w:rPr>
            </w:pPr>
          </w:p>
        </w:tc>
        <w:tc>
          <w:tcPr>
            <w:tcW w:w="969"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70" w:type="dxa"/>
            <w:vAlign w:val="center"/>
          </w:tcPr>
          <w:p>
            <w:pPr>
              <w:jc w:val="center"/>
              <w:rPr>
                <w:rFonts w:ascii="宋体" w:hAnsi="宋体"/>
                <w:szCs w:val="21"/>
              </w:rPr>
            </w:pPr>
          </w:p>
        </w:tc>
        <w:tc>
          <w:tcPr>
            <w:tcW w:w="972" w:type="dxa"/>
            <w:vAlign w:val="center"/>
          </w:tcPr>
          <w:p>
            <w:pPr>
              <w:jc w:val="center"/>
              <w:rPr>
                <w:rFonts w:ascii="宋体" w:hAnsi="宋体"/>
                <w:szCs w:val="21"/>
              </w:rPr>
            </w:pPr>
          </w:p>
        </w:tc>
        <w:tc>
          <w:tcPr>
            <w:tcW w:w="972" w:type="dxa"/>
            <w:vAlign w:val="center"/>
          </w:tcPr>
          <w:p>
            <w:pPr>
              <w:jc w:val="center"/>
              <w:rPr>
                <w:rFonts w:ascii="宋体" w:hAnsi="宋体"/>
                <w:szCs w:val="21"/>
              </w:rPr>
            </w:pPr>
          </w:p>
        </w:tc>
        <w:tc>
          <w:tcPr>
            <w:tcW w:w="973" w:type="dxa"/>
            <w:vAlign w:val="center"/>
          </w:tcPr>
          <w:p>
            <w:pPr>
              <w:jc w:val="center"/>
              <w:rPr>
                <w:rFonts w:ascii="宋体" w:hAnsi="宋体"/>
                <w:szCs w:val="21"/>
              </w:rPr>
            </w:pPr>
          </w:p>
        </w:tc>
        <w:tc>
          <w:tcPr>
            <w:tcW w:w="973" w:type="dxa"/>
            <w:vAlign w:val="center"/>
          </w:tcPr>
          <w:p>
            <w:pPr>
              <w:jc w:val="center"/>
              <w:rPr>
                <w:rFonts w:ascii="宋体" w:hAnsi="宋体"/>
                <w:szCs w:val="21"/>
              </w:rPr>
            </w:pPr>
          </w:p>
        </w:tc>
        <w:tc>
          <w:tcPr>
            <w:tcW w:w="974" w:type="dxa"/>
            <w:vAlign w:val="center"/>
          </w:tcPr>
          <w:p>
            <w:pPr>
              <w:jc w:val="center"/>
              <w:rPr>
                <w:rFonts w:ascii="宋体" w:hAnsi="宋体"/>
                <w:szCs w:val="21"/>
              </w:rPr>
            </w:pPr>
          </w:p>
        </w:tc>
        <w:tc>
          <w:tcPr>
            <w:tcW w:w="1046" w:type="dxa"/>
            <w:vAlign w:val="center"/>
          </w:tcPr>
          <w:p>
            <w:pPr>
              <w:jc w:val="center"/>
              <w:rPr>
                <w:rFonts w:ascii="宋体" w:hAnsi="宋体"/>
                <w:szCs w:val="21"/>
              </w:rPr>
            </w:pPr>
          </w:p>
        </w:tc>
        <w:tc>
          <w:tcPr>
            <w:tcW w:w="969" w:type="dxa"/>
            <w:vAlign w:val="center"/>
          </w:tcPr>
          <w:p>
            <w:pPr>
              <w:jc w:val="center"/>
              <w:rPr>
                <w:rFonts w:ascii="宋体" w:hAnsi="宋体"/>
                <w:szCs w:val="21"/>
              </w:rPr>
            </w:pPr>
          </w:p>
        </w:tc>
        <w:tc>
          <w:tcPr>
            <w:tcW w:w="1037" w:type="dxa"/>
            <w:vAlign w:val="center"/>
          </w:tcPr>
          <w:p>
            <w:pPr>
              <w:jc w:val="center"/>
              <w:rPr>
                <w:rFonts w:ascii="宋体" w:hAnsi="宋体"/>
                <w:szCs w:val="21"/>
              </w:rPr>
            </w:pPr>
          </w:p>
        </w:tc>
        <w:tc>
          <w:tcPr>
            <w:tcW w:w="969"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70" w:type="dxa"/>
            <w:vAlign w:val="center"/>
          </w:tcPr>
          <w:p>
            <w:pPr>
              <w:jc w:val="center"/>
              <w:rPr>
                <w:rFonts w:ascii="宋体" w:hAnsi="宋体"/>
                <w:szCs w:val="21"/>
              </w:rPr>
            </w:pPr>
          </w:p>
        </w:tc>
        <w:tc>
          <w:tcPr>
            <w:tcW w:w="972" w:type="dxa"/>
            <w:vAlign w:val="center"/>
          </w:tcPr>
          <w:p>
            <w:pPr>
              <w:jc w:val="center"/>
              <w:rPr>
                <w:rFonts w:ascii="宋体" w:hAnsi="宋体"/>
                <w:szCs w:val="21"/>
              </w:rPr>
            </w:pPr>
          </w:p>
        </w:tc>
        <w:tc>
          <w:tcPr>
            <w:tcW w:w="972" w:type="dxa"/>
            <w:vAlign w:val="center"/>
          </w:tcPr>
          <w:p>
            <w:pPr>
              <w:jc w:val="center"/>
              <w:rPr>
                <w:rFonts w:ascii="宋体" w:hAnsi="宋体"/>
                <w:szCs w:val="21"/>
              </w:rPr>
            </w:pPr>
          </w:p>
        </w:tc>
        <w:tc>
          <w:tcPr>
            <w:tcW w:w="973" w:type="dxa"/>
            <w:vAlign w:val="center"/>
          </w:tcPr>
          <w:p>
            <w:pPr>
              <w:jc w:val="center"/>
              <w:rPr>
                <w:rFonts w:ascii="宋体" w:hAnsi="宋体"/>
                <w:szCs w:val="21"/>
              </w:rPr>
            </w:pPr>
          </w:p>
        </w:tc>
        <w:tc>
          <w:tcPr>
            <w:tcW w:w="973" w:type="dxa"/>
            <w:vAlign w:val="center"/>
          </w:tcPr>
          <w:p>
            <w:pPr>
              <w:jc w:val="center"/>
              <w:rPr>
                <w:rFonts w:ascii="宋体" w:hAnsi="宋体"/>
                <w:szCs w:val="21"/>
              </w:rPr>
            </w:pPr>
          </w:p>
        </w:tc>
        <w:tc>
          <w:tcPr>
            <w:tcW w:w="974" w:type="dxa"/>
            <w:vAlign w:val="center"/>
          </w:tcPr>
          <w:p>
            <w:pPr>
              <w:jc w:val="center"/>
              <w:rPr>
                <w:rFonts w:ascii="宋体" w:hAnsi="宋体"/>
                <w:szCs w:val="21"/>
              </w:rPr>
            </w:pPr>
          </w:p>
        </w:tc>
        <w:tc>
          <w:tcPr>
            <w:tcW w:w="1046" w:type="dxa"/>
            <w:vAlign w:val="center"/>
          </w:tcPr>
          <w:p>
            <w:pPr>
              <w:jc w:val="center"/>
              <w:rPr>
                <w:rFonts w:ascii="宋体" w:hAnsi="宋体"/>
                <w:szCs w:val="21"/>
              </w:rPr>
            </w:pPr>
          </w:p>
        </w:tc>
        <w:tc>
          <w:tcPr>
            <w:tcW w:w="969" w:type="dxa"/>
            <w:vAlign w:val="center"/>
          </w:tcPr>
          <w:p>
            <w:pPr>
              <w:jc w:val="center"/>
              <w:rPr>
                <w:rFonts w:ascii="宋体" w:hAnsi="宋体"/>
                <w:szCs w:val="21"/>
              </w:rPr>
            </w:pPr>
          </w:p>
        </w:tc>
        <w:tc>
          <w:tcPr>
            <w:tcW w:w="1037" w:type="dxa"/>
            <w:vAlign w:val="center"/>
          </w:tcPr>
          <w:p>
            <w:pPr>
              <w:jc w:val="center"/>
              <w:rPr>
                <w:rFonts w:ascii="宋体" w:hAnsi="宋体"/>
                <w:szCs w:val="21"/>
              </w:rPr>
            </w:pPr>
          </w:p>
        </w:tc>
        <w:tc>
          <w:tcPr>
            <w:tcW w:w="969"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70" w:type="dxa"/>
            <w:vAlign w:val="center"/>
          </w:tcPr>
          <w:p>
            <w:pPr>
              <w:jc w:val="center"/>
              <w:rPr>
                <w:rFonts w:ascii="宋体" w:hAnsi="宋体"/>
                <w:szCs w:val="21"/>
              </w:rPr>
            </w:pPr>
          </w:p>
        </w:tc>
        <w:tc>
          <w:tcPr>
            <w:tcW w:w="972" w:type="dxa"/>
            <w:vAlign w:val="center"/>
          </w:tcPr>
          <w:p>
            <w:pPr>
              <w:jc w:val="center"/>
              <w:rPr>
                <w:rFonts w:ascii="宋体" w:hAnsi="宋体"/>
                <w:szCs w:val="21"/>
              </w:rPr>
            </w:pPr>
          </w:p>
        </w:tc>
        <w:tc>
          <w:tcPr>
            <w:tcW w:w="972" w:type="dxa"/>
            <w:vAlign w:val="center"/>
          </w:tcPr>
          <w:p>
            <w:pPr>
              <w:jc w:val="center"/>
              <w:rPr>
                <w:rFonts w:ascii="宋体" w:hAnsi="宋体"/>
                <w:szCs w:val="21"/>
              </w:rPr>
            </w:pPr>
          </w:p>
        </w:tc>
        <w:tc>
          <w:tcPr>
            <w:tcW w:w="973" w:type="dxa"/>
            <w:vAlign w:val="center"/>
          </w:tcPr>
          <w:p>
            <w:pPr>
              <w:jc w:val="center"/>
              <w:rPr>
                <w:rFonts w:ascii="宋体" w:hAnsi="宋体"/>
                <w:szCs w:val="21"/>
              </w:rPr>
            </w:pPr>
          </w:p>
        </w:tc>
        <w:tc>
          <w:tcPr>
            <w:tcW w:w="973" w:type="dxa"/>
            <w:vAlign w:val="center"/>
          </w:tcPr>
          <w:p>
            <w:pPr>
              <w:jc w:val="center"/>
              <w:rPr>
                <w:rFonts w:ascii="宋体" w:hAnsi="宋体"/>
                <w:szCs w:val="21"/>
              </w:rPr>
            </w:pPr>
          </w:p>
        </w:tc>
        <w:tc>
          <w:tcPr>
            <w:tcW w:w="974" w:type="dxa"/>
            <w:vAlign w:val="center"/>
          </w:tcPr>
          <w:p>
            <w:pPr>
              <w:jc w:val="center"/>
              <w:rPr>
                <w:rFonts w:ascii="宋体" w:hAnsi="宋体"/>
                <w:szCs w:val="21"/>
              </w:rPr>
            </w:pPr>
          </w:p>
        </w:tc>
        <w:tc>
          <w:tcPr>
            <w:tcW w:w="1046" w:type="dxa"/>
            <w:vAlign w:val="center"/>
          </w:tcPr>
          <w:p>
            <w:pPr>
              <w:jc w:val="center"/>
              <w:rPr>
                <w:rFonts w:ascii="宋体" w:hAnsi="宋体"/>
                <w:szCs w:val="21"/>
              </w:rPr>
            </w:pPr>
          </w:p>
        </w:tc>
        <w:tc>
          <w:tcPr>
            <w:tcW w:w="969" w:type="dxa"/>
            <w:vAlign w:val="center"/>
          </w:tcPr>
          <w:p>
            <w:pPr>
              <w:jc w:val="center"/>
              <w:rPr>
                <w:rFonts w:ascii="宋体" w:hAnsi="宋体"/>
                <w:szCs w:val="21"/>
              </w:rPr>
            </w:pPr>
          </w:p>
        </w:tc>
        <w:tc>
          <w:tcPr>
            <w:tcW w:w="1037" w:type="dxa"/>
            <w:vAlign w:val="center"/>
          </w:tcPr>
          <w:p>
            <w:pPr>
              <w:jc w:val="center"/>
              <w:rPr>
                <w:rFonts w:ascii="宋体" w:hAnsi="宋体"/>
                <w:szCs w:val="21"/>
              </w:rPr>
            </w:pPr>
          </w:p>
        </w:tc>
        <w:tc>
          <w:tcPr>
            <w:tcW w:w="969"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70" w:type="dxa"/>
            <w:vAlign w:val="center"/>
          </w:tcPr>
          <w:p>
            <w:pPr>
              <w:jc w:val="center"/>
              <w:rPr>
                <w:rFonts w:ascii="宋体" w:hAnsi="宋体"/>
                <w:szCs w:val="21"/>
              </w:rPr>
            </w:pPr>
          </w:p>
        </w:tc>
        <w:tc>
          <w:tcPr>
            <w:tcW w:w="972" w:type="dxa"/>
            <w:vAlign w:val="center"/>
          </w:tcPr>
          <w:p>
            <w:pPr>
              <w:jc w:val="center"/>
              <w:rPr>
                <w:rFonts w:ascii="宋体" w:hAnsi="宋体"/>
                <w:szCs w:val="21"/>
              </w:rPr>
            </w:pPr>
          </w:p>
        </w:tc>
        <w:tc>
          <w:tcPr>
            <w:tcW w:w="972" w:type="dxa"/>
            <w:vAlign w:val="center"/>
          </w:tcPr>
          <w:p>
            <w:pPr>
              <w:jc w:val="center"/>
              <w:rPr>
                <w:rFonts w:ascii="宋体" w:hAnsi="宋体"/>
                <w:szCs w:val="21"/>
              </w:rPr>
            </w:pPr>
          </w:p>
        </w:tc>
        <w:tc>
          <w:tcPr>
            <w:tcW w:w="973" w:type="dxa"/>
            <w:vAlign w:val="center"/>
          </w:tcPr>
          <w:p>
            <w:pPr>
              <w:jc w:val="center"/>
              <w:rPr>
                <w:rFonts w:ascii="宋体" w:hAnsi="宋体"/>
                <w:szCs w:val="21"/>
              </w:rPr>
            </w:pPr>
          </w:p>
        </w:tc>
        <w:tc>
          <w:tcPr>
            <w:tcW w:w="973" w:type="dxa"/>
            <w:vAlign w:val="center"/>
          </w:tcPr>
          <w:p>
            <w:pPr>
              <w:jc w:val="center"/>
              <w:rPr>
                <w:rFonts w:ascii="宋体" w:hAnsi="宋体"/>
                <w:szCs w:val="21"/>
              </w:rPr>
            </w:pPr>
          </w:p>
        </w:tc>
        <w:tc>
          <w:tcPr>
            <w:tcW w:w="974" w:type="dxa"/>
            <w:vAlign w:val="center"/>
          </w:tcPr>
          <w:p>
            <w:pPr>
              <w:jc w:val="center"/>
              <w:rPr>
                <w:rFonts w:ascii="宋体" w:hAnsi="宋体"/>
                <w:szCs w:val="21"/>
              </w:rPr>
            </w:pPr>
          </w:p>
        </w:tc>
        <w:tc>
          <w:tcPr>
            <w:tcW w:w="1046" w:type="dxa"/>
            <w:vAlign w:val="center"/>
          </w:tcPr>
          <w:p>
            <w:pPr>
              <w:jc w:val="center"/>
              <w:rPr>
                <w:rFonts w:ascii="宋体" w:hAnsi="宋体"/>
                <w:szCs w:val="21"/>
              </w:rPr>
            </w:pPr>
          </w:p>
        </w:tc>
        <w:tc>
          <w:tcPr>
            <w:tcW w:w="969" w:type="dxa"/>
            <w:vAlign w:val="center"/>
          </w:tcPr>
          <w:p>
            <w:pPr>
              <w:jc w:val="center"/>
              <w:rPr>
                <w:rFonts w:ascii="宋体" w:hAnsi="宋体"/>
                <w:szCs w:val="21"/>
              </w:rPr>
            </w:pPr>
          </w:p>
        </w:tc>
        <w:tc>
          <w:tcPr>
            <w:tcW w:w="1037" w:type="dxa"/>
            <w:vAlign w:val="center"/>
          </w:tcPr>
          <w:p>
            <w:pPr>
              <w:jc w:val="center"/>
              <w:rPr>
                <w:rFonts w:ascii="宋体" w:hAnsi="宋体"/>
                <w:szCs w:val="21"/>
              </w:rPr>
            </w:pPr>
          </w:p>
        </w:tc>
        <w:tc>
          <w:tcPr>
            <w:tcW w:w="969"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70" w:type="dxa"/>
            <w:vAlign w:val="center"/>
          </w:tcPr>
          <w:p>
            <w:pPr>
              <w:jc w:val="center"/>
              <w:rPr>
                <w:rFonts w:ascii="宋体" w:hAnsi="宋体"/>
                <w:szCs w:val="21"/>
              </w:rPr>
            </w:pPr>
          </w:p>
        </w:tc>
        <w:tc>
          <w:tcPr>
            <w:tcW w:w="972" w:type="dxa"/>
            <w:vAlign w:val="center"/>
          </w:tcPr>
          <w:p>
            <w:pPr>
              <w:jc w:val="center"/>
              <w:rPr>
                <w:rFonts w:ascii="宋体" w:hAnsi="宋体"/>
                <w:szCs w:val="21"/>
              </w:rPr>
            </w:pPr>
          </w:p>
        </w:tc>
        <w:tc>
          <w:tcPr>
            <w:tcW w:w="972" w:type="dxa"/>
            <w:vAlign w:val="center"/>
          </w:tcPr>
          <w:p>
            <w:pPr>
              <w:jc w:val="center"/>
              <w:rPr>
                <w:rFonts w:ascii="宋体" w:hAnsi="宋体"/>
                <w:szCs w:val="21"/>
              </w:rPr>
            </w:pPr>
          </w:p>
        </w:tc>
        <w:tc>
          <w:tcPr>
            <w:tcW w:w="973" w:type="dxa"/>
            <w:vAlign w:val="center"/>
          </w:tcPr>
          <w:p>
            <w:pPr>
              <w:jc w:val="center"/>
              <w:rPr>
                <w:rFonts w:ascii="宋体" w:hAnsi="宋体"/>
                <w:szCs w:val="21"/>
              </w:rPr>
            </w:pPr>
          </w:p>
        </w:tc>
        <w:tc>
          <w:tcPr>
            <w:tcW w:w="973" w:type="dxa"/>
            <w:vAlign w:val="center"/>
          </w:tcPr>
          <w:p>
            <w:pPr>
              <w:jc w:val="center"/>
              <w:rPr>
                <w:rFonts w:ascii="宋体" w:hAnsi="宋体"/>
                <w:szCs w:val="21"/>
              </w:rPr>
            </w:pPr>
          </w:p>
        </w:tc>
        <w:tc>
          <w:tcPr>
            <w:tcW w:w="974" w:type="dxa"/>
            <w:vAlign w:val="center"/>
          </w:tcPr>
          <w:p>
            <w:pPr>
              <w:jc w:val="center"/>
              <w:rPr>
                <w:rFonts w:ascii="宋体" w:hAnsi="宋体"/>
                <w:szCs w:val="21"/>
              </w:rPr>
            </w:pPr>
          </w:p>
        </w:tc>
        <w:tc>
          <w:tcPr>
            <w:tcW w:w="1046" w:type="dxa"/>
            <w:vAlign w:val="center"/>
          </w:tcPr>
          <w:p>
            <w:pPr>
              <w:jc w:val="center"/>
              <w:rPr>
                <w:rFonts w:ascii="宋体" w:hAnsi="宋体"/>
                <w:szCs w:val="21"/>
              </w:rPr>
            </w:pPr>
          </w:p>
        </w:tc>
        <w:tc>
          <w:tcPr>
            <w:tcW w:w="969" w:type="dxa"/>
            <w:vAlign w:val="center"/>
          </w:tcPr>
          <w:p>
            <w:pPr>
              <w:jc w:val="center"/>
              <w:rPr>
                <w:rFonts w:ascii="宋体" w:hAnsi="宋体"/>
                <w:szCs w:val="21"/>
              </w:rPr>
            </w:pPr>
          </w:p>
        </w:tc>
        <w:tc>
          <w:tcPr>
            <w:tcW w:w="1037" w:type="dxa"/>
            <w:vAlign w:val="center"/>
          </w:tcPr>
          <w:p>
            <w:pPr>
              <w:jc w:val="center"/>
              <w:rPr>
                <w:rFonts w:ascii="宋体" w:hAnsi="宋体"/>
                <w:szCs w:val="21"/>
              </w:rPr>
            </w:pPr>
          </w:p>
        </w:tc>
        <w:tc>
          <w:tcPr>
            <w:tcW w:w="969"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70" w:type="dxa"/>
            <w:vAlign w:val="center"/>
          </w:tcPr>
          <w:p>
            <w:pPr>
              <w:jc w:val="center"/>
              <w:rPr>
                <w:rFonts w:ascii="宋体" w:hAnsi="宋体"/>
                <w:szCs w:val="21"/>
              </w:rPr>
            </w:pPr>
          </w:p>
        </w:tc>
        <w:tc>
          <w:tcPr>
            <w:tcW w:w="972" w:type="dxa"/>
            <w:vAlign w:val="center"/>
          </w:tcPr>
          <w:p>
            <w:pPr>
              <w:jc w:val="center"/>
              <w:rPr>
                <w:rFonts w:ascii="宋体" w:hAnsi="宋体"/>
                <w:szCs w:val="21"/>
              </w:rPr>
            </w:pPr>
          </w:p>
        </w:tc>
        <w:tc>
          <w:tcPr>
            <w:tcW w:w="972" w:type="dxa"/>
            <w:vAlign w:val="center"/>
          </w:tcPr>
          <w:p>
            <w:pPr>
              <w:jc w:val="center"/>
              <w:rPr>
                <w:rFonts w:ascii="宋体" w:hAnsi="宋体"/>
                <w:szCs w:val="21"/>
              </w:rPr>
            </w:pPr>
          </w:p>
        </w:tc>
        <w:tc>
          <w:tcPr>
            <w:tcW w:w="973" w:type="dxa"/>
            <w:vAlign w:val="center"/>
          </w:tcPr>
          <w:p>
            <w:pPr>
              <w:jc w:val="center"/>
              <w:rPr>
                <w:rFonts w:ascii="宋体" w:hAnsi="宋体"/>
                <w:szCs w:val="21"/>
              </w:rPr>
            </w:pPr>
          </w:p>
        </w:tc>
        <w:tc>
          <w:tcPr>
            <w:tcW w:w="973" w:type="dxa"/>
            <w:vAlign w:val="center"/>
          </w:tcPr>
          <w:p>
            <w:pPr>
              <w:jc w:val="center"/>
              <w:rPr>
                <w:rFonts w:ascii="宋体" w:hAnsi="宋体"/>
                <w:szCs w:val="21"/>
              </w:rPr>
            </w:pPr>
          </w:p>
        </w:tc>
        <w:tc>
          <w:tcPr>
            <w:tcW w:w="974" w:type="dxa"/>
            <w:vAlign w:val="center"/>
          </w:tcPr>
          <w:p>
            <w:pPr>
              <w:jc w:val="center"/>
              <w:rPr>
                <w:rFonts w:ascii="宋体" w:hAnsi="宋体"/>
                <w:szCs w:val="21"/>
              </w:rPr>
            </w:pPr>
          </w:p>
        </w:tc>
        <w:tc>
          <w:tcPr>
            <w:tcW w:w="1046" w:type="dxa"/>
            <w:vAlign w:val="center"/>
          </w:tcPr>
          <w:p>
            <w:pPr>
              <w:jc w:val="center"/>
              <w:rPr>
                <w:rFonts w:ascii="宋体" w:hAnsi="宋体"/>
                <w:szCs w:val="21"/>
              </w:rPr>
            </w:pPr>
          </w:p>
        </w:tc>
        <w:tc>
          <w:tcPr>
            <w:tcW w:w="969" w:type="dxa"/>
            <w:vAlign w:val="center"/>
          </w:tcPr>
          <w:p>
            <w:pPr>
              <w:jc w:val="center"/>
              <w:rPr>
                <w:rFonts w:ascii="宋体" w:hAnsi="宋体"/>
                <w:szCs w:val="21"/>
              </w:rPr>
            </w:pPr>
          </w:p>
        </w:tc>
        <w:tc>
          <w:tcPr>
            <w:tcW w:w="1037" w:type="dxa"/>
            <w:vAlign w:val="center"/>
          </w:tcPr>
          <w:p>
            <w:pPr>
              <w:jc w:val="center"/>
              <w:rPr>
                <w:rFonts w:ascii="宋体" w:hAnsi="宋体"/>
                <w:szCs w:val="21"/>
              </w:rPr>
            </w:pPr>
          </w:p>
        </w:tc>
        <w:tc>
          <w:tcPr>
            <w:tcW w:w="969"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70" w:type="dxa"/>
            <w:vAlign w:val="center"/>
          </w:tcPr>
          <w:p>
            <w:pPr>
              <w:jc w:val="center"/>
              <w:rPr>
                <w:rFonts w:ascii="宋体" w:hAnsi="宋体"/>
                <w:szCs w:val="21"/>
              </w:rPr>
            </w:pPr>
          </w:p>
        </w:tc>
        <w:tc>
          <w:tcPr>
            <w:tcW w:w="972" w:type="dxa"/>
            <w:vAlign w:val="center"/>
          </w:tcPr>
          <w:p>
            <w:pPr>
              <w:jc w:val="center"/>
              <w:rPr>
                <w:rFonts w:ascii="宋体" w:hAnsi="宋体"/>
                <w:szCs w:val="21"/>
              </w:rPr>
            </w:pPr>
          </w:p>
        </w:tc>
        <w:tc>
          <w:tcPr>
            <w:tcW w:w="972" w:type="dxa"/>
            <w:vAlign w:val="center"/>
          </w:tcPr>
          <w:p>
            <w:pPr>
              <w:jc w:val="center"/>
              <w:rPr>
                <w:rFonts w:ascii="宋体" w:hAnsi="宋体"/>
                <w:szCs w:val="21"/>
              </w:rPr>
            </w:pPr>
          </w:p>
        </w:tc>
        <w:tc>
          <w:tcPr>
            <w:tcW w:w="973" w:type="dxa"/>
            <w:vAlign w:val="center"/>
          </w:tcPr>
          <w:p>
            <w:pPr>
              <w:jc w:val="center"/>
              <w:rPr>
                <w:rFonts w:ascii="宋体" w:hAnsi="宋体"/>
                <w:szCs w:val="21"/>
              </w:rPr>
            </w:pPr>
          </w:p>
        </w:tc>
        <w:tc>
          <w:tcPr>
            <w:tcW w:w="973" w:type="dxa"/>
            <w:vAlign w:val="center"/>
          </w:tcPr>
          <w:p>
            <w:pPr>
              <w:jc w:val="center"/>
              <w:rPr>
                <w:rFonts w:ascii="宋体" w:hAnsi="宋体"/>
                <w:szCs w:val="21"/>
              </w:rPr>
            </w:pPr>
          </w:p>
        </w:tc>
        <w:tc>
          <w:tcPr>
            <w:tcW w:w="974" w:type="dxa"/>
            <w:vAlign w:val="center"/>
          </w:tcPr>
          <w:p>
            <w:pPr>
              <w:jc w:val="center"/>
              <w:rPr>
                <w:rFonts w:ascii="宋体" w:hAnsi="宋体"/>
                <w:szCs w:val="21"/>
              </w:rPr>
            </w:pPr>
          </w:p>
        </w:tc>
        <w:tc>
          <w:tcPr>
            <w:tcW w:w="1046" w:type="dxa"/>
            <w:vAlign w:val="center"/>
          </w:tcPr>
          <w:p>
            <w:pPr>
              <w:jc w:val="center"/>
              <w:rPr>
                <w:rFonts w:ascii="宋体" w:hAnsi="宋体"/>
                <w:szCs w:val="21"/>
              </w:rPr>
            </w:pPr>
          </w:p>
        </w:tc>
        <w:tc>
          <w:tcPr>
            <w:tcW w:w="969" w:type="dxa"/>
            <w:vAlign w:val="center"/>
          </w:tcPr>
          <w:p>
            <w:pPr>
              <w:jc w:val="center"/>
              <w:rPr>
                <w:rFonts w:ascii="宋体" w:hAnsi="宋体"/>
                <w:szCs w:val="21"/>
              </w:rPr>
            </w:pPr>
          </w:p>
        </w:tc>
        <w:tc>
          <w:tcPr>
            <w:tcW w:w="1037" w:type="dxa"/>
            <w:vAlign w:val="center"/>
          </w:tcPr>
          <w:p>
            <w:pPr>
              <w:jc w:val="center"/>
              <w:rPr>
                <w:rFonts w:ascii="宋体" w:hAnsi="宋体"/>
                <w:szCs w:val="21"/>
              </w:rPr>
            </w:pPr>
          </w:p>
        </w:tc>
        <w:tc>
          <w:tcPr>
            <w:tcW w:w="969"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70" w:type="dxa"/>
            <w:vAlign w:val="center"/>
          </w:tcPr>
          <w:p>
            <w:pPr>
              <w:jc w:val="center"/>
              <w:rPr>
                <w:rFonts w:ascii="宋体" w:hAnsi="宋体"/>
                <w:szCs w:val="21"/>
              </w:rPr>
            </w:pPr>
          </w:p>
        </w:tc>
        <w:tc>
          <w:tcPr>
            <w:tcW w:w="972" w:type="dxa"/>
            <w:vAlign w:val="center"/>
          </w:tcPr>
          <w:p>
            <w:pPr>
              <w:jc w:val="center"/>
              <w:rPr>
                <w:rFonts w:ascii="宋体" w:hAnsi="宋体"/>
                <w:szCs w:val="21"/>
              </w:rPr>
            </w:pPr>
          </w:p>
        </w:tc>
        <w:tc>
          <w:tcPr>
            <w:tcW w:w="972" w:type="dxa"/>
            <w:vAlign w:val="center"/>
          </w:tcPr>
          <w:p>
            <w:pPr>
              <w:jc w:val="center"/>
              <w:rPr>
                <w:rFonts w:ascii="宋体" w:hAnsi="宋体"/>
                <w:szCs w:val="21"/>
              </w:rPr>
            </w:pPr>
          </w:p>
        </w:tc>
        <w:tc>
          <w:tcPr>
            <w:tcW w:w="973" w:type="dxa"/>
            <w:vAlign w:val="center"/>
          </w:tcPr>
          <w:p>
            <w:pPr>
              <w:jc w:val="center"/>
              <w:rPr>
                <w:rFonts w:ascii="宋体" w:hAnsi="宋体"/>
                <w:szCs w:val="21"/>
              </w:rPr>
            </w:pPr>
          </w:p>
        </w:tc>
        <w:tc>
          <w:tcPr>
            <w:tcW w:w="973" w:type="dxa"/>
            <w:vAlign w:val="center"/>
          </w:tcPr>
          <w:p>
            <w:pPr>
              <w:jc w:val="center"/>
              <w:rPr>
                <w:rFonts w:ascii="宋体" w:hAnsi="宋体"/>
                <w:szCs w:val="21"/>
              </w:rPr>
            </w:pPr>
          </w:p>
        </w:tc>
        <w:tc>
          <w:tcPr>
            <w:tcW w:w="974" w:type="dxa"/>
            <w:vAlign w:val="center"/>
          </w:tcPr>
          <w:p>
            <w:pPr>
              <w:jc w:val="center"/>
              <w:rPr>
                <w:rFonts w:ascii="宋体" w:hAnsi="宋体"/>
                <w:szCs w:val="21"/>
              </w:rPr>
            </w:pPr>
          </w:p>
        </w:tc>
        <w:tc>
          <w:tcPr>
            <w:tcW w:w="1046" w:type="dxa"/>
            <w:vAlign w:val="center"/>
          </w:tcPr>
          <w:p>
            <w:pPr>
              <w:jc w:val="center"/>
              <w:rPr>
                <w:rFonts w:ascii="宋体" w:hAnsi="宋体"/>
                <w:szCs w:val="21"/>
              </w:rPr>
            </w:pPr>
          </w:p>
        </w:tc>
        <w:tc>
          <w:tcPr>
            <w:tcW w:w="969" w:type="dxa"/>
            <w:vAlign w:val="center"/>
          </w:tcPr>
          <w:p>
            <w:pPr>
              <w:jc w:val="center"/>
              <w:rPr>
                <w:rFonts w:ascii="宋体" w:hAnsi="宋体"/>
                <w:szCs w:val="21"/>
              </w:rPr>
            </w:pPr>
          </w:p>
        </w:tc>
        <w:tc>
          <w:tcPr>
            <w:tcW w:w="1037" w:type="dxa"/>
            <w:vAlign w:val="center"/>
          </w:tcPr>
          <w:p>
            <w:pPr>
              <w:jc w:val="center"/>
              <w:rPr>
                <w:rFonts w:ascii="宋体" w:hAnsi="宋体"/>
                <w:szCs w:val="21"/>
              </w:rPr>
            </w:pPr>
          </w:p>
        </w:tc>
        <w:tc>
          <w:tcPr>
            <w:tcW w:w="969"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70" w:type="dxa"/>
            <w:vAlign w:val="center"/>
          </w:tcPr>
          <w:p>
            <w:pPr>
              <w:jc w:val="center"/>
              <w:rPr>
                <w:rFonts w:ascii="宋体" w:hAnsi="宋体"/>
                <w:szCs w:val="21"/>
              </w:rPr>
            </w:pPr>
          </w:p>
        </w:tc>
        <w:tc>
          <w:tcPr>
            <w:tcW w:w="972" w:type="dxa"/>
            <w:vAlign w:val="center"/>
          </w:tcPr>
          <w:p>
            <w:pPr>
              <w:jc w:val="center"/>
              <w:rPr>
                <w:rFonts w:ascii="宋体" w:hAnsi="宋体"/>
                <w:szCs w:val="21"/>
              </w:rPr>
            </w:pPr>
          </w:p>
        </w:tc>
        <w:tc>
          <w:tcPr>
            <w:tcW w:w="972" w:type="dxa"/>
            <w:vAlign w:val="center"/>
          </w:tcPr>
          <w:p>
            <w:pPr>
              <w:jc w:val="center"/>
              <w:rPr>
                <w:rFonts w:ascii="宋体" w:hAnsi="宋体"/>
                <w:szCs w:val="21"/>
              </w:rPr>
            </w:pPr>
          </w:p>
        </w:tc>
        <w:tc>
          <w:tcPr>
            <w:tcW w:w="973" w:type="dxa"/>
            <w:vAlign w:val="center"/>
          </w:tcPr>
          <w:p>
            <w:pPr>
              <w:jc w:val="center"/>
              <w:rPr>
                <w:rFonts w:ascii="宋体" w:hAnsi="宋体"/>
                <w:szCs w:val="21"/>
              </w:rPr>
            </w:pPr>
          </w:p>
        </w:tc>
        <w:tc>
          <w:tcPr>
            <w:tcW w:w="973" w:type="dxa"/>
            <w:vAlign w:val="center"/>
          </w:tcPr>
          <w:p>
            <w:pPr>
              <w:jc w:val="center"/>
              <w:rPr>
                <w:rFonts w:ascii="宋体" w:hAnsi="宋体"/>
                <w:szCs w:val="21"/>
              </w:rPr>
            </w:pPr>
          </w:p>
        </w:tc>
        <w:tc>
          <w:tcPr>
            <w:tcW w:w="974" w:type="dxa"/>
            <w:vAlign w:val="center"/>
          </w:tcPr>
          <w:p>
            <w:pPr>
              <w:jc w:val="center"/>
              <w:rPr>
                <w:rFonts w:ascii="宋体" w:hAnsi="宋体"/>
                <w:szCs w:val="21"/>
              </w:rPr>
            </w:pPr>
          </w:p>
        </w:tc>
        <w:tc>
          <w:tcPr>
            <w:tcW w:w="1046" w:type="dxa"/>
            <w:vAlign w:val="center"/>
          </w:tcPr>
          <w:p>
            <w:pPr>
              <w:jc w:val="center"/>
              <w:rPr>
                <w:rFonts w:ascii="宋体" w:hAnsi="宋体"/>
                <w:szCs w:val="21"/>
              </w:rPr>
            </w:pPr>
          </w:p>
        </w:tc>
        <w:tc>
          <w:tcPr>
            <w:tcW w:w="969" w:type="dxa"/>
            <w:vAlign w:val="center"/>
          </w:tcPr>
          <w:p>
            <w:pPr>
              <w:jc w:val="center"/>
              <w:rPr>
                <w:rFonts w:ascii="宋体" w:hAnsi="宋体"/>
                <w:szCs w:val="21"/>
              </w:rPr>
            </w:pPr>
          </w:p>
        </w:tc>
        <w:tc>
          <w:tcPr>
            <w:tcW w:w="1037" w:type="dxa"/>
            <w:vAlign w:val="center"/>
          </w:tcPr>
          <w:p>
            <w:pPr>
              <w:jc w:val="center"/>
              <w:rPr>
                <w:rFonts w:ascii="宋体" w:hAnsi="宋体"/>
                <w:szCs w:val="21"/>
              </w:rPr>
            </w:pPr>
          </w:p>
        </w:tc>
        <w:tc>
          <w:tcPr>
            <w:tcW w:w="969"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70" w:type="dxa"/>
            <w:vAlign w:val="center"/>
          </w:tcPr>
          <w:p>
            <w:pPr>
              <w:jc w:val="center"/>
              <w:rPr>
                <w:rFonts w:ascii="宋体" w:hAnsi="宋体"/>
                <w:szCs w:val="21"/>
              </w:rPr>
            </w:pPr>
          </w:p>
        </w:tc>
        <w:tc>
          <w:tcPr>
            <w:tcW w:w="972" w:type="dxa"/>
            <w:vAlign w:val="center"/>
          </w:tcPr>
          <w:p>
            <w:pPr>
              <w:jc w:val="center"/>
              <w:rPr>
                <w:rFonts w:ascii="宋体" w:hAnsi="宋体"/>
                <w:szCs w:val="21"/>
              </w:rPr>
            </w:pPr>
          </w:p>
        </w:tc>
        <w:tc>
          <w:tcPr>
            <w:tcW w:w="972" w:type="dxa"/>
            <w:vAlign w:val="center"/>
          </w:tcPr>
          <w:p>
            <w:pPr>
              <w:jc w:val="center"/>
              <w:rPr>
                <w:rFonts w:ascii="宋体" w:hAnsi="宋体"/>
                <w:szCs w:val="21"/>
              </w:rPr>
            </w:pPr>
          </w:p>
        </w:tc>
        <w:tc>
          <w:tcPr>
            <w:tcW w:w="973" w:type="dxa"/>
            <w:vAlign w:val="center"/>
          </w:tcPr>
          <w:p>
            <w:pPr>
              <w:jc w:val="center"/>
              <w:rPr>
                <w:rFonts w:ascii="宋体" w:hAnsi="宋体"/>
                <w:szCs w:val="21"/>
              </w:rPr>
            </w:pPr>
          </w:p>
        </w:tc>
        <w:tc>
          <w:tcPr>
            <w:tcW w:w="973" w:type="dxa"/>
            <w:vAlign w:val="center"/>
          </w:tcPr>
          <w:p>
            <w:pPr>
              <w:jc w:val="center"/>
              <w:rPr>
                <w:rFonts w:ascii="宋体" w:hAnsi="宋体"/>
                <w:szCs w:val="21"/>
              </w:rPr>
            </w:pPr>
          </w:p>
        </w:tc>
        <w:tc>
          <w:tcPr>
            <w:tcW w:w="974" w:type="dxa"/>
            <w:vAlign w:val="center"/>
          </w:tcPr>
          <w:p>
            <w:pPr>
              <w:jc w:val="center"/>
              <w:rPr>
                <w:rFonts w:ascii="宋体" w:hAnsi="宋体"/>
                <w:szCs w:val="21"/>
              </w:rPr>
            </w:pPr>
          </w:p>
        </w:tc>
        <w:tc>
          <w:tcPr>
            <w:tcW w:w="1046" w:type="dxa"/>
            <w:vAlign w:val="center"/>
          </w:tcPr>
          <w:p>
            <w:pPr>
              <w:jc w:val="center"/>
              <w:rPr>
                <w:rFonts w:ascii="宋体" w:hAnsi="宋体"/>
                <w:szCs w:val="21"/>
              </w:rPr>
            </w:pPr>
          </w:p>
        </w:tc>
        <w:tc>
          <w:tcPr>
            <w:tcW w:w="969" w:type="dxa"/>
            <w:vAlign w:val="center"/>
          </w:tcPr>
          <w:p>
            <w:pPr>
              <w:jc w:val="center"/>
              <w:rPr>
                <w:rFonts w:ascii="宋体" w:hAnsi="宋体"/>
                <w:szCs w:val="21"/>
              </w:rPr>
            </w:pPr>
          </w:p>
        </w:tc>
        <w:tc>
          <w:tcPr>
            <w:tcW w:w="1037" w:type="dxa"/>
            <w:vAlign w:val="center"/>
          </w:tcPr>
          <w:p>
            <w:pPr>
              <w:jc w:val="center"/>
              <w:rPr>
                <w:rFonts w:ascii="宋体" w:hAnsi="宋体"/>
                <w:szCs w:val="21"/>
              </w:rPr>
            </w:pPr>
          </w:p>
        </w:tc>
        <w:tc>
          <w:tcPr>
            <w:tcW w:w="969"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70" w:type="dxa"/>
            <w:vAlign w:val="center"/>
          </w:tcPr>
          <w:p>
            <w:pPr>
              <w:jc w:val="center"/>
              <w:rPr>
                <w:rFonts w:ascii="宋体" w:hAnsi="宋体"/>
                <w:szCs w:val="21"/>
              </w:rPr>
            </w:pPr>
          </w:p>
        </w:tc>
        <w:tc>
          <w:tcPr>
            <w:tcW w:w="972" w:type="dxa"/>
            <w:vAlign w:val="center"/>
          </w:tcPr>
          <w:p>
            <w:pPr>
              <w:jc w:val="center"/>
              <w:rPr>
                <w:rFonts w:ascii="宋体" w:hAnsi="宋体"/>
                <w:szCs w:val="21"/>
              </w:rPr>
            </w:pPr>
          </w:p>
        </w:tc>
        <w:tc>
          <w:tcPr>
            <w:tcW w:w="972" w:type="dxa"/>
            <w:vAlign w:val="center"/>
          </w:tcPr>
          <w:p>
            <w:pPr>
              <w:jc w:val="center"/>
              <w:rPr>
                <w:rFonts w:ascii="宋体" w:hAnsi="宋体"/>
                <w:szCs w:val="21"/>
              </w:rPr>
            </w:pPr>
          </w:p>
        </w:tc>
        <w:tc>
          <w:tcPr>
            <w:tcW w:w="973" w:type="dxa"/>
            <w:vAlign w:val="center"/>
          </w:tcPr>
          <w:p>
            <w:pPr>
              <w:jc w:val="center"/>
              <w:rPr>
                <w:rFonts w:ascii="宋体" w:hAnsi="宋体"/>
                <w:szCs w:val="21"/>
              </w:rPr>
            </w:pPr>
          </w:p>
        </w:tc>
        <w:tc>
          <w:tcPr>
            <w:tcW w:w="973" w:type="dxa"/>
            <w:vAlign w:val="center"/>
          </w:tcPr>
          <w:p>
            <w:pPr>
              <w:jc w:val="center"/>
              <w:rPr>
                <w:rFonts w:ascii="宋体" w:hAnsi="宋体"/>
                <w:szCs w:val="21"/>
              </w:rPr>
            </w:pPr>
          </w:p>
        </w:tc>
        <w:tc>
          <w:tcPr>
            <w:tcW w:w="974" w:type="dxa"/>
            <w:vAlign w:val="center"/>
          </w:tcPr>
          <w:p>
            <w:pPr>
              <w:jc w:val="center"/>
              <w:rPr>
                <w:rFonts w:ascii="宋体" w:hAnsi="宋体"/>
                <w:szCs w:val="21"/>
              </w:rPr>
            </w:pPr>
          </w:p>
        </w:tc>
        <w:tc>
          <w:tcPr>
            <w:tcW w:w="1046" w:type="dxa"/>
            <w:vAlign w:val="center"/>
          </w:tcPr>
          <w:p>
            <w:pPr>
              <w:jc w:val="center"/>
              <w:rPr>
                <w:rFonts w:ascii="宋体" w:hAnsi="宋体"/>
                <w:szCs w:val="21"/>
              </w:rPr>
            </w:pPr>
          </w:p>
        </w:tc>
        <w:tc>
          <w:tcPr>
            <w:tcW w:w="969" w:type="dxa"/>
            <w:vAlign w:val="center"/>
          </w:tcPr>
          <w:p>
            <w:pPr>
              <w:jc w:val="center"/>
              <w:rPr>
                <w:rFonts w:ascii="宋体" w:hAnsi="宋体"/>
                <w:szCs w:val="21"/>
              </w:rPr>
            </w:pPr>
          </w:p>
        </w:tc>
        <w:tc>
          <w:tcPr>
            <w:tcW w:w="1037" w:type="dxa"/>
            <w:vAlign w:val="center"/>
          </w:tcPr>
          <w:p>
            <w:pPr>
              <w:jc w:val="center"/>
              <w:rPr>
                <w:rFonts w:ascii="宋体" w:hAnsi="宋体"/>
                <w:szCs w:val="21"/>
              </w:rPr>
            </w:pPr>
          </w:p>
        </w:tc>
        <w:tc>
          <w:tcPr>
            <w:tcW w:w="969"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70" w:type="dxa"/>
            <w:vAlign w:val="center"/>
          </w:tcPr>
          <w:p>
            <w:pPr>
              <w:jc w:val="center"/>
              <w:rPr>
                <w:rFonts w:ascii="宋体" w:hAnsi="宋体"/>
                <w:szCs w:val="21"/>
              </w:rPr>
            </w:pPr>
          </w:p>
        </w:tc>
        <w:tc>
          <w:tcPr>
            <w:tcW w:w="972" w:type="dxa"/>
            <w:vAlign w:val="center"/>
          </w:tcPr>
          <w:p>
            <w:pPr>
              <w:jc w:val="center"/>
              <w:rPr>
                <w:rFonts w:ascii="宋体" w:hAnsi="宋体"/>
                <w:szCs w:val="21"/>
              </w:rPr>
            </w:pPr>
          </w:p>
        </w:tc>
        <w:tc>
          <w:tcPr>
            <w:tcW w:w="972" w:type="dxa"/>
            <w:vAlign w:val="center"/>
          </w:tcPr>
          <w:p>
            <w:pPr>
              <w:jc w:val="center"/>
              <w:rPr>
                <w:rFonts w:ascii="宋体" w:hAnsi="宋体"/>
                <w:szCs w:val="21"/>
              </w:rPr>
            </w:pPr>
          </w:p>
        </w:tc>
        <w:tc>
          <w:tcPr>
            <w:tcW w:w="973" w:type="dxa"/>
            <w:vAlign w:val="center"/>
          </w:tcPr>
          <w:p>
            <w:pPr>
              <w:jc w:val="center"/>
              <w:rPr>
                <w:rFonts w:ascii="宋体" w:hAnsi="宋体"/>
                <w:szCs w:val="21"/>
              </w:rPr>
            </w:pPr>
          </w:p>
        </w:tc>
        <w:tc>
          <w:tcPr>
            <w:tcW w:w="973" w:type="dxa"/>
            <w:vAlign w:val="center"/>
          </w:tcPr>
          <w:p>
            <w:pPr>
              <w:jc w:val="center"/>
              <w:rPr>
                <w:rFonts w:ascii="宋体" w:hAnsi="宋体"/>
                <w:szCs w:val="21"/>
              </w:rPr>
            </w:pPr>
          </w:p>
        </w:tc>
        <w:tc>
          <w:tcPr>
            <w:tcW w:w="974" w:type="dxa"/>
            <w:vAlign w:val="center"/>
          </w:tcPr>
          <w:p>
            <w:pPr>
              <w:jc w:val="center"/>
              <w:rPr>
                <w:rFonts w:ascii="宋体" w:hAnsi="宋体"/>
                <w:szCs w:val="21"/>
              </w:rPr>
            </w:pPr>
          </w:p>
        </w:tc>
        <w:tc>
          <w:tcPr>
            <w:tcW w:w="1046" w:type="dxa"/>
            <w:vAlign w:val="center"/>
          </w:tcPr>
          <w:p>
            <w:pPr>
              <w:jc w:val="center"/>
              <w:rPr>
                <w:rFonts w:ascii="宋体" w:hAnsi="宋体"/>
                <w:szCs w:val="21"/>
              </w:rPr>
            </w:pPr>
          </w:p>
        </w:tc>
        <w:tc>
          <w:tcPr>
            <w:tcW w:w="969" w:type="dxa"/>
            <w:vAlign w:val="center"/>
          </w:tcPr>
          <w:p>
            <w:pPr>
              <w:jc w:val="center"/>
              <w:rPr>
                <w:rFonts w:ascii="宋体" w:hAnsi="宋体"/>
                <w:szCs w:val="21"/>
              </w:rPr>
            </w:pPr>
          </w:p>
        </w:tc>
        <w:tc>
          <w:tcPr>
            <w:tcW w:w="1037" w:type="dxa"/>
            <w:vAlign w:val="center"/>
          </w:tcPr>
          <w:p>
            <w:pPr>
              <w:jc w:val="center"/>
              <w:rPr>
                <w:rFonts w:ascii="宋体" w:hAnsi="宋体"/>
                <w:szCs w:val="21"/>
              </w:rPr>
            </w:pPr>
          </w:p>
        </w:tc>
        <w:tc>
          <w:tcPr>
            <w:tcW w:w="969"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70" w:type="dxa"/>
            <w:vAlign w:val="center"/>
          </w:tcPr>
          <w:p>
            <w:pPr>
              <w:jc w:val="center"/>
              <w:rPr>
                <w:rFonts w:ascii="宋体" w:hAnsi="宋体"/>
                <w:szCs w:val="21"/>
              </w:rPr>
            </w:pPr>
          </w:p>
        </w:tc>
        <w:tc>
          <w:tcPr>
            <w:tcW w:w="972" w:type="dxa"/>
            <w:vAlign w:val="center"/>
          </w:tcPr>
          <w:p>
            <w:pPr>
              <w:jc w:val="center"/>
              <w:rPr>
                <w:rFonts w:ascii="宋体" w:hAnsi="宋体"/>
                <w:szCs w:val="21"/>
              </w:rPr>
            </w:pPr>
          </w:p>
        </w:tc>
        <w:tc>
          <w:tcPr>
            <w:tcW w:w="972" w:type="dxa"/>
            <w:vAlign w:val="center"/>
          </w:tcPr>
          <w:p>
            <w:pPr>
              <w:jc w:val="center"/>
              <w:rPr>
                <w:rFonts w:ascii="宋体" w:hAnsi="宋体"/>
                <w:szCs w:val="21"/>
              </w:rPr>
            </w:pPr>
          </w:p>
        </w:tc>
        <w:tc>
          <w:tcPr>
            <w:tcW w:w="973" w:type="dxa"/>
            <w:vAlign w:val="center"/>
          </w:tcPr>
          <w:p>
            <w:pPr>
              <w:jc w:val="center"/>
              <w:rPr>
                <w:rFonts w:ascii="宋体" w:hAnsi="宋体"/>
                <w:szCs w:val="21"/>
              </w:rPr>
            </w:pPr>
          </w:p>
        </w:tc>
        <w:tc>
          <w:tcPr>
            <w:tcW w:w="973" w:type="dxa"/>
            <w:vAlign w:val="center"/>
          </w:tcPr>
          <w:p>
            <w:pPr>
              <w:jc w:val="center"/>
              <w:rPr>
                <w:rFonts w:ascii="宋体" w:hAnsi="宋体"/>
                <w:szCs w:val="21"/>
              </w:rPr>
            </w:pPr>
          </w:p>
        </w:tc>
        <w:tc>
          <w:tcPr>
            <w:tcW w:w="974" w:type="dxa"/>
            <w:vAlign w:val="center"/>
          </w:tcPr>
          <w:p>
            <w:pPr>
              <w:jc w:val="center"/>
              <w:rPr>
                <w:rFonts w:ascii="宋体" w:hAnsi="宋体"/>
                <w:szCs w:val="21"/>
              </w:rPr>
            </w:pPr>
          </w:p>
        </w:tc>
        <w:tc>
          <w:tcPr>
            <w:tcW w:w="1046" w:type="dxa"/>
            <w:vAlign w:val="center"/>
          </w:tcPr>
          <w:p>
            <w:pPr>
              <w:jc w:val="center"/>
              <w:rPr>
                <w:rFonts w:ascii="宋体" w:hAnsi="宋体"/>
                <w:szCs w:val="21"/>
              </w:rPr>
            </w:pPr>
          </w:p>
        </w:tc>
        <w:tc>
          <w:tcPr>
            <w:tcW w:w="969" w:type="dxa"/>
            <w:vAlign w:val="center"/>
          </w:tcPr>
          <w:p>
            <w:pPr>
              <w:jc w:val="center"/>
              <w:rPr>
                <w:rFonts w:ascii="宋体" w:hAnsi="宋体"/>
                <w:szCs w:val="21"/>
              </w:rPr>
            </w:pPr>
          </w:p>
        </w:tc>
        <w:tc>
          <w:tcPr>
            <w:tcW w:w="1037" w:type="dxa"/>
            <w:vAlign w:val="center"/>
          </w:tcPr>
          <w:p>
            <w:pPr>
              <w:jc w:val="center"/>
              <w:rPr>
                <w:rFonts w:ascii="宋体" w:hAnsi="宋体"/>
                <w:szCs w:val="21"/>
              </w:rPr>
            </w:pPr>
          </w:p>
        </w:tc>
        <w:tc>
          <w:tcPr>
            <w:tcW w:w="969"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70" w:type="dxa"/>
            <w:vAlign w:val="center"/>
          </w:tcPr>
          <w:p>
            <w:pPr>
              <w:jc w:val="center"/>
              <w:rPr>
                <w:rFonts w:ascii="宋体" w:hAnsi="宋体"/>
                <w:szCs w:val="21"/>
              </w:rPr>
            </w:pPr>
          </w:p>
        </w:tc>
        <w:tc>
          <w:tcPr>
            <w:tcW w:w="972" w:type="dxa"/>
            <w:vAlign w:val="center"/>
          </w:tcPr>
          <w:p>
            <w:pPr>
              <w:jc w:val="center"/>
              <w:rPr>
                <w:rFonts w:ascii="宋体" w:hAnsi="宋体"/>
                <w:szCs w:val="21"/>
              </w:rPr>
            </w:pPr>
          </w:p>
        </w:tc>
        <w:tc>
          <w:tcPr>
            <w:tcW w:w="972" w:type="dxa"/>
            <w:vAlign w:val="center"/>
          </w:tcPr>
          <w:p>
            <w:pPr>
              <w:jc w:val="center"/>
              <w:rPr>
                <w:rFonts w:ascii="宋体" w:hAnsi="宋体"/>
                <w:szCs w:val="21"/>
              </w:rPr>
            </w:pPr>
          </w:p>
        </w:tc>
        <w:tc>
          <w:tcPr>
            <w:tcW w:w="973" w:type="dxa"/>
            <w:vAlign w:val="center"/>
          </w:tcPr>
          <w:p>
            <w:pPr>
              <w:jc w:val="center"/>
              <w:rPr>
                <w:rFonts w:ascii="宋体" w:hAnsi="宋体"/>
                <w:szCs w:val="21"/>
              </w:rPr>
            </w:pPr>
          </w:p>
        </w:tc>
        <w:tc>
          <w:tcPr>
            <w:tcW w:w="973" w:type="dxa"/>
            <w:vAlign w:val="center"/>
          </w:tcPr>
          <w:p>
            <w:pPr>
              <w:jc w:val="center"/>
              <w:rPr>
                <w:rFonts w:ascii="宋体" w:hAnsi="宋体"/>
                <w:szCs w:val="21"/>
              </w:rPr>
            </w:pPr>
          </w:p>
        </w:tc>
        <w:tc>
          <w:tcPr>
            <w:tcW w:w="974" w:type="dxa"/>
            <w:vAlign w:val="center"/>
          </w:tcPr>
          <w:p>
            <w:pPr>
              <w:jc w:val="center"/>
              <w:rPr>
                <w:rFonts w:ascii="宋体" w:hAnsi="宋体"/>
                <w:szCs w:val="21"/>
              </w:rPr>
            </w:pPr>
          </w:p>
        </w:tc>
        <w:tc>
          <w:tcPr>
            <w:tcW w:w="1046" w:type="dxa"/>
            <w:vAlign w:val="center"/>
          </w:tcPr>
          <w:p>
            <w:pPr>
              <w:jc w:val="center"/>
              <w:rPr>
                <w:rFonts w:ascii="宋体" w:hAnsi="宋体"/>
                <w:szCs w:val="21"/>
              </w:rPr>
            </w:pPr>
          </w:p>
        </w:tc>
        <w:tc>
          <w:tcPr>
            <w:tcW w:w="969" w:type="dxa"/>
            <w:vAlign w:val="center"/>
          </w:tcPr>
          <w:p>
            <w:pPr>
              <w:jc w:val="center"/>
              <w:rPr>
                <w:rFonts w:ascii="宋体" w:hAnsi="宋体"/>
                <w:szCs w:val="21"/>
              </w:rPr>
            </w:pPr>
          </w:p>
        </w:tc>
        <w:tc>
          <w:tcPr>
            <w:tcW w:w="1037" w:type="dxa"/>
            <w:vAlign w:val="center"/>
          </w:tcPr>
          <w:p>
            <w:pPr>
              <w:jc w:val="center"/>
              <w:rPr>
                <w:rFonts w:ascii="宋体" w:hAnsi="宋体"/>
                <w:szCs w:val="21"/>
              </w:rPr>
            </w:pPr>
          </w:p>
        </w:tc>
        <w:tc>
          <w:tcPr>
            <w:tcW w:w="969"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70" w:type="dxa"/>
            <w:vAlign w:val="center"/>
          </w:tcPr>
          <w:p>
            <w:pPr>
              <w:jc w:val="center"/>
              <w:rPr>
                <w:rFonts w:ascii="宋体" w:hAnsi="宋体"/>
                <w:szCs w:val="21"/>
              </w:rPr>
            </w:pPr>
          </w:p>
        </w:tc>
        <w:tc>
          <w:tcPr>
            <w:tcW w:w="972" w:type="dxa"/>
            <w:vAlign w:val="center"/>
          </w:tcPr>
          <w:p>
            <w:pPr>
              <w:jc w:val="center"/>
              <w:rPr>
                <w:rFonts w:ascii="宋体" w:hAnsi="宋体"/>
                <w:szCs w:val="21"/>
              </w:rPr>
            </w:pPr>
          </w:p>
        </w:tc>
        <w:tc>
          <w:tcPr>
            <w:tcW w:w="972" w:type="dxa"/>
            <w:vAlign w:val="center"/>
          </w:tcPr>
          <w:p>
            <w:pPr>
              <w:jc w:val="center"/>
              <w:rPr>
                <w:rFonts w:ascii="宋体" w:hAnsi="宋体"/>
                <w:szCs w:val="21"/>
              </w:rPr>
            </w:pPr>
          </w:p>
        </w:tc>
        <w:tc>
          <w:tcPr>
            <w:tcW w:w="973" w:type="dxa"/>
            <w:vAlign w:val="center"/>
          </w:tcPr>
          <w:p>
            <w:pPr>
              <w:jc w:val="center"/>
              <w:rPr>
                <w:rFonts w:ascii="宋体" w:hAnsi="宋体"/>
                <w:szCs w:val="21"/>
              </w:rPr>
            </w:pPr>
          </w:p>
        </w:tc>
        <w:tc>
          <w:tcPr>
            <w:tcW w:w="973" w:type="dxa"/>
            <w:vAlign w:val="center"/>
          </w:tcPr>
          <w:p>
            <w:pPr>
              <w:jc w:val="center"/>
              <w:rPr>
                <w:rFonts w:ascii="宋体" w:hAnsi="宋体"/>
                <w:szCs w:val="21"/>
              </w:rPr>
            </w:pPr>
          </w:p>
        </w:tc>
        <w:tc>
          <w:tcPr>
            <w:tcW w:w="974" w:type="dxa"/>
            <w:vAlign w:val="center"/>
          </w:tcPr>
          <w:p>
            <w:pPr>
              <w:jc w:val="center"/>
              <w:rPr>
                <w:rFonts w:ascii="宋体" w:hAnsi="宋体"/>
                <w:szCs w:val="21"/>
              </w:rPr>
            </w:pPr>
          </w:p>
        </w:tc>
        <w:tc>
          <w:tcPr>
            <w:tcW w:w="1046" w:type="dxa"/>
            <w:vAlign w:val="center"/>
          </w:tcPr>
          <w:p>
            <w:pPr>
              <w:jc w:val="center"/>
              <w:rPr>
                <w:rFonts w:ascii="宋体" w:hAnsi="宋体"/>
                <w:szCs w:val="21"/>
              </w:rPr>
            </w:pPr>
          </w:p>
        </w:tc>
        <w:tc>
          <w:tcPr>
            <w:tcW w:w="969" w:type="dxa"/>
            <w:vAlign w:val="center"/>
          </w:tcPr>
          <w:p>
            <w:pPr>
              <w:jc w:val="center"/>
              <w:rPr>
                <w:rFonts w:ascii="宋体" w:hAnsi="宋体"/>
                <w:szCs w:val="21"/>
              </w:rPr>
            </w:pPr>
          </w:p>
        </w:tc>
        <w:tc>
          <w:tcPr>
            <w:tcW w:w="1037" w:type="dxa"/>
            <w:vAlign w:val="center"/>
          </w:tcPr>
          <w:p>
            <w:pPr>
              <w:jc w:val="center"/>
              <w:rPr>
                <w:rFonts w:ascii="宋体" w:hAnsi="宋体"/>
                <w:szCs w:val="21"/>
              </w:rPr>
            </w:pPr>
          </w:p>
        </w:tc>
        <w:tc>
          <w:tcPr>
            <w:tcW w:w="969"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70" w:type="dxa"/>
            <w:vAlign w:val="center"/>
          </w:tcPr>
          <w:p>
            <w:pPr>
              <w:jc w:val="center"/>
              <w:rPr>
                <w:rFonts w:ascii="宋体" w:hAnsi="宋体"/>
                <w:szCs w:val="21"/>
              </w:rPr>
            </w:pPr>
          </w:p>
        </w:tc>
        <w:tc>
          <w:tcPr>
            <w:tcW w:w="972" w:type="dxa"/>
            <w:vAlign w:val="center"/>
          </w:tcPr>
          <w:p>
            <w:pPr>
              <w:jc w:val="center"/>
              <w:rPr>
                <w:rFonts w:ascii="宋体" w:hAnsi="宋体"/>
                <w:szCs w:val="21"/>
              </w:rPr>
            </w:pPr>
          </w:p>
        </w:tc>
        <w:tc>
          <w:tcPr>
            <w:tcW w:w="972" w:type="dxa"/>
            <w:vAlign w:val="center"/>
          </w:tcPr>
          <w:p>
            <w:pPr>
              <w:jc w:val="center"/>
              <w:rPr>
                <w:rFonts w:ascii="宋体" w:hAnsi="宋体"/>
                <w:szCs w:val="21"/>
              </w:rPr>
            </w:pPr>
          </w:p>
        </w:tc>
        <w:tc>
          <w:tcPr>
            <w:tcW w:w="973" w:type="dxa"/>
            <w:vAlign w:val="center"/>
          </w:tcPr>
          <w:p>
            <w:pPr>
              <w:jc w:val="center"/>
              <w:rPr>
                <w:rFonts w:ascii="宋体" w:hAnsi="宋体"/>
                <w:szCs w:val="21"/>
              </w:rPr>
            </w:pPr>
          </w:p>
        </w:tc>
        <w:tc>
          <w:tcPr>
            <w:tcW w:w="973" w:type="dxa"/>
            <w:vAlign w:val="center"/>
          </w:tcPr>
          <w:p>
            <w:pPr>
              <w:jc w:val="center"/>
              <w:rPr>
                <w:rFonts w:ascii="宋体" w:hAnsi="宋体"/>
                <w:szCs w:val="21"/>
              </w:rPr>
            </w:pPr>
          </w:p>
        </w:tc>
        <w:tc>
          <w:tcPr>
            <w:tcW w:w="974" w:type="dxa"/>
            <w:vAlign w:val="center"/>
          </w:tcPr>
          <w:p>
            <w:pPr>
              <w:jc w:val="center"/>
              <w:rPr>
                <w:rFonts w:ascii="宋体" w:hAnsi="宋体"/>
                <w:szCs w:val="21"/>
              </w:rPr>
            </w:pPr>
          </w:p>
        </w:tc>
        <w:tc>
          <w:tcPr>
            <w:tcW w:w="1046" w:type="dxa"/>
            <w:vAlign w:val="center"/>
          </w:tcPr>
          <w:p>
            <w:pPr>
              <w:jc w:val="center"/>
              <w:rPr>
                <w:rFonts w:ascii="宋体" w:hAnsi="宋体"/>
                <w:szCs w:val="21"/>
              </w:rPr>
            </w:pPr>
          </w:p>
        </w:tc>
        <w:tc>
          <w:tcPr>
            <w:tcW w:w="969" w:type="dxa"/>
            <w:vAlign w:val="center"/>
          </w:tcPr>
          <w:p>
            <w:pPr>
              <w:jc w:val="center"/>
              <w:rPr>
                <w:rFonts w:ascii="宋体" w:hAnsi="宋体"/>
                <w:szCs w:val="21"/>
              </w:rPr>
            </w:pPr>
          </w:p>
        </w:tc>
        <w:tc>
          <w:tcPr>
            <w:tcW w:w="1037" w:type="dxa"/>
            <w:vAlign w:val="center"/>
          </w:tcPr>
          <w:p>
            <w:pPr>
              <w:jc w:val="center"/>
              <w:rPr>
                <w:rFonts w:ascii="宋体" w:hAnsi="宋体"/>
                <w:szCs w:val="21"/>
              </w:rPr>
            </w:pPr>
          </w:p>
        </w:tc>
        <w:tc>
          <w:tcPr>
            <w:tcW w:w="969"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70" w:type="dxa"/>
            <w:vAlign w:val="center"/>
          </w:tcPr>
          <w:p>
            <w:pPr>
              <w:jc w:val="center"/>
              <w:rPr>
                <w:rFonts w:ascii="宋体" w:hAnsi="宋体"/>
                <w:szCs w:val="21"/>
              </w:rPr>
            </w:pPr>
          </w:p>
        </w:tc>
        <w:tc>
          <w:tcPr>
            <w:tcW w:w="972" w:type="dxa"/>
            <w:vAlign w:val="center"/>
          </w:tcPr>
          <w:p>
            <w:pPr>
              <w:jc w:val="center"/>
              <w:rPr>
                <w:rFonts w:ascii="宋体" w:hAnsi="宋体"/>
                <w:szCs w:val="21"/>
              </w:rPr>
            </w:pPr>
          </w:p>
        </w:tc>
        <w:tc>
          <w:tcPr>
            <w:tcW w:w="972" w:type="dxa"/>
            <w:vAlign w:val="center"/>
          </w:tcPr>
          <w:p>
            <w:pPr>
              <w:jc w:val="center"/>
              <w:rPr>
                <w:rFonts w:ascii="宋体" w:hAnsi="宋体"/>
                <w:szCs w:val="21"/>
              </w:rPr>
            </w:pPr>
          </w:p>
        </w:tc>
        <w:tc>
          <w:tcPr>
            <w:tcW w:w="973" w:type="dxa"/>
            <w:vAlign w:val="center"/>
          </w:tcPr>
          <w:p>
            <w:pPr>
              <w:jc w:val="center"/>
              <w:rPr>
                <w:rFonts w:ascii="宋体" w:hAnsi="宋体"/>
                <w:szCs w:val="21"/>
              </w:rPr>
            </w:pPr>
          </w:p>
        </w:tc>
        <w:tc>
          <w:tcPr>
            <w:tcW w:w="973" w:type="dxa"/>
            <w:vAlign w:val="center"/>
          </w:tcPr>
          <w:p>
            <w:pPr>
              <w:jc w:val="center"/>
              <w:rPr>
                <w:rFonts w:ascii="宋体" w:hAnsi="宋体"/>
                <w:szCs w:val="21"/>
              </w:rPr>
            </w:pPr>
          </w:p>
        </w:tc>
        <w:tc>
          <w:tcPr>
            <w:tcW w:w="974" w:type="dxa"/>
            <w:vAlign w:val="center"/>
          </w:tcPr>
          <w:p>
            <w:pPr>
              <w:jc w:val="center"/>
              <w:rPr>
                <w:rFonts w:ascii="宋体" w:hAnsi="宋体"/>
                <w:szCs w:val="21"/>
              </w:rPr>
            </w:pPr>
          </w:p>
        </w:tc>
        <w:tc>
          <w:tcPr>
            <w:tcW w:w="1046" w:type="dxa"/>
            <w:vAlign w:val="center"/>
          </w:tcPr>
          <w:p>
            <w:pPr>
              <w:jc w:val="center"/>
              <w:rPr>
                <w:rFonts w:ascii="宋体" w:hAnsi="宋体"/>
                <w:szCs w:val="21"/>
              </w:rPr>
            </w:pPr>
          </w:p>
        </w:tc>
        <w:tc>
          <w:tcPr>
            <w:tcW w:w="969" w:type="dxa"/>
            <w:vAlign w:val="center"/>
          </w:tcPr>
          <w:p>
            <w:pPr>
              <w:jc w:val="center"/>
              <w:rPr>
                <w:rFonts w:ascii="宋体" w:hAnsi="宋体"/>
                <w:szCs w:val="21"/>
              </w:rPr>
            </w:pPr>
          </w:p>
        </w:tc>
        <w:tc>
          <w:tcPr>
            <w:tcW w:w="1037" w:type="dxa"/>
            <w:vAlign w:val="center"/>
          </w:tcPr>
          <w:p>
            <w:pPr>
              <w:jc w:val="center"/>
              <w:rPr>
                <w:rFonts w:ascii="宋体" w:hAnsi="宋体"/>
                <w:szCs w:val="21"/>
              </w:rPr>
            </w:pPr>
          </w:p>
        </w:tc>
        <w:tc>
          <w:tcPr>
            <w:tcW w:w="969"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70" w:type="dxa"/>
            <w:vAlign w:val="center"/>
          </w:tcPr>
          <w:p>
            <w:pPr>
              <w:jc w:val="center"/>
              <w:rPr>
                <w:rFonts w:ascii="宋体" w:hAnsi="宋体"/>
                <w:szCs w:val="21"/>
              </w:rPr>
            </w:pPr>
          </w:p>
        </w:tc>
        <w:tc>
          <w:tcPr>
            <w:tcW w:w="972" w:type="dxa"/>
            <w:vAlign w:val="center"/>
          </w:tcPr>
          <w:p>
            <w:pPr>
              <w:jc w:val="center"/>
              <w:rPr>
                <w:rFonts w:ascii="宋体" w:hAnsi="宋体"/>
                <w:szCs w:val="21"/>
              </w:rPr>
            </w:pPr>
          </w:p>
        </w:tc>
        <w:tc>
          <w:tcPr>
            <w:tcW w:w="972" w:type="dxa"/>
            <w:vAlign w:val="center"/>
          </w:tcPr>
          <w:p>
            <w:pPr>
              <w:jc w:val="center"/>
              <w:rPr>
                <w:rFonts w:ascii="宋体" w:hAnsi="宋体"/>
                <w:szCs w:val="21"/>
              </w:rPr>
            </w:pPr>
          </w:p>
        </w:tc>
        <w:tc>
          <w:tcPr>
            <w:tcW w:w="973" w:type="dxa"/>
            <w:vAlign w:val="center"/>
          </w:tcPr>
          <w:p>
            <w:pPr>
              <w:jc w:val="center"/>
              <w:rPr>
                <w:rFonts w:ascii="宋体" w:hAnsi="宋体"/>
                <w:szCs w:val="21"/>
              </w:rPr>
            </w:pPr>
          </w:p>
        </w:tc>
        <w:tc>
          <w:tcPr>
            <w:tcW w:w="973" w:type="dxa"/>
            <w:vAlign w:val="center"/>
          </w:tcPr>
          <w:p>
            <w:pPr>
              <w:jc w:val="center"/>
              <w:rPr>
                <w:rFonts w:ascii="宋体" w:hAnsi="宋体"/>
                <w:szCs w:val="21"/>
              </w:rPr>
            </w:pPr>
          </w:p>
        </w:tc>
        <w:tc>
          <w:tcPr>
            <w:tcW w:w="974" w:type="dxa"/>
            <w:vAlign w:val="center"/>
          </w:tcPr>
          <w:p>
            <w:pPr>
              <w:jc w:val="center"/>
              <w:rPr>
                <w:rFonts w:ascii="宋体" w:hAnsi="宋体"/>
                <w:szCs w:val="21"/>
              </w:rPr>
            </w:pPr>
          </w:p>
        </w:tc>
        <w:tc>
          <w:tcPr>
            <w:tcW w:w="1046" w:type="dxa"/>
            <w:vAlign w:val="center"/>
          </w:tcPr>
          <w:p>
            <w:pPr>
              <w:jc w:val="center"/>
              <w:rPr>
                <w:rFonts w:ascii="宋体" w:hAnsi="宋体"/>
                <w:szCs w:val="21"/>
              </w:rPr>
            </w:pPr>
          </w:p>
        </w:tc>
        <w:tc>
          <w:tcPr>
            <w:tcW w:w="969" w:type="dxa"/>
            <w:vAlign w:val="center"/>
          </w:tcPr>
          <w:p>
            <w:pPr>
              <w:jc w:val="center"/>
              <w:rPr>
                <w:rFonts w:ascii="宋体" w:hAnsi="宋体"/>
                <w:szCs w:val="21"/>
              </w:rPr>
            </w:pPr>
          </w:p>
        </w:tc>
        <w:tc>
          <w:tcPr>
            <w:tcW w:w="1037" w:type="dxa"/>
            <w:vAlign w:val="center"/>
          </w:tcPr>
          <w:p>
            <w:pPr>
              <w:jc w:val="center"/>
              <w:rPr>
                <w:rFonts w:ascii="宋体" w:hAnsi="宋体"/>
                <w:szCs w:val="21"/>
              </w:rPr>
            </w:pPr>
          </w:p>
        </w:tc>
        <w:tc>
          <w:tcPr>
            <w:tcW w:w="969"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70" w:type="dxa"/>
            <w:vAlign w:val="center"/>
          </w:tcPr>
          <w:p>
            <w:pPr>
              <w:jc w:val="center"/>
              <w:rPr>
                <w:rFonts w:ascii="宋体" w:hAnsi="宋体"/>
                <w:szCs w:val="21"/>
              </w:rPr>
            </w:pPr>
          </w:p>
        </w:tc>
        <w:tc>
          <w:tcPr>
            <w:tcW w:w="972" w:type="dxa"/>
            <w:vAlign w:val="center"/>
          </w:tcPr>
          <w:p>
            <w:pPr>
              <w:jc w:val="center"/>
              <w:rPr>
                <w:rFonts w:ascii="宋体" w:hAnsi="宋体"/>
                <w:szCs w:val="21"/>
              </w:rPr>
            </w:pPr>
          </w:p>
        </w:tc>
        <w:tc>
          <w:tcPr>
            <w:tcW w:w="972" w:type="dxa"/>
            <w:vAlign w:val="center"/>
          </w:tcPr>
          <w:p>
            <w:pPr>
              <w:jc w:val="center"/>
              <w:rPr>
                <w:rFonts w:ascii="宋体" w:hAnsi="宋体"/>
                <w:szCs w:val="21"/>
              </w:rPr>
            </w:pPr>
          </w:p>
        </w:tc>
        <w:tc>
          <w:tcPr>
            <w:tcW w:w="973" w:type="dxa"/>
            <w:vAlign w:val="center"/>
          </w:tcPr>
          <w:p>
            <w:pPr>
              <w:jc w:val="center"/>
              <w:rPr>
                <w:rFonts w:ascii="宋体" w:hAnsi="宋体"/>
                <w:szCs w:val="21"/>
              </w:rPr>
            </w:pPr>
          </w:p>
        </w:tc>
        <w:tc>
          <w:tcPr>
            <w:tcW w:w="973" w:type="dxa"/>
            <w:vAlign w:val="center"/>
          </w:tcPr>
          <w:p>
            <w:pPr>
              <w:jc w:val="center"/>
              <w:rPr>
                <w:rFonts w:ascii="宋体" w:hAnsi="宋体"/>
                <w:szCs w:val="21"/>
              </w:rPr>
            </w:pPr>
          </w:p>
        </w:tc>
        <w:tc>
          <w:tcPr>
            <w:tcW w:w="974" w:type="dxa"/>
            <w:vAlign w:val="center"/>
          </w:tcPr>
          <w:p>
            <w:pPr>
              <w:jc w:val="center"/>
              <w:rPr>
                <w:rFonts w:ascii="宋体" w:hAnsi="宋体"/>
                <w:szCs w:val="21"/>
              </w:rPr>
            </w:pPr>
          </w:p>
        </w:tc>
        <w:tc>
          <w:tcPr>
            <w:tcW w:w="1046" w:type="dxa"/>
            <w:vAlign w:val="center"/>
          </w:tcPr>
          <w:p>
            <w:pPr>
              <w:jc w:val="center"/>
              <w:rPr>
                <w:rFonts w:ascii="宋体" w:hAnsi="宋体"/>
                <w:szCs w:val="21"/>
              </w:rPr>
            </w:pPr>
          </w:p>
        </w:tc>
        <w:tc>
          <w:tcPr>
            <w:tcW w:w="969" w:type="dxa"/>
            <w:vAlign w:val="center"/>
          </w:tcPr>
          <w:p>
            <w:pPr>
              <w:jc w:val="center"/>
              <w:rPr>
                <w:rFonts w:ascii="宋体" w:hAnsi="宋体"/>
                <w:szCs w:val="21"/>
              </w:rPr>
            </w:pPr>
          </w:p>
        </w:tc>
        <w:tc>
          <w:tcPr>
            <w:tcW w:w="1037" w:type="dxa"/>
            <w:vAlign w:val="center"/>
          </w:tcPr>
          <w:p>
            <w:pPr>
              <w:jc w:val="center"/>
              <w:rPr>
                <w:rFonts w:ascii="宋体" w:hAnsi="宋体"/>
                <w:szCs w:val="21"/>
              </w:rPr>
            </w:pPr>
          </w:p>
        </w:tc>
        <w:tc>
          <w:tcPr>
            <w:tcW w:w="969" w:type="dxa"/>
            <w:vAlign w:val="center"/>
          </w:tcPr>
          <w:p>
            <w:pPr>
              <w:jc w:val="center"/>
              <w:rPr>
                <w:rFonts w:ascii="宋体" w:hAnsi="宋体"/>
                <w:szCs w:val="21"/>
              </w:rPr>
            </w:pPr>
          </w:p>
        </w:tc>
      </w:tr>
    </w:tbl>
    <w:p>
      <w:pPr>
        <w:spacing w:line="360" w:lineRule="auto"/>
        <w:rPr>
          <w:rFonts w:hAnsi="宋体"/>
          <w:szCs w:val="21"/>
        </w:rPr>
        <w:sectPr>
          <w:footerReference r:id="rId9" w:type="default"/>
          <w:footerReference r:id="rId10" w:type="even"/>
          <w:pgSz w:w="11907" w:h="16840"/>
          <w:pgMar w:top="1134" w:right="1134" w:bottom="1134" w:left="1134" w:header="720" w:footer="720" w:gutter="0"/>
          <w:cols w:space="720" w:num="1"/>
        </w:sectPr>
      </w:pPr>
    </w:p>
    <w:p>
      <w:pPr>
        <w:spacing w:line="360" w:lineRule="auto"/>
        <w:rPr>
          <w:rFonts w:ascii="黑体" w:eastAsia="黑体" w:cs="黑体"/>
          <w:kern w:val="0"/>
          <w:sz w:val="23"/>
          <w:szCs w:val="23"/>
        </w:rPr>
      </w:pPr>
      <w:r>
        <w:rPr>
          <w:rFonts w:hint="eastAsia" w:ascii="黑体" w:eastAsia="黑体" w:cs="黑体"/>
          <w:kern w:val="0"/>
          <w:sz w:val="23"/>
          <w:szCs w:val="23"/>
        </w:rPr>
        <w:t>附表二：拟配备本工程的试验和检测仪器设备表</w:t>
      </w:r>
    </w:p>
    <w:tbl>
      <w:tblPr>
        <w:tblStyle w:val="14"/>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0"/>
        <w:gridCol w:w="972"/>
        <w:gridCol w:w="972"/>
        <w:gridCol w:w="973"/>
        <w:gridCol w:w="973"/>
        <w:gridCol w:w="974"/>
        <w:gridCol w:w="1046"/>
        <w:gridCol w:w="1962"/>
        <w:gridCol w:w="10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70"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序号</w:t>
            </w:r>
          </w:p>
        </w:tc>
        <w:tc>
          <w:tcPr>
            <w:tcW w:w="972"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设备名称</w:t>
            </w:r>
          </w:p>
        </w:tc>
        <w:tc>
          <w:tcPr>
            <w:tcW w:w="972"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型号规格</w:t>
            </w:r>
          </w:p>
        </w:tc>
        <w:tc>
          <w:tcPr>
            <w:tcW w:w="973"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数量</w:t>
            </w:r>
          </w:p>
        </w:tc>
        <w:tc>
          <w:tcPr>
            <w:tcW w:w="973"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国别产地</w:t>
            </w:r>
          </w:p>
        </w:tc>
        <w:tc>
          <w:tcPr>
            <w:tcW w:w="974"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制造年份</w:t>
            </w:r>
          </w:p>
        </w:tc>
        <w:tc>
          <w:tcPr>
            <w:tcW w:w="1046"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已使用台时数</w:t>
            </w:r>
          </w:p>
        </w:tc>
        <w:tc>
          <w:tcPr>
            <w:tcW w:w="1962"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用途</w:t>
            </w:r>
          </w:p>
        </w:tc>
        <w:tc>
          <w:tcPr>
            <w:tcW w:w="1013"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70" w:type="dxa"/>
            <w:vAlign w:val="center"/>
          </w:tcPr>
          <w:p>
            <w:pPr>
              <w:jc w:val="center"/>
              <w:rPr>
                <w:rFonts w:ascii="宋体" w:hAnsi="宋体"/>
                <w:szCs w:val="21"/>
              </w:rPr>
            </w:pPr>
          </w:p>
        </w:tc>
        <w:tc>
          <w:tcPr>
            <w:tcW w:w="972" w:type="dxa"/>
            <w:vAlign w:val="center"/>
          </w:tcPr>
          <w:p>
            <w:pPr>
              <w:jc w:val="center"/>
              <w:rPr>
                <w:rFonts w:ascii="宋体" w:hAnsi="宋体"/>
                <w:szCs w:val="21"/>
              </w:rPr>
            </w:pPr>
          </w:p>
        </w:tc>
        <w:tc>
          <w:tcPr>
            <w:tcW w:w="972" w:type="dxa"/>
            <w:vAlign w:val="center"/>
          </w:tcPr>
          <w:p>
            <w:pPr>
              <w:jc w:val="center"/>
              <w:rPr>
                <w:rFonts w:ascii="宋体" w:hAnsi="宋体"/>
                <w:szCs w:val="21"/>
              </w:rPr>
            </w:pPr>
          </w:p>
        </w:tc>
        <w:tc>
          <w:tcPr>
            <w:tcW w:w="973" w:type="dxa"/>
            <w:vAlign w:val="center"/>
          </w:tcPr>
          <w:p>
            <w:pPr>
              <w:jc w:val="center"/>
              <w:rPr>
                <w:rFonts w:ascii="宋体" w:hAnsi="宋体"/>
                <w:szCs w:val="21"/>
              </w:rPr>
            </w:pPr>
          </w:p>
        </w:tc>
        <w:tc>
          <w:tcPr>
            <w:tcW w:w="973" w:type="dxa"/>
            <w:vAlign w:val="center"/>
          </w:tcPr>
          <w:p>
            <w:pPr>
              <w:jc w:val="center"/>
              <w:rPr>
                <w:rFonts w:ascii="宋体" w:hAnsi="宋体"/>
                <w:szCs w:val="21"/>
              </w:rPr>
            </w:pPr>
          </w:p>
        </w:tc>
        <w:tc>
          <w:tcPr>
            <w:tcW w:w="974" w:type="dxa"/>
            <w:vAlign w:val="center"/>
          </w:tcPr>
          <w:p>
            <w:pPr>
              <w:jc w:val="center"/>
              <w:rPr>
                <w:rFonts w:ascii="宋体" w:hAnsi="宋体"/>
                <w:szCs w:val="21"/>
              </w:rPr>
            </w:pPr>
          </w:p>
        </w:tc>
        <w:tc>
          <w:tcPr>
            <w:tcW w:w="1046" w:type="dxa"/>
            <w:vAlign w:val="center"/>
          </w:tcPr>
          <w:p>
            <w:pPr>
              <w:jc w:val="center"/>
              <w:rPr>
                <w:rFonts w:ascii="宋体" w:hAnsi="宋体"/>
                <w:szCs w:val="21"/>
              </w:rPr>
            </w:pPr>
          </w:p>
        </w:tc>
        <w:tc>
          <w:tcPr>
            <w:tcW w:w="1962" w:type="dxa"/>
            <w:vAlign w:val="center"/>
          </w:tcPr>
          <w:p>
            <w:pPr>
              <w:jc w:val="center"/>
              <w:rPr>
                <w:rFonts w:ascii="宋体" w:hAnsi="宋体"/>
                <w:szCs w:val="21"/>
              </w:rPr>
            </w:pPr>
          </w:p>
        </w:tc>
        <w:tc>
          <w:tcPr>
            <w:tcW w:w="1013"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70" w:type="dxa"/>
            <w:vAlign w:val="center"/>
          </w:tcPr>
          <w:p>
            <w:pPr>
              <w:jc w:val="center"/>
              <w:rPr>
                <w:rFonts w:ascii="宋体" w:hAnsi="宋体"/>
                <w:szCs w:val="21"/>
              </w:rPr>
            </w:pPr>
          </w:p>
        </w:tc>
        <w:tc>
          <w:tcPr>
            <w:tcW w:w="972" w:type="dxa"/>
            <w:vAlign w:val="center"/>
          </w:tcPr>
          <w:p>
            <w:pPr>
              <w:jc w:val="center"/>
              <w:rPr>
                <w:rFonts w:ascii="宋体" w:hAnsi="宋体"/>
                <w:szCs w:val="21"/>
              </w:rPr>
            </w:pPr>
          </w:p>
        </w:tc>
        <w:tc>
          <w:tcPr>
            <w:tcW w:w="972" w:type="dxa"/>
            <w:vAlign w:val="center"/>
          </w:tcPr>
          <w:p>
            <w:pPr>
              <w:jc w:val="center"/>
              <w:rPr>
                <w:rFonts w:ascii="宋体" w:hAnsi="宋体"/>
                <w:szCs w:val="21"/>
              </w:rPr>
            </w:pPr>
          </w:p>
        </w:tc>
        <w:tc>
          <w:tcPr>
            <w:tcW w:w="973" w:type="dxa"/>
            <w:vAlign w:val="center"/>
          </w:tcPr>
          <w:p>
            <w:pPr>
              <w:jc w:val="center"/>
              <w:rPr>
                <w:rFonts w:ascii="宋体" w:hAnsi="宋体"/>
                <w:szCs w:val="21"/>
              </w:rPr>
            </w:pPr>
          </w:p>
        </w:tc>
        <w:tc>
          <w:tcPr>
            <w:tcW w:w="973" w:type="dxa"/>
            <w:vAlign w:val="center"/>
          </w:tcPr>
          <w:p>
            <w:pPr>
              <w:jc w:val="center"/>
              <w:rPr>
                <w:rFonts w:ascii="宋体" w:hAnsi="宋体"/>
                <w:szCs w:val="21"/>
              </w:rPr>
            </w:pPr>
          </w:p>
        </w:tc>
        <w:tc>
          <w:tcPr>
            <w:tcW w:w="974" w:type="dxa"/>
            <w:vAlign w:val="center"/>
          </w:tcPr>
          <w:p>
            <w:pPr>
              <w:jc w:val="center"/>
              <w:rPr>
                <w:rFonts w:ascii="宋体" w:hAnsi="宋体"/>
                <w:szCs w:val="21"/>
              </w:rPr>
            </w:pPr>
          </w:p>
        </w:tc>
        <w:tc>
          <w:tcPr>
            <w:tcW w:w="1046" w:type="dxa"/>
            <w:vAlign w:val="center"/>
          </w:tcPr>
          <w:p>
            <w:pPr>
              <w:jc w:val="center"/>
              <w:rPr>
                <w:rFonts w:ascii="宋体" w:hAnsi="宋体"/>
                <w:szCs w:val="21"/>
              </w:rPr>
            </w:pPr>
          </w:p>
        </w:tc>
        <w:tc>
          <w:tcPr>
            <w:tcW w:w="1962" w:type="dxa"/>
            <w:vAlign w:val="center"/>
          </w:tcPr>
          <w:p>
            <w:pPr>
              <w:jc w:val="center"/>
              <w:rPr>
                <w:rFonts w:ascii="宋体" w:hAnsi="宋体"/>
                <w:szCs w:val="21"/>
              </w:rPr>
            </w:pPr>
          </w:p>
        </w:tc>
        <w:tc>
          <w:tcPr>
            <w:tcW w:w="1013"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70" w:type="dxa"/>
            <w:vAlign w:val="center"/>
          </w:tcPr>
          <w:p>
            <w:pPr>
              <w:jc w:val="center"/>
              <w:rPr>
                <w:rFonts w:ascii="宋体" w:hAnsi="宋体"/>
                <w:szCs w:val="21"/>
              </w:rPr>
            </w:pPr>
          </w:p>
        </w:tc>
        <w:tc>
          <w:tcPr>
            <w:tcW w:w="972" w:type="dxa"/>
            <w:vAlign w:val="center"/>
          </w:tcPr>
          <w:p>
            <w:pPr>
              <w:jc w:val="center"/>
              <w:rPr>
                <w:rFonts w:ascii="宋体" w:hAnsi="宋体"/>
                <w:szCs w:val="21"/>
              </w:rPr>
            </w:pPr>
          </w:p>
        </w:tc>
        <w:tc>
          <w:tcPr>
            <w:tcW w:w="972" w:type="dxa"/>
            <w:vAlign w:val="center"/>
          </w:tcPr>
          <w:p>
            <w:pPr>
              <w:jc w:val="center"/>
              <w:rPr>
                <w:rFonts w:ascii="宋体" w:hAnsi="宋体"/>
                <w:szCs w:val="21"/>
              </w:rPr>
            </w:pPr>
          </w:p>
        </w:tc>
        <w:tc>
          <w:tcPr>
            <w:tcW w:w="973" w:type="dxa"/>
            <w:vAlign w:val="center"/>
          </w:tcPr>
          <w:p>
            <w:pPr>
              <w:jc w:val="center"/>
              <w:rPr>
                <w:rFonts w:ascii="宋体" w:hAnsi="宋体"/>
                <w:szCs w:val="21"/>
              </w:rPr>
            </w:pPr>
          </w:p>
        </w:tc>
        <w:tc>
          <w:tcPr>
            <w:tcW w:w="973" w:type="dxa"/>
            <w:vAlign w:val="center"/>
          </w:tcPr>
          <w:p>
            <w:pPr>
              <w:jc w:val="center"/>
              <w:rPr>
                <w:rFonts w:ascii="宋体" w:hAnsi="宋体"/>
                <w:szCs w:val="21"/>
              </w:rPr>
            </w:pPr>
          </w:p>
        </w:tc>
        <w:tc>
          <w:tcPr>
            <w:tcW w:w="974" w:type="dxa"/>
            <w:vAlign w:val="center"/>
          </w:tcPr>
          <w:p>
            <w:pPr>
              <w:jc w:val="center"/>
              <w:rPr>
                <w:rFonts w:ascii="宋体" w:hAnsi="宋体"/>
                <w:szCs w:val="21"/>
              </w:rPr>
            </w:pPr>
          </w:p>
        </w:tc>
        <w:tc>
          <w:tcPr>
            <w:tcW w:w="1046" w:type="dxa"/>
            <w:vAlign w:val="center"/>
          </w:tcPr>
          <w:p>
            <w:pPr>
              <w:jc w:val="center"/>
              <w:rPr>
                <w:rFonts w:ascii="宋体" w:hAnsi="宋体"/>
                <w:szCs w:val="21"/>
              </w:rPr>
            </w:pPr>
          </w:p>
        </w:tc>
        <w:tc>
          <w:tcPr>
            <w:tcW w:w="1962" w:type="dxa"/>
            <w:vAlign w:val="center"/>
          </w:tcPr>
          <w:p>
            <w:pPr>
              <w:jc w:val="center"/>
              <w:rPr>
                <w:rFonts w:ascii="宋体" w:hAnsi="宋体"/>
                <w:szCs w:val="21"/>
              </w:rPr>
            </w:pPr>
          </w:p>
        </w:tc>
        <w:tc>
          <w:tcPr>
            <w:tcW w:w="1013"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70" w:type="dxa"/>
            <w:vAlign w:val="center"/>
          </w:tcPr>
          <w:p>
            <w:pPr>
              <w:jc w:val="center"/>
              <w:rPr>
                <w:rFonts w:ascii="宋体" w:hAnsi="宋体"/>
                <w:szCs w:val="21"/>
              </w:rPr>
            </w:pPr>
          </w:p>
        </w:tc>
        <w:tc>
          <w:tcPr>
            <w:tcW w:w="972" w:type="dxa"/>
            <w:vAlign w:val="center"/>
          </w:tcPr>
          <w:p>
            <w:pPr>
              <w:jc w:val="center"/>
              <w:rPr>
                <w:rFonts w:ascii="宋体" w:hAnsi="宋体"/>
                <w:szCs w:val="21"/>
              </w:rPr>
            </w:pPr>
          </w:p>
        </w:tc>
        <w:tc>
          <w:tcPr>
            <w:tcW w:w="972" w:type="dxa"/>
            <w:vAlign w:val="center"/>
          </w:tcPr>
          <w:p>
            <w:pPr>
              <w:jc w:val="center"/>
              <w:rPr>
                <w:rFonts w:ascii="宋体" w:hAnsi="宋体"/>
                <w:szCs w:val="21"/>
              </w:rPr>
            </w:pPr>
          </w:p>
        </w:tc>
        <w:tc>
          <w:tcPr>
            <w:tcW w:w="973" w:type="dxa"/>
            <w:vAlign w:val="center"/>
          </w:tcPr>
          <w:p>
            <w:pPr>
              <w:jc w:val="center"/>
              <w:rPr>
                <w:rFonts w:ascii="宋体" w:hAnsi="宋体"/>
                <w:szCs w:val="21"/>
              </w:rPr>
            </w:pPr>
          </w:p>
        </w:tc>
        <w:tc>
          <w:tcPr>
            <w:tcW w:w="973" w:type="dxa"/>
            <w:vAlign w:val="center"/>
          </w:tcPr>
          <w:p>
            <w:pPr>
              <w:jc w:val="center"/>
              <w:rPr>
                <w:rFonts w:ascii="宋体" w:hAnsi="宋体"/>
                <w:szCs w:val="21"/>
              </w:rPr>
            </w:pPr>
          </w:p>
        </w:tc>
        <w:tc>
          <w:tcPr>
            <w:tcW w:w="974" w:type="dxa"/>
            <w:vAlign w:val="center"/>
          </w:tcPr>
          <w:p>
            <w:pPr>
              <w:jc w:val="center"/>
              <w:rPr>
                <w:rFonts w:ascii="宋体" w:hAnsi="宋体"/>
                <w:szCs w:val="21"/>
              </w:rPr>
            </w:pPr>
          </w:p>
        </w:tc>
        <w:tc>
          <w:tcPr>
            <w:tcW w:w="1046" w:type="dxa"/>
            <w:vAlign w:val="center"/>
          </w:tcPr>
          <w:p>
            <w:pPr>
              <w:jc w:val="center"/>
              <w:rPr>
                <w:rFonts w:ascii="宋体" w:hAnsi="宋体"/>
                <w:szCs w:val="21"/>
              </w:rPr>
            </w:pPr>
          </w:p>
        </w:tc>
        <w:tc>
          <w:tcPr>
            <w:tcW w:w="1962" w:type="dxa"/>
            <w:vAlign w:val="center"/>
          </w:tcPr>
          <w:p>
            <w:pPr>
              <w:jc w:val="center"/>
              <w:rPr>
                <w:rFonts w:ascii="宋体" w:hAnsi="宋体"/>
                <w:szCs w:val="21"/>
              </w:rPr>
            </w:pPr>
          </w:p>
        </w:tc>
        <w:tc>
          <w:tcPr>
            <w:tcW w:w="1013"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70" w:type="dxa"/>
            <w:vAlign w:val="center"/>
          </w:tcPr>
          <w:p>
            <w:pPr>
              <w:jc w:val="center"/>
              <w:rPr>
                <w:rFonts w:ascii="宋体" w:hAnsi="宋体"/>
                <w:szCs w:val="21"/>
              </w:rPr>
            </w:pPr>
          </w:p>
        </w:tc>
        <w:tc>
          <w:tcPr>
            <w:tcW w:w="972" w:type="dxa"/>
            <w:vAlign w:val="center"/>
          </w:tcPr>
          <w:p>
            <w:pPr>
              <w:jc w:val="center"/>
              <w:rPr>
                <w:rFonts w:ascii="宋体" w:hAnsi="宋体"/>
                <w:szCs w:val="21"/>
              </w:rPr>
            </w:pPr>
          </w:p>
        </w:tc>
        <w:tc>
          <w:tcPr>
            <w:tcW w:w="972" w:type="dxa"/>
            <w:vAlign w:val="center"/>
          </w:tcPr>
          <w:p>
            <w:pPr>
              <w:jc w:val="center"/>
              <w:rPr>
                <w:rFonts w:ascii="宋体" w:hAnsi="宋体"/>
                <w:szCs w:val="21"/>
              </w:rPr>
            </w:pPr>
          </w:p>
        </w:tc>
        <w:tc>
          <w:tcPr>
            <w:tcW w:w="973" w:type="dxa"/>
            <w:vAlign w:val="center"/>
          </w:tcPr>
          <w:p>
            <w:pPr>
              <w:jc w:val="center"/>
              <w:rPr>
                <w:rFonts w:ascii="宋体" w:hAnsi="宋体"/>
                <w:szCs w:val="21"/>
              </w:rPr>
            </w:pPr>
          </w:p>
        </w:tc>
        <w:tc>
          <w:tcPr>
            <w:tcW w:w="973" w:type="dxa"/>
            <w:vAlign w:val="center"/>
          </w:tcPr>
          <w:p>
            <w:pPr>
              <w:jc w:val="center"/>
              <w:rPr>
                <w:rFonts w:ascii="宋体" w:hAnsi="宋体"/>
                <w:szCs w:val="21"/>
              </w:rPr>
            </w:pPr>
          </w:p>
        </w:tc>
        <w:tc>
          <w:tcPr>
            <w:tcW w:w="974" w:type="dxa"/>
            <w:vAlign w:val="center"/>
          </w:tcPr>
          <w:p>
            <w:pPr>
              <w:jc w:val="center"/>
              <w:rPr>
                <w:rFonts w:ascii="宋体" w:hAnsi="宋体"/>
                <w:szCs w:val="21"/>
              </w:rPr>
            </w:pPr>
          </w:p>
        </w:tc>
        <w:tc>
          <w:tcPr>
            <w:tcW w:w="1046" w:type="dxa"/>
            <w:vAlign w:val="center"/>
          </w:tcPr>
          <w:p>
            <w:pPr>
              <w:jc w:val="center"/>
              <w:rPr>
                <w:rFonts w:ascii="宋体" w:hAnsi="宋体"/>
                <w:szCs w:val="21"/>
              </w:rPr>
            </w:pPr>
          </w:p>
        </w:tc>
        <w:tc>
          <w:tcPr>
            <w:tcW w:w="1962" w:type="dxa"/>
            <w:vAlign w:val="center"/>
          </w:tcPr>
          <w:p>
            <w:pPr>
              <w:jc w:val="center"/>
              <w:rPr>
                <w:rFonts w:ascii="宋体" w:hAnsi="宋体"/>
                <w:szCs w:val="21"/>
              </w:rPr>
            </w:pPr>
          </w:p>
        </w:tc>
        <w:tc>
          <w:tcPr>
            <w:tcW w:w="1013"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70" w:type="dxa"/>
            <w:vAlign w:val="center"/>
          </w:tcPr>
          <w:p>
            <w:pPr>
              <w:jc w:val="center"/>
              <w:rPr>
                <w:rFonts w:ascii="宋体" w:hAnsi="宋体"/>
                <w:szCs w:val="21"/>
              </w:rPr>
            </w:pPr>
          </w:p>
        </w:tc>
        <w:tc>
          <w:tcPr>
            <w:tcW w:w="972" w:type="dxa"/>
            <w:vAlign w:val="center"/>
          </w:tcPr>
          <w:p>
            <w:pPr>
              <w:jc w:val="center"/>
              <w:rPr>
                <w:rFonts w:ascii="宋体" w:hAnsi="宋体"/>
                <w:szCs w:val="21"/>
              </w:rPr>
            </w:pPr>
          </w:p>
        </w:tc>
        <w:tc>
          <w:tcPr>
            <w:tcW w:w="972" w:type="dxa"/>
            <w:vAlign w:val="center"/>
          </w:tcPr>
          <w:p>
            <w:pPr>
              <w:jc w:val="center"/>
              <w:rPr>
                <w:rFonts w:ascii="宋体" w:hAnsi="宋体"/>
                <w:szCs w:val="21"/>
              </w:rPr>
            </w:pPr>
          </w:p>
        </w:tc>
        <w:tc>
          <w:tcPr>
            <w:tcW w:w="973" w:type="dxa"/>
            <w:vAlign w:val="center"/>
          </w:tcPr>
          <w:p>
            <w:pPr>
              <w:jc w:val="center"/>
              <w:rPr>
                <w:rFonts w:ascii="宋体" w:hAnsi="宋体"/>
                <w:szCs w:val="21"/>
              </w:rPr>
            </w:pPr>
          </w:p>
        </w:tc>
        <w:tc>
          <w:tcPr>
            <w:tcW w:w="973" w:type="dxa"/>
            <w:vAlign w:val="center"/>
          </w:tcPr>
          <w:p>
            <w:pPr>
              <w:jc w:val="center"/>
              <w:rPr>
                <w:rFonts w:ascii="宋体" w:hAnsi="宋体"/>
                <w:szCs w:val="21"/>
              </w:rPr>
            </w:pPr>
          </w:p>
        </w:tc>
        <w:tc>
          <w:tcPr>
            <w:tcW w:w="974" w:type="dxa"/>
            <w:vAlign w:val="center"/>
          </w:tcPr>
          <w:p>
            <w:pPr>
              <w:jc w:val="center"/>
              <w:rPr>
                <w:rFonts w:ascii="宋体" w:hAnsi="宋体"/>
                <w:szCs w:val="21"/>
              </w:rPr>
            </w:pPr>
          </w:p>
        </w:tc>
        <w:tc>
          <w:tcPr>
            <w:tcW w:w="1046" w:type="dxa"/>
            <w:vAlign w:val="center"/>
          </w:tcPr>
          <w:p>
            <w:pPr>
              <w:jc w:val="center"/>
              <w:rPr>
                <w:rFonts w:ascii="宋体" w:hAnsi="宋体"/>
                <w:szCs w:val="21"/>
              </w:rPr>
            </w:pPr>
          </w:p>
        </w:tc>
        <w:tc>
          <w:tcPr>
            <w:tcW w:w="1962" w:type="dxa"/>
            <w:vAlign w:val="center"/>
          </w:tcPr>
          <w:p>
            <w:pPr>
              <w:jc w:val="center"/>
              <w:rPr>
                <w:rFonts w:ascii="宋体" w:hAnsi="宋体"/>
                <w:szCs w:val="21"/>
              </w:rPr>
            </w:pPr>
          </w:p>
        </w:tc>
        <w:tc>
          <w:tcPr>
            <w:tcW w:w="1013"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70" w:type="dxa"/>
            <w:vAlign w:val="center"/>
          </w:tcPr>
          <w:p>
            <w:pPr>
              <w:jc w:val="center"/>
              <w:rPr>
                <w:rFonts w:ascii="宋体" w:hAnsi="宋体"/>
                <w:szCs w:val="21"/>
              </w:rPr>
            </w:pPr>
          </w:p>
        </w:tc>
        <w:tc>
          <w:tcPr>
            <w:tcW w:w="972" w:type="dxa"/>
            <w:vAlign w:val="center"/>
          </w:tcPr>
          <w:p>
            <w:pPr>
              <w:jc w:val="center"/>
              <w:rPr>
                <w:rFonts w:ascii="宋体" w:hAnsi="宋体"/>
                <w:szCs w:val="21"/>
              </w:rPr>
            </w:pPr>
          </w:p>
        </w:tc>
        <w:tc>
          <w:tcPr>
            <w:tcW w:w="972" w:type="dxa"/>
            <w:vAlign w:val="center"/>
          </w:tcPr>
          <w:p>
            <w:pPr>
              <w:jc w:val="center"/>
              <w:rPr>
                <w:rFonts w:ascii="宋体" w:hAnsi="宋体"/>
                <w:szCs w:val="21"/>
              </w:rPr>
            </w:pPr>
          </w:p>
        </w:tc>
        <w:tc>
          <w:tcPr>
            <w:tcW w:w="973" w:type="dxa"/>
            <w:vAlign w:val="center"/>
          </w:tcPr>
          <w:p>
            <w:pPr>
              <w:jc w:val="center"/>
              <w:rPr>
                <w:rFonts w:ascii="宋体" w:hAnsi="宋体"/>
                <w:szCs w:val="21"/>
              </w:rPr>
            </w:pPr>
          </w:p>
        </w:tc>
        <w:tc>
          <w:tcPr>
            <w:tcW w:w="973" w:type="dxa"/>
            <w:vAlign w:val="center"/>
          </w:tcPr>
          <w:p>
            <w:pPr>
              <w:jc w:val="center"/>
              <w:rPr>
                <w:rFonts w:ascii="宋体" w:hAnsi="宋体"/>
                <w:szCs w:val="21"/>
              </w:rPr>
            </w:pPr>
          </w:p>
        </w:tc>
        <w:tc>
          <w:tcPr>
            <w:tcW w:w="974" w:type="dxa"/>
            <w:vAlign w:val="center"/>
          </w:tcPr>
          <w:p>
            <w:pPr>
              <w:jc w:val="center"/>
              <w:rPr>
                <w:rFonts w:ascii="宋体" w:hAnsi="宋体"/>
                <w:szCs w:val="21"/>
              </w:rPr>
            </w:pPr>
          </w:p>
        </w:tc>
        <w:tc>
          <w:tcPr>
            <w:tcW w:w="1046" w:type="dxa"/>
            <w:vAlign w:val="center"/>
          </w:tcPr>
          <w:p>
            <w:pPr>
              <w:jc w:val="center"/>
              <w:rPr>
                <w:rFonts w:ascii="宋体" w:hAnsi="宋体"/>
                <w:szCs w:val="21"/>
              </w:rPr>
            </w:pPr>
          </w:p>
        </w:tc>
        <w:tc>
          <w:tcPr>
            <w:tcW w:w="1962" w:type="dxa"/>
            <w:vAlign w:val="center"/>
          </w:tcPr>
          <w:p>
            <w:pPr>
              <w:jc w:val="center"/>
              <w:rPr>
                <w:rFonts w:ascii="宋体" w:hAnsi="宋体"/>
                <w:szCs w:val="21"/>
              </w:rPr>
            </w:pPr>
          </w:p>
        </w:tc>
        <w:tc>
          <w:tcPr>
            <w:tcW w:w="1013"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70" w:type="dxa"/>
            <w:vAlign w:val="center"/>
          </w:tcPr>
          <w:p>
            <w:pPr>
              <w:jc w:val="center"/>
              <w:rPr>
                <w:rFonts w:ascii="宋体" w:hAnsi="宋体"/>
                <w:szCs w:val="21"/>
              </w:rPr>
            </w:pPr>
          </w:p>
        </w:tc>
        <w:tc>
          <w:tcPr>
            <w:tcW w:w="972" w:type="dxa"/>
            <w:vAlign w:val="center"/>
          </w:tcPr>
          <w:p>
            <w:pPr>
              <w:jc w:val="center"/>
              <w:rPr>
                <w:rFonts w:ascii="宋体" w:hAnsi="宋体"/>
                <w:szCs w:val="21"/>
              </w:rPr>
            </w:pPr>
          </w:p>
        </w:tc>
        <w:tc>
          <w:tcPr>
            <w:tcW w:w="972" w:type="dxa"/>
            <w:vAlign w:val="center"/>
          </w:tcPr>
          <w:p>
            <w:pPr>
              <w:jc w:val="center"/>
              <w:rPr>
                <w:rFonts w:ascii="宋体" w:hAnsi="宋体"/>
                <w:szCs w:val="21"/>
              </w:rPr>
            </w:pPr>
          </w:p>
        </w:tc>
        <w:tc>
          <w:tcPr>
            <w:tcW w:w="973" w:type="dxa"/>
            <w:vAlign w:val="center"/>
          </w:tcPr>
          <w:p>
            <w:pPr>
              <w:jc w:val="center"/>
              <w:rPr>
                <w:rFonts w:ascii="宋体" w:hAnsi="宋体"/>
                <w:szCs w:val="21"/>
              </w:rPr>
            </w:pPr>
          </w:p>
        </w:tc>
        <w:tc>
          <w:tcPr>
            <w:tcW w:w="973" w:type="dxa"/>
            <w:vAlign w:val="center"/>
          </w:tcPr>
          <w:p>
            <w:pPr>
              <w:jc w:val="center"/>
              <w:rPr>
                <w:rFonts w:ascii="宋体" w:hAnsi="宋体"/>
                <w:szCs w:val="21"/>
              </w:rPr>
            </w:pPr>
          </w:p>
        </w:tc>
        <w:tc>
          <w:tcPr>
            <w:tcW w:w="974" w:type="dxa"/>
            <w:vAlign w:val="center"/>
          </w:tcPr>
          <w:p>
            <w:pPr>
              <w:jc w:val="center"/>
              <w:rPr>
                <w:rFonts w:ascii="宋体" w:hAnsi="宋体"/>
                <w:szCs w:val="21"/>
              </w:rPr>
            </w:pPr>
          </w:p>
        </w:tc>
        <w:tc>
          <w:tcPr>
            <w:tcW w:w="1046" w:type="dxa"/>
            <w:vAlign w:val="center"/>
          </w:tcPr>
          <w:p>
            <w:pPr>
              <w:jc w:val="center"/>
              <w:rPr>
                <w:rFonts w:ascii="宋体" w:hAnsi="宋体"/>
                <w:szCs w:val="21"/>
              </w:rPr>
            </w:pPr>
          </w:p>
        </w:tc>
        <w:tc>
          <w:tcPr>
            <w:tcW w:w="1962" w:type="dxa"/>
            <w:vAlign w:val="center"/>
          </w:tcPr>
          <w:p>
            <w:pPr>
              <w:jc w:val="center"/>
              <w:rPr>
                <w:rFonts w:ascii="宋体" w:hAnsi="宋体"/>
                <w:szCs w:val="21"/>
              </w:rPr>
            </w:pPr>
          </w:p>
        </w:tc>
        <w:tc>
          <w:tcPr>
            <w:tcW w:w="1013"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70" w:type="dxa"/>
            <w:vAlign w:val="center"/>
          </w:tcPr>
          <w:p>
            <w:pPr>
              <w:jc w:val="center"/>
              <w:rPr>
                <w:rFonts w:ascii="宋体" w:hAnsi="宋体"/>
                <w:szCs w:val="21"/>
              </w:rPr>
            </w:pPr>
          </w:p>
        </w:tc>
        <w:tc>
          <w:tcPr>
            <w:tcW w:w="972" w:type="dxa"/>
            <w:vAlign w:val="center"/>
          </w:tcPr>
          <w:p>
            <w:pPr>
              <w:jc w:val="center"/>
              <w:rPr>
                <w:rFonts w:ascii="宋体" w:hAnsi="宋体"/>
                <w:szCs w:val="21"/>
              </w:rPr>
            </w:pPr>
          </w:p>
        </w:tc>
        <w:tc>
          <w:tcPr>
            <w:tcW w:w="972" w:type="dxa"/>
            <w:vAlign w:val="center"/>
          </w:tcPr>
          <w:p>
            <w:pPr>
              <w:jc w:val="center"/>
              <w:rPr>
                <w:rFonts w:ascii="宋体" w:hAnsi="宋体"/>
                <w:szCs w:val="21"/>
              </w:rPr>
            </w:pPr>
          </w:p>
        </w:tc>
        <w:tc>
          <w:tcPr>
            <w:tcW w:w="973" w:type="dxa"/>
            <w:vAlign w:val="center"/>
          </w:tcPr>
          <w:p>
            <w:pPr>
              <w:jc w:val="center"/>
              <w:rPr>
                <w:rFonts w:ascii="宋体" w:hAnsi="宋体"/>
                <w:szCs w:val="21"/>
              </w:rPr>
            </w:pPr>
          </w:p>
        </w:tc>
        <w:tc>
          <w:tcPr>
            <w:tcW w:w="973" w:type="dxa"/>
            <w:vAlign w:val="center"/>
          </w:tcPr>
          <w:p>
            <w:pPr>
              <w:jc w:val="center"/>
              <w:rPr>
                <w:rFonts w:ascii="宋体" w:hAnsi="宋体"/>
                <w:szCs w:val="21"/>
              </w:rPr>
            </w:pPr>
          </w:p>
        </w:tc>
        <w:tc>
          <w:tcPr>
            <w:tcW w:w="974" w:type="dxa"/>
            <w:vAlign w:val="center"/>
          </w:tcPr>
          <w:p>
            <w:pPr>
              <w:jc w:val="center"/>
              <w:rPr>
                <w:rFonts w:ascii="宋体" w:hAnsi="宋体"/>
                <w:szCs w:val="21"/>
              </w:rPr>
            </w:pPr>
          </w:p>
        </w:tc>
        <w:tc>
          <w:tcPr>
            <w:tcW w:w="1046" w:type="dxa"/>
            <w:vAlign w:val="center"/>
          </w:tcPr>
          <w:p>
            <w:pPr>
              <w:jc w:val="center"/>
              <w:rPr>
                <w:rFonts w:ascii="宋体" w:hAnsi="宋体"/>
                <w:szCs w:val="21"/>
              </w:rPr>
            </w:pPr>
          </w:p>
        </w:tc>
        <w:tc>
          <w:tcPr>
            <w:tcW w:w="1962" w:type="dxa"/>
            <w:vAlign w:val="center"/>
          </w:tcPr>
          <w:p>
            <w:pPr>
              <w:jc w:val="center"/>
              <w:rPr>
                <w:rFonts w:ascii="宋体" w:hAnsi="宋体"/>
                <w:szCs w:val="21"/>
              </w:rPr>
            </w:pPr>
          </w:p>
        </w:tc>
        <w:tc>
          <w:tcPr>
            <w:tcW w:w="1013"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70" w:type="dxa"/>
            <w:vAlign w:val="center"/>
          </w:tcPr>
          <w:p>
            <w:pPr>
              <w:jc w:val="center"/>
              <w:rPr>
                <w:rFonts w:ascii="宋体" w:hAnsi="宋体"/>
                <w:szCs w:val="21"/>
              </w:rPr>
            </w:pPr>
          </w:p>
        </w:tc>
        <w:tc>
          <w:tcPr>
            <w:tcW w:w="972" w:type="dxa"/>
            <w:vAlign w:val="center"/>
          </w:tcPr>
          <w:p>
            <w:pPr>
              <w:jc w:val="center"/>
              <w:rPr>
                <w:rFonts w:ascii="宋体" w:hAnsi="宋体"/>
                <w:szCs w:val="21"/>
              </w:rPr>
            </w:pPr>
          </w:p>
        </w:tc>
        <w:tc>
          <w:tcPr>
            <w:tcW w:w="972" w:type="dxa"/>
            <w:vAlign w:val="center"/>
          </w:tcPr>
          <w:p>
            <w:pPr>
              <w:jc w:val="center"/>
              <w:rPr>
                <w:rFonts w:ascii="宋体" w:hAnsi="宋体"/>
                <w:szCs w:val="21"/>
              </w:rPr>
            </w:pPr>
          </w:p>
        </w:tc>
        <w:tc>
          <w:tcPr>
            <w:tcW w:w="973" w:type="dxa"/>
            <w:vAlign w:val="center"/>
          </w:tcPr>
          <w:p>
            <w:pPr>
              <w:jc w:val="center"/>
              <w:rPr>
                <w:rFonts w:ascii="宋体" w:hAnsi="宋体"/>
                <w:szCs w:val="21"/>
              </w:rPr>
            </w:pPr>
          </w:p>
        </w:tc>
        <w:tc>
          <w:tcPr>
            <w:tcW w:w="973" w:type="dxa"/>
            <w:vAlign w:val="center"/>
          </w:tcPr>
          <w:p>
            <w:pPr>
              <w:jc w:val="center"/>
              <w:rPr>
                <w:rFonts w:ascii="宋体" w:hAnsi="宋体"/>
                <w:szCs w:val="21"/>
              </w:rPr>
            </w:pPr>
          </w:p>
        </w:tc>
        <w:tc>
          <w:tcPr>
            <w:tcW w:w="974" w:type="dxa"/>
            <w:vAlign w:val="center"/>
          </w:tcPr>
          <w:p>
            <w:pPr>
              <w:jc w:val="center"/>
              <w:rPr>
                <w:rFonts w:ascii="宋体" w:hAnsi="宋体"/>
                <w:szCs w:val="21"/>
              </w:rPr>
            </w:pPr>
          </w:p>
        </w:tc>
        <w:tc>
          <w:tcPr>
            <w:tcW w:w="1046" w:type="dxa"/>
            <w:vAlign w:val="center"/>
          </w:tcPr>
          <w:p>
            <w:pPr>
              <w:jc w:val="center"/>
              <w:rPr>
                <w:rFonts w:ascii="宋体" w:hAnsi="宋体"/>
                <w:szCs w:val="21"/>
              </w:rPr>
            </w:pPr>
          </w:p>
        </w:tc>
        <w:tc>
          <w:tcPr>
            <w:tcW w:w="1962" w:type="dxa"/>
            <w:vAlign w:val="center"/>
          </w:tcPr>
          <w:p>
            <w:pPr>
              <w:jc w:val="center"/>
              <w:rPr>
                <w:rFonts w:ascii="宋体" w:hAnsi="宋体"/>
                <w:szCs w:val="21"/>
              </w:rPr>
            </w:pPr>
          </w:p>
        </w:tc>
        <w:tc>
          <w:tcPr>
            <w:tcW w:w="1013"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70" w:type="dxa"/>
            <w:vAlign w:val="center"/>
          </w:tcPr>
          <w:p>
            <w:pPr>
              <w:jc w:val="center"/>
              <w:rPr>
                <w:rFonts w:ascii="宋体" w:hAnsi="宋体"/>
                <w:szCs w:val="21"/>
              </w:rPr>
            </w:pPr>
          </w:p>
        </w:tc>
        <w:tc>
          <w:tcPr>
            <w:tcW w:w="972" w:type="dxa"/>
            <w:vAlign w:val="center"/>
          </w:tcPr>
          <w:p>
            <w:pPr>
              <w:jc w:val="center"/>
              <w:rPr>
                <w:rFonts w:ascii="宋体" w:hAnsi="宋体"/>
                <w:szCs w:val="21"/>
              </w:rPr>
            </w:pPr>
          </w:p>
        </w:tc>
        <w:tc>
          <w:tcPr>
            <w:tcW w:w="972" w:type="dxa"/>
            <w:vAlign w:val="center"/>
          </w:tcPr>
          <w:p>
            <w:pPr>
              <w:jc w:val="center"/>
              <w:rPr>
                <w:rFonts w:ascii="宋体" w:hAnsi="宋体"/>
                <w:szCs w:val="21"/>
              </w:rPr>
            </w:pPr>
          </w:p>
        </w:tc>
        <w:tc>
          <w:tcPr>
            <w:tcW w:w="973" w:type="dxa"/>
            <w:vAlign w:val="center"/>
          </w:tcPr>
          <w:p>
            <w:pPr>
              <w:jc w:val="center"/>
              <w:rPr>
                <w:rFonts w:ascii="宋体" w:hAnsi="宋体"/>
                <w:szCs w:val="21"/>
              </w:rPr>
            </w:pPr>
          </w:p>
        </w:tc>
        <w:tc>
          <w:tcPr>
            <w:tcW w:w="973" w:type="dxa"/>
            <w:vAlign w:val="center"/>
          </w:tcPr>
          <w:p>
            <w:pPr>
              <w:jc w:val="center"/>
              <w:rPr>
                <w:rFonts w:ascii="宋体" w:hAnsi="宋体"/>
                <w:szCs w:val="21"/>
              </w:rPr>
            </w:pPr>
          </w:p>
        </w:tc>
        <w:tc>
          <w:tcPr>
            <w:tcW w:w="974" w:type="dxa"/>
            <w:vAlign w:val="center"/>
          </w:tcPr>
          <w:p>
            <w:pPr>
              <w:jc w:val="center"/>
              <w:rPr>
                <w:rFonts w:ascii="宋体" w:hAnsi="宋体"/>
                <w:szCs w:val="21"/>
              </w:rPr>
            </w:pPr>
          </w:p>
        </w:tc>
        <w:tc>
          <w:tcPr>
            <w:tcW w:w="1046" w:type="dxa"/>
            <w:vAlign w:val="center"/>
          </w:tcPr>
          <w:p>
            <w:pPr>
              <w:jc w:val="center"/>
              <w:rPr>
                <w:rFonts w:ascii="宋体" w:hAnsi="宋体"/>
                <w:szCs w:val="21"/>
              </w:rPr>
            </w:pPr>
          </w:p>
        </w:tc>
        <w:tc>
          <w:tcPr>
            <w:tcW w:w="1962" w:type="dxa"/>
            <w:vAlign w:val="center"/>
          </w:tcPr>
          <w:p>
            <w:pPr>
              <w:jc w:val="center"/>
              <w:rPr>
                <w:rFonts w:ascii="宋体" w:hAnsi="宋体"/>
                <w:szCs w:val="21"/>
              </w:rPr>
            </w:pPr>
          </w:p>
        </w:tc>
        <w:tc>
          <w:tcPr>
            <w:tcW w:w="1013"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70" w:type="dxa"/>
            <w:vAlign w:val="center"/>
          </w:tcPr>
          <w:p>
            <w:pPr>
              <w:jc w:val="center"/>
              <w:rPr>
                <w:rFonts w:ascii="宋体" w:hAnsi="宋体"/>
                <w:szCs w:val="21"/>
              </w:rPr>
            </w:pPr>
          </w:p>
        </w:tc>
        <w:tc>
          <w:tcPr>
            <w:tcW w:w="972" w:type="dxa"/>
            <w:vAlign w:val="center"/>
          </w:tcPr>
          <w:p>
            <w:pPr>
              <w:jc w:val="center"/>
              <w:rPr>
                <w:rFonts w:ascii="宋体" w:hAnsi="宋体"/>
                <w:szCs w:val="21"/>
              </w:rPr>
            </w:pPr>
          </w:p>
        </w:tc>
        <w:tc>
          <w:tcPr>
            <w:tcW w:w="972" w:type="dxa"/>
            <w:vAlign w:val="center"/>
          </w:tcPr>
          <w:p>
            <w:pPr>
              <w:jc w:val="center"/>
              <w:rPr>
                <w:rFonts w:ascii="宋体" w:hAnsi="宋体"/>
                <w:szCs w:val="21"/>
              </w:rPr>
            </w:pPr>
          </w:p>
        </w:tc>
        <w:tc>
          <w:tcPr>
            <w:tcW w:w="973" w:type="dxa"/>
            <w:vAlign w:val="center"/>
          </w:tcPr>
          <w:p>
            <w:pPr>
              <w:jc w:val="center"/>
              <w:rPr>
                <w:rFonts w:ascii="宋体" w:hAnsi="宋体"/>
                <w:szCs w:val="21"/>
              </w:rPr>
            </w:pPr>
          </w:p>
        </w:tc>
        <w:tc>
          <w:tcPr>
            <w:tcW w:w="973" w:type="dxa"/>
            <w:vAlign w:val="center"/>
          </w:tcPr>
          <w:p>
            <w:pPr>
              <w:jc w:val="center"/>
              <w:rPr>
                <w:rFonts w:ascii="宋体" w:hAnsi="宋体"/>
                <w:szCs w:val="21"/>
              </w:rPr>
            </w:pPr>
          </w:p>
        </w:tc>
        <w:tc>
          <w:tcPr>
            <w:tcW w:w="974" w:type="dxa"/>
            <w:vAlign w:val="center"/>
          </w:tcPr>
          <w:p>
            <w:pPr>
              <w:jc w:val="center"/>
              <w:rPr>
                <w:rFonts w:ascii="宋体" w:hAnsi="宋体"/>
                <w:szCs w:val="21"/>
              </w:rPr>
            </w:pPr>
          </w:p>
        </w:tc>
        <w:tc>
          <w:tcPr>
            <w:tcW w:w="1046" w:type="dxa"/>
            <w:vAlign w:val="center"/>
          </w:tcPr>
          <w:p>
            <w:pPr>
              <w:jc w:val="center"/>
              <w:rPr>
                <w:rFonts w:ascii="宋体" w:hAnsi="宋体"/>
                <w:szCs w:val="21"/>
              </w:rPr>
            </w:pPr>
          </w:p>
        </w:tc>
        <w:tc>
          <w:tcPr>
            <w:tcW w:w="1962" w:type="dxa"/>
            <w:vAlign w:val="center"/>
          </w:tcPr>
          <w:p>
            <w:pPr>
              <w:jc w:val="center"/>
              <w:rPr>
                <w:rFonts w:ascii="宋体" w:hAnsi="宋体"/>
                <w:szCs w:val="21"/>
              </w:rPr>
            </w:pPr>
          </w:p>
        </w:tc>
        <w:tc>
          <w:tcPr>
            <w:tcW w:w="1013"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70" w:type="dxa"/>
            <w:vAlign w:val="center"/>
          </w:tcPr>
          <w:p>
            <w:pPr>
              <w:jc w:val="center"/>
              <w:rPr>
                <w:rFonts w:ascii="宋体" w:hAnsi="宋体"/>
                <w:szCs w:val="21"/>
              </w:rPr>
            </w:pPr>
          </w:p>
        </w:tc>
        <w:tc>
          <w:tcPr>
            <w:tcW w:w="972" w:type="dxa"/>
            <w:vAlign w:val="center"/>
          </w:tcPr>
          <w:p>
            <w:pPr>
              <w:jc w:val="center"/>
              <w:rPr>
                <w:rFonts w:ascii="宋体" w:hAnsi="宋体"/>
                <w:szCs w:val="21"/>
              </w:rPr>
            </w:pPr>
          </w:p>
        </w:tc>
        <w:tc>
          <w:tcPr>
            <w:tcW w:w="972" w:type="dxa"/>
            <w:vAlign w:val="center"/>
          </w:tcPr>
          <w:p>
            <w:pPr>
              <w:jc w:val="center"/>
              <w:rPr>
                <w:rFonts w:ascii="宋体" w:hAnsi="宋体"/>
                <w:szCs w:val="21"/>
              </w:rPr>
            </w:pPr>
          </w:p>
        </w:tc>
        <w:tc>
          <w:tcPr>
            <w:tcW w:w="973" w:type="dxa"/>
            <w:vAlign w:val="center"/>
          </w:tcPr>
          <w:p>
            <w:pPr>
              <w:jc w:val="center"/>
              <w:rPr>
                <w:rFonts w:ascii="宋体" w:hAnsi="宋体"/>
                <w:szCs w:val="21"/>
              </w:rPr>
            </w:pPr>
          </w:p>
        </w:tc>
        <w:tc>
          <w:tcPr>
            <w:tcW w:w="973" w:type="dxa"/>
            <w:vAlign w:val="center"/>
          </w:tcPr>
          <w:p>
            <w:pPr>
              <w:jc w:val="center"/>
              <w:rPr>
                <w:rFonts w:ascii="宋体" w:hAnsi="宋体"/>
                <w:szCs w:val="21"/>
              </w:rPr>
            </w:pPr>
          </w:p>
        </w:tc>
        <w:tc>
          <w:tcPr>
            <w:tcW w:w="974" w:type="dxa"/>
            <w:vAlign w:val="center"/>
          </w:tcPr>
          <w:p>
            <w:pPr>
              <w:jc w:val="center"/>
              <w:rPr>
                <w:rFonts w:ascii="宋体" w:hAnsi="宋体"/>
                <w:szCs w:val="21"/>
              </w:rPr>
            </w:pPr>
          </w:p>
        </w:tc>
        <w:tc>
          <w:tcPr>
            <w:tcW w:w="1046" w:type="dxa"/>
            <w:vAlign w:val="center"/>
          </w:tcPr>
          <w:p>
            <w:pPr>
              <w:jc w:val="center"/>
              <w:rPr>
                <w:rFonts w:ascii="宋体" w:hAnsi="宋体"/>
                <w:szCs w:val="21"/>
              </w:rPr>
            </w:pPr>
          </w:p>
        </w:tc>
        <w:tc>
          <w:tcPr>
            <w:tcW w:w="1962" w:type="dxa"/>
            <w:vAlign w:val="center"/>
          </w:tcPr>
          <w:p>
            <w:pPr>
              <w:jc w:val="center"/>
              <w:rPr>
                <w:rFonts w:ascii="宋体" w:hAnsi="宋体"/>
                <w:szCs w:val="21"/>
              </w:rPr>
            </w:pPr>
          </w:p>
        </w:tc>
        <w:tc>
          <w:tcPr>
            <w:tcW w:w="1013"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70" w:type="dxa"/>
            <w:vAlign w:val="center"/>
          </w:tcPr>
          <w:p>
            <w:pPr>
              <w:jc w:val="center"/>
              <w:rPr>
                <w:rFonts w:ascii="宋体" w:hAnsi="宋体"/>
                <w:szCs w:val="21"/>
              </w:rPr>
            </w:pPr>
          </w:p>
        </w:tc>
        <w:tc>
          <w:tcPr>
            <w:tcW w:w="972" w:type="dxa"/>
            <w:vAlign w:val="center"/>
          </w:tcPr>
          <w:p>
            <w:pPr>
              <w:jc w:val="center"/>
              <w:rPr>
                <w:rFonts w:ascii="宋体" w:hAnsi="宋体"/>
                <w:szCs w:val="21"/>
              </w:rPr>
            </w:pPr>
          </w:p>
        </w:tc>
        <w:tc>
          <w:tcPr>
            <w:tcW w:w="972" w:type="dxa"/>
            <w:vAlign w:val="center"/>
          </w:tcPr>
          <w:p>
            <w:pPr>
              <w:jc w:val="center"/>
              <w:rPr>
                <w:rFonts w:ascii="宋体" w:hAnsi="宋体"/>
                <w:szCs w:val="21"/>
              </w:rPr>
            </w:pPr>
          </w:p>
        </w:tc>
        <w:tc>
          <w:tcPr>
            <w:tcW w:w="973" w:type="dxa"/>
            <w:vAlign w:val="center"/>
          </w:tcPr>
          <w:p>
            <w:pPr>
              <w:jc w:val="center"/>
              <w:rPr>
                <w:rFonts w:ascii="宋体" w:hAnsi="宋体"/>
                <w:szCs w:val="21"/>
              </w:rPr>
            </w:pPr>
          </w:p>
        </w:tc>
        <w:tc>
          <w:tcPr>
            <w:tcW w:w="973" w:type="dxa"/>
            <w:vAlign w:val="center"/>
          </w:tcPr>
          <w:p>
            <w:pPr>
              <w:jc w:val="center"/>
              <w:rPr>
                <w:rFonts w:ascii="宋体" w:hAnsi="宋体"/>
                <w:szCs w:val="21"/>
              </w:rPr>
            </w:pPr>
          </w:p>
        </w:tc>
        <w:tc>
          <w:tcPr>
            <w:tcW w:w="974" w:type="dxa"/>
            <w:vAlign w:val="center"/>
          </w:tcPr>
          <w:p>
            <w:pPr>
              <w:jc w:val="center"/>
              <w:rPr>
                <w:rFonts w:ascii="宋体" w:hAnsi="宋体"/>
                <w:szCs w:val="21"/>
              </w:rPr>
            </w:pPr>
          </w:p>
        </w:tc>
        <w:tc>
          <w:tcPr>
            <w:tcW w:w="1046" w:type="dxa"/>
            <w:vAlign w:val="center"/>
          </w:tcPr>
          <w:p>
            <w:pPr>
              <w:jc w:val="center"/>
              <w:rPr>
                <w:rFonts w:ascii="宋体" w:hAnsi="宋体"/>
                <w:szCs w:val="21"/>
              </w:rPr>
            </w:pPr>
          </w:p>
        </w:tc>
        <w:tc>
          <w:tcPr>
            <w:tcW w:w="1962" w:type="dxa"/>
            <w:vAlign w:val="center"/>
          </w:tcPr>
          <w:p>
            <w:pPr>
              <w:jc w:val="center"/>
              <w:rPr>
                <w:rFonts w:ascii="宋体" w:hAnsi="宋体"/>
                <w:szCs w:val="21"/>
              </w:rPr>
            </w:pPr>
          </w:p>
        </w:tc>
        <w:tc>
          <w:tcPr>
            <w:tcW w:w="1013"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70" w:type="dxa"/>
            <w:vAlign w:val="center"/>
          </w:tcPr>
          <w:p>
            <w:pPr>
              <w:jc w:val="center"/>
              <w:rPr>
                <w:rFonts w:ascii="宋体" w:hAnsi="宋体"/>
                <w:szCs w:val="21"/>
              </w:rPr>
            </w:pPr>
          </w:p>
        </w:tc>
        <w:tc>
          <w:tcPr>
            <w:tcW w:w="972" w:type="dxa"/>
            <w:vAlign w:val="center"/>
          </w:tcPr>
          <w:p>
            <w:pPr>
              <w:jc w:val="center"/>
              <w:rPr>
                <w:rFonts w:ascii="宋体" w:hAnsi="宋体"/>
                <w:szCs w:val="21"/>
              </w:rPr>
            </w:pPr>
          </w:p>
        </w:tc>
        <w:tc>
          <w:tcPr>
            <w:tcW w:w="972" w:type="dxa"/>
            <w:vAlign w:val="center"/>
          </w:tcPr>
          <w:p>
            <w:pPr>
              <w:jc w:val="center"/>
              <w:rPr>
                <w:rFonts w:ascii="宋体" w:hAnsi="宋体"/>
                <w:szCs w:val="21"/>
              </w:rPr>
            </w:pPr>
          </w:p>
        </w:tc>
        <w:tc>
          <w:tcPr>
            <w:tcW w:w="973" w:type="dxa"/>
            <w:vAlign w:val="center"/>
          </w:tcPr>
          <w:p>
            <w:pPr>
              <w:jc w:val="center"/>
              <w:rPr>
                <w:rFonts w:ascii="宋体" w:hAnsi="宋体"/>
                <w:szCs w:val="21"/>
              </w:rPr>
            </w:pPr>
          </w:p>
        </w:tc>
        <w:tc>
          <w:tcPr>
            <w:tcW w:w="973" w:type="dxa"/>
            <w:vAlign w:val="center"/>
          </w:tcPr>
          <w:p>
            <w:pPr>
              <w:jc w:val="center"/>
              <w:rPr>
                <w:rFonts w:ascii="宋体" w:hAnsi="宋体"/>
                <w:szCs w:val="21"/>
              </w:rPr>
            </w:pPr>
          </w:p>
        </w:tc>
        <w:tc>
          <w:tcPr>
            <w:tcW w:w="974" w:type="dxa"/>
            <w:vAlign w:val="center"/>
          </w:tcPr>
          <w:p>
            <w:pPr>
              <w:jc w:val="center"/>
              <w:rPr>
                <w:rFonts w:ascii="宋体" w:hAnsi="宋体"/>
                <w:szCs w:val="21"/>
              </w:rPr>
            </w:pPr>
          </w:p>
        </w:tc>
        <w:tc>
          <w:tcPr>
            <w:tcW w:w="1046" w:type="dxa"/>
            <w:vAlign w:val="center"/>
          </w:tcPr>
          <w:p>
            <w:pPr>
              <w:jc w:val="center"/>
              <w:rPr>
                <w:rFonts w:ascii="宋体" w:hAnsi="宋体"/>
                <w:szCs w:val="21"/>
              </w:rPr>
            </w:pPr>
          </w:p>
        </w:tc>
        <w:tc>
          <w:tcPr>
            <w:tcW w:w="1962" w:type="dxa"/>
            <w:vAlign w:val="center"/>
          </w:tcPr>
          <w:p>
            <w:pPr>
              <w:jc w:val="center"/>
              <w:rPr>
                <w:rFonts w:ascii="宋体" w:hAnsi="宋体"/>
                <w:szCs w:val="21"/>
              </w:rPr>
            </w:pPr>
          </w:p>
        </w:tc>
        <w:tc>
          <w:tcPr>
            <w:tcW w:w="1013"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70" w:type="dxa"/>
            <w:vAlign w:val="center"/>
          </w:tcPr>
          <w:p>
            <w:pPr>
              <w:jc w:val="center"/>
              <w:rPr>
                <w:rFonts w:ascii="宋体" w:hAnsi="宋体"/>
                <w:szCs w:val="21"/>
              </w:rPr>
            </w:pPr>
          </w:p>
        </w:tc>
        <w:tc>
          <w:tcPr>
            <w:tcW w:w="972" w:type="dxa"/>
            <w:vAlign w:val="center"/>
          </w:tcPr>
          <w:p>
            <w:pPr>
              <w:jc w:val="center"/>
              <w:rPr>
                <w:rFonts w:ascii="宋体" w:hAnsi="宋体"/>
                <w:szCs w:val="21"/>
              </w:rPr>
            </w:pPr>
          </w:p>
        </w:tc>
        <w:tc>
          <w:tcPr>
            <w:tcW w:w="972" w:type="dxa"/>
            <w:vAlign w:val="center"/>
          </w:tcPr>
          <w:p>
            <w:pPr>
              <w:jc w:val="center"/>
              <w:rPr>
                <w:rFonts w:ascii="宋体" w:hAnsi="宋体"/>
                <w:szCs w:val="21"/>
              </w:rPr>
            </w:pPr>
          </w:p>
        </w:tc>
        <w:tc>
          <w:tcPr>
            <w:tcW w:w="973" w:type="dxa"/>
            <w:vAlign w:val="center"/>
          </w:tcPr>
          <w:p>
            <w:pPr>
              <w:jc w:val="center"/>
              <w:rPr>
                <w:rFonts w:ascii="宋体" w:hAnsi="宋体"/>
                <w:szCs w:val="21"/>
              </w:rPr>
            </w:pPr>
          </w:p>
        </w:tc>
        <w:tc>
          <w:tcPr>
            <w:tcW w:w="973" w:type="dxa"/>
            <w:vAlign w:val="center"/>
          </w:tcPr>
          <w:p>
            <w:pPr>
              <w:jc w:val="center"/>
              <w:rPr>
                <w:rFonts w:ascii="宋体" w:hAnsi="宋体"/>
                <w:szCs w:val="21"/>
              </w:rPr>
            </w:pPr>
          </w:p>
        </w:tc>
        <w:tc>
          <w:tcPr>
            <w:tcW w:w="974" w:type="dxa"/>
            <w:vAlign w:val="center"/>
          </w:tcPr>
          <w:p>
            <w:pPr>
              <w:jc w:val="center"/>
              <w:rPr>
                <w:rFonts w:ascii="宋体" w:hAnsi="宋体"/>
                <w:szCs w:val="21"/>
              </w:rPr>
            </w:pPr>
          </w:p>
        </w:tc>
        <w:tc>
          <w:tcPr>
            <w:tcW w:w="1046" w:type="dxa"/>
            <w:vAlign w:val="center"/>
          </w:tcPr>
          <w:p>
            <w:pPr>
              <w:jc w:val="center"/>
              <w:rPr>
                <w:rFonts w:ascii="宋体" w:hAnsi="宋体"/>
                <w:szCs w:val="21"/>
              </w:rPr>
            </w:pPr>
          </w:p>
        </w:tc>
        <w:tc>
          <w:tcPr>
            <w:tcW w:w="1962" w:type="dxa"/>
            <w:vAlign w:val="center"/>
          </w:tcPr>
          <w:p>
            <w:pPr>
              <w:jc w:val="center"/>
              <w:rPr>
                <w:rFonts w:ascii="宋体" w:hAnsi="宋体"/>
                <w:szCs w:val="21"/>
              </w:rPr>
            </w:pPr>
          </w:p>
        </w:tc>
        <w:tc>
          <w:tcPr>
            <w:tcW w:w="1013"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70" w:type="dxa"/>
            <w:vAlign w:val="center"/>
          </w:tcPr>
          <w:p>
            <w:pPr>
              <w:jc w:val="center"/>
              <w:rPr>
                <w:rFonts w:ascii="宋体" w:hAnsi="宋体"/>
                <w:szCs w:val="21"/>
              </w:rPr>
            </w:pPr>
          </w:p>
        </w:tc>
        <w:tc>
          <w:tcPr>
            <w:tcW w:w="972" w:type="dxa"/>
            <w:vAlign w:val="center"/>
          </w:tcPr>
          <w:p>
            <w:pPr>
              <w:jc w:val="center"/>
              <w:rPr>
                <w:rFonts w:ascii="宋体" w:hAnsi="宋体"/>
                <w:szCs w:val="21"/>
              </w:rPr>
            </w:pPr>
          </w:p>
        </w:tc>
        <w:tc>
          <w:tcPr>
            <w:tcW w:w="972" w:type="dxa"/>
            <w:vAlign w:val="center"/>
          </w:tcPr>
          <w:p>
            <w:pPr>
              <w:jc w:val="center"/>
              <w:rPr>
                <w:rFonts w:ascii="宋体" w:hAnsi="宋体"/>
                <w:szCs w:val="21"/>
              </w:rPr>
            </w:pPr>
          </w:p>
        </w:tc>
        <w:tc>
          <w:tcPr>
            <w:tcW w:w="973" w:type="dxa"/>
            <w:vAlign w:val="center"/>
          </w:tcPr>
          <w:p>
            <w:pPr>
              <w:jc w:val="center"/>
              <w:rPr>
                <w:rFonts w:ascii="宋体" w:hAnsi="宋体"/>
                <w:szCs w:val="21"/>
              </w:rPr>
            </w:pPr>
          </w:p>
        </w:tc>
        <w:tc>
          <w:tcPr>
            <w:tcW w:w="973" w:type="dxa"/>
            <w:vAlign w:val="center"/>
          </w:tcPr>
          <w:p>
            <w:pPr>
              <w:jc w:val="center"/>
              <w:rPr>
                <w:rFonts w:ascii="宋体" w:hAnsi="宋体"/>
                <w:szCs w:val="21"/>
              </w:rPr>
            </w:pPr>
          </w:p>
        </w:tc>
        <w:tc>
          <w:tcPr>
            <w:tcW w:w="974" w:type="dxa"/>
            <w:vAlign w:val="center"/>
          </w:tcPr>
          <w:p>
            <w:pPr>
              <w:jc w:val="center"/>
              <w:rPr>
                <w:rFonts w:ascii="宋体" w:hAnsi="宋体"/>
                <w:szCs w:val="21"/>
              </w:rPr>
            </w:pPr>
          </w:p>
        </w:tc>
        <w:tc>
          <w:tcPr>
            <w:tcW w:w="1046" w:type="dxa"/>
            <w:vAlign w:val="center"/>
          </w:tcPr>
          <w:p>
            <w:pPr>
              <w:jc w:val="center"/>
              <w:rPr>
                <w:rFonts w:ascii="宋体" w:hAnsi="宋体"/>
                <w:szCs w:val="21"/>
              </w:rPr>
            </w:pPr>
          </w:p>
        </w:tc>
        <w:tc>
          <w:tcPr>
            <w:tcW w:w="1962" w:type="dxa"/>
            <w:vAlign w:val="center"/>
          </w:tcPr>
          <w:p>
            <w:pPr>
              <w:jc w:val="center"/>
              <w:rPr>
                <w:rFonts w:ascii="宋体" w:hAnsi="宋体"/>
                <w:szCs w:val="21"/>
              </w:rPr>
            </w:pPr>
          </w:p>
        </w:tc>
        <w:tc>
          <w:tcPr>
            <w:tcW w:w="1013"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70" w:type="dxa"/>
            <w:vAlign w:val="center"/>
          </w:tcPr>
          <w:p>
            <w:pPr>
              <w:jc w:val="center"/>
              <w:rPr>
                <w:rFonts w:ascii="宋体" w:hAnsi="宋体"/>
                <w:szCs w:val="21"/>
              </w:rPr>
            </w:pPr>
          </w:p>
        </w:tc>
        <w:tc>
          <w:tcPr>
            <w:tcW w:w="972" w:type="dxa"/>
            <w:vAlign w:val="center"/>
          </w:tcPr>
          <w:p>
            <w:pPr>
              <w:jc w:val="center"/>
              <w:rPr>
                <w:rFonts w:ascii="宋体" w:hAnsi="宋体"/>
                <w:szCs w:val="21"/>
              </w:rPr>
            </w:pPr>
          </w:p>
        </w:tc>
        <w:tc>
          <w:tcPr>
            <w:tcW w:w="972" w:type="dxa"/>
            <w:vAlign w:val="center"/>
          </w:tcPr>
          <w:p>
            <w:pPr>
              <w:jc w:val="center"/>
              <w:rPr>
                <w:rFonts w:ascii="宋体" w:hAnsi="宋体"/>
                <w:szCs w:val="21"/>
              </w:rPr>
            </w:pPr>
          </w:p>
        </w:tc>
        <w:tc>
          <w:tcPr>
            <w:tcW w:w="973" w:type="dxa"/>
            <w:vAlign w:val="center"/>
          </w:tcPr>
          <w:p>
            <w:pPr>
              <w:jc w:val="center"/>
              <w:rPr>
                <w:rFonts w:ascii="宋体" w:hAnsi="宋体"/>
                <w:szCs w:val="21"/>
              </w:rPr>
            </w:pPr>
          </w:p>
        </w:tc>
        <w:tc>
          <w:tcPr>
            <w:tcW w:w="973" w:type="dxa"/>
            <w:vAlign w:val="center"/>
          </w:tcPr>
          <w:p>
            <w:pPr>
              <w:jc w:val="center"/>
              <w:rPr>
                <w:rFonts w:ascii="宋体" w:hAnsi="宋体"/>
                <w:szCs w:val="21"/>
              </w:rPr>
            </w:pPr>
          </w:p>
        </w:tc>
        <w:tc>
          <w:tcPr>
            <w:tcW w:w="974" w:type="dxa"/>
            <w:vAlign w:val="center"/>
          </w:tcPr>
          <w:p>
            <w:pPr>
              <w:jc w:val="center"/>
              <w:rPr>
                <w:rFonts w:ascii="宋体" w:hAnsi="宋体"/>
                <w:szCs w:val="21"/>
              </w:rPr>
            </w:pPr>
          </w:p>
        </w:tc>
        <w:tc>
          <w:tcPr>
            <w:tcW w:w="1046" w:type="dxa"/>
            <w:vAlign w:val="center"/>
          </w:tcPr>
          <w:p>
            <w:pPr>
              <w:jc w:val="center"/>
              <w:rPr>
                <w:rFonts w:ascii="宋体" w:hAnsi="宋体"/>
                <w:szCs w:val="21"/>
              </w:rPr>
            </w:pPr>
          </w:p>
        </w:tc>
        <w:tc>
          <w:tcPr>
            <w:tcW w:w="1962" w:type="dxa"/>
            <w:vAlign w:val="center"/>
          </w:tcPr>
          <w:p>
            <w:pPr>
              <w:jc w:val="center"/>
              <w:rPr>
                <w:rFonts w:ascii="宋体" w:hAnsi="宋体"/>
                <w:szCs w:val="21"/>
              </w:rPr>
            </w:pPr>
          </w:p>
        </w:tc>
        <w:tc>
          <w:tcPr>
            <w:tcW w:w="1013"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70" w:type="dxa"/>
            <w:vAlign w:val="center"/>
          </w:tcPr>
          <w:p>
            <w:pPr>
              <w:jc w:val="center"/>
              <w:rPr>
                <w:rFonts w:ascii="宋体" w:hAnsi="宋体"/>
                <w:szCs w:val="21"/>
              </w:rPr>
            </w:pPr>
          </w:p>
        </w:tc>
        <w:tc>
          <w:tcPr>
            <w:tcW w:w="972" w:type="dxa"/>
            <w:vAlign w:val="center"/>
          </w:tcPr>
          <w:p>
            <w:pPr>
              <w:jc w:val="center"/>
              <w:rPr>
                <w:rFonts w:ascii="宋体" w:hAnsi="宋体"/>
                <w:szCs w:val="21"/>
              </w:rPr>
            </w:pPr>
          </w:p>
        </w:tc>
        <w:tc>
          <w:tcPr>
            <w:tcW w:w="972" w:type="dxa"/>
            <w:vAlign w:val="center"/>
          </w:tcPr>
          <w:p>
            <w:pPr>
              <w:jc w:val="center"/>
              <w:rPr>
                <w:rFonts w:ascii="宋体" w:hAnsi="宋体"/>
                <w:szCs w:val="21"/>
              </w:rPr>
            </w:pPr>
          </w:p>
        </w:tc>
        <w:tc>
          <w:tcPr>
            <w:tcW w:w="973" w:type="dxa"/>
            <w:vAlign w:val="center"/>
          </w:tcPr>
          <w:p>
            <w:pPr>
              <w:jc w:val="center"/>
              <w:rPr>
                <w:rFonts w:ascii="宋体" w:hAnsi="宋体"/>
                <w:szCs w:val="21"/>
              </w:rPr>
            </w:pPr>
          </w:p>
        </w:tc>
        <w:tc>
          <w:tcPr>
            <w:tcW w:w="973" w:type="dxa"/>
            <w:vAlign w:val="center"/>
          </w:tcPr>
          <w:p>
            <w:pPr>
              <w:jc w:val="center"/>
              <w:rPr>
                <w:rFonts w:ascii="宋体" w:hAnsi="宋体"/>
                <w:szCs w:val="21"/>
              </w:rPr>
            </w:pPr>
          </w:p>
        </w:tc>
        <w:tc>
          <w:tcPr>
            <w:tcW w:w="974" w:type="dxa"/>
            <w:vAlign w:val="center"/>
          </w:tcPr>
          <w:p>
            <w:pPr>
              <w:jc w:val="center"/>
              <w:rPr>
                <w:rFonts w:ascii="宋体" w:hAnsi="宋体"/>
                <w:szCs w:val="21"/>
              </w:rPr>
            </w:pPr>
          </w:p>
        </w:tc>
        <w:tc>
          <w:tcPr>
            <w:tcW w:w="1046" w:type="dxa"/>
            <w:vAlign w:val="center"/>
          </w:tcPr>
          <w:p>
            <w:pPr>
              <w:jc w:val="center"/>
              <w:rPr>
                <w:rFonts w:ascii="宋体" w:hAnsi="宋体"/>
                <w:szCs w:val="21"/>
              </w:rPr>
            </w:pPr>
          </w:p>
        </w:tc>
        <w:tc>
          <w:tcPr>
            <w:tcW w:w="1962" w:type="dxa"/>
            <w:vAlign w:val="center"/>
          </w:tcPr>
          <w:p>
            <w:pPr>
              <w:jc w:val="center"/>
              <w:rPr>
                <w:rFonts w:ascii="宋体" w:hAnsi="宋体"/>
                <w:szCs w:val="21"/>
              </w:rPr>
            </w:pPr>
          </w:p>
        </w:tc>
        <w:tc>
          <w:tcPr>
            <w:tcW w:w="1013"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70" w:type="dxa"/>
            <w:vAlign w:val="center"/>
          </w:tcPr>
          <w:p>
            <w:pPr>
              <w:jc w:val="center"/>
              <w:rPr>
                <w:rFonts w:ascii="宋体" w:hAnsi="宋体"/>
                <w:szCs w:val="21"/>
              </w:rPr>
            </w:pPr>
          </w:p>
        </w:tc>
        <w:tc>
          <w:tcPr>
            <w:tcW w:w="972" w:type="dxa"/>
            <w:vAlign w:val="center"/>
          </w:tcPr>
          <w:p>
            <w:pPr>
              <w:jc w:val="center"/>
              <w:rPr>
                <w:rFonts w:ascii="宋体" w:hAnsi="宋体"/>
                <w:szCs w:val="21"/>
              </w:rPr>
            </w:pPr>
          </w:p>
        </w:tc>
        <w:tc>
          <w:tcPr>
            <w:tcW w:w="972" w:type="dxa"/>
            <w:vAlign w:val="center"/>
          </w:tcPr>
          <w:p>
            <w:pPr>
              <w:jc w:val="center"/>
              <w:rPr>
                <w:rFonts w:ascii="宋体" w:hAnsi="宋体"/>
                <w:szCs w:val="21"/>
              </w:rPr>
            </w:pPr>
          </w:p>
        </w:tc>
        <w:tc>
          <w:tcPr>
            <w:tcW w:w="973" w:type="dxa"/>
            <w:vAlign w:val="center"/>
          </w:tcPr>
          <w:p>
            <w:pPr>
              <w:jc w:val="center"/>
              <w:rPr>
                <w:rFonts w:ascii="宋体" w:hAnsi="宋体"/>
                <w:szCs w:val="21"/>
              </w:rPr>
            </w:pPr>
          </w:p>
        </w:tc>
        <w:tc>
          <w:tcPr>
            <w:tcW w:w="973" w:type="dxa"/>
            <w:vAlign w:val="center"/>
          </w:tcPr>
          <w:p>
            <w:pPr>
              <w:jc w:val="center"/>
              <w:rPr>
                <w:rFonts w:ascii="宋体" w:hAnsi="宋体"/>
                <w:szCs w:val="21"/>
              </w:rPr>
            </w:pPr>
          </w:p>
        </w:tc>
        <w:tc>
          <w:tcPr>
            <w:tcW w:w="974" w:type="dxa"/>
            <w:vAlign w:val="center"/>
          </w:tcPr>
          <w:p>
            <w:pPr>
              <w:jc w:val="center"/>
              <w:rPr>
                <w:rFonts w:ascii="宋体" w:hAnsi="宋体"/>
                <w:szCs w:val="21"/>
              </w:rPr>
            </w:pPr>
          </w:p>
        </w:tc>
        <w:tc>
          <w:tcPr>
            <w:tcW w:w="1046" w:type="dxa"/>
            <w:vAlign w:val="center"/>
          </w:tcPr>
          <w:p>
            <w:pPr>
              <w:jc w:val="center"/>
              <w:rPr>
                <w:rFonts w:ascii="宋体" w:hAnsi="宋体"/>
                <w:szCs w:val="21"/>
              </w:rPr>
            </w:pPr>
          </w:p>
        </w:tc>
        <w:tc>
          <w:tcPr>
            <w:tcW w:w="1962" w:type="dxa"/>
            <w:vAlign w:val="center"/>
          </w:tcPr>
          <w:p>
            <w:pPr>
              <w:jc w:val="center"/>
              <w:rPr>
                <w:rFonts w:ascii="宋体" w:hAnsi="宋体"/>
                <w:szCs w:val="21"/>
              </w:rPr>
            </w:pPr>
          </w:p>
        </w:tc>
        <w:tc>
          <w:tcPr>
            <w:tcW w:w="1013"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70" w:type="dxa"/>
            <w:vAlign w:val="center"/>
          </w:tcPr>
          <w:p>
            <w:pPr>
              <w:jc w:val="center"/>
              <w:rPr>
                <w:rFonts w:ascii="宋体" w:hAnsi="宋体"/>
                <w:szCs w:val="21"/>
              </w:rPr>
            </w:pPr>
          </w:p>
        </w:tc>
        <w:tc>
          <w:tcPr>
            <w:tcW w:w="972" w:type="dxa"/>
            <w:vAlign w:val="center"/>
          </w:tcPr>
          <w:p>
            <w:pPr>
              <w:jc w:val="center"/>
              <w:rPr>
                <w:rFonts w:ascii="宋体" w:hAnsi="宋体"/>
                <w:szCs w:val="21"/>
              </w:rPr>
            </w:pPr>
          </w:p>
        </w:tc>
        <w:tc>
          <w:tcPr>
            <w:tcW w:w="972" w:type="dxa"/>
            <w:vAlign w:val="center"/>
          </w:tcPr>
          <w:p>
            <w:pPr>
              <w:jc w:val="center"/>
              <w:rPr>
                <w:rFonts w:ascii="宋体" w:hAnsi="宋体"/>
                <w:szCs w:val="21"/>
              </w:rPr>
            </w:pPr>
          </w:p>
        </w:tc>
        <w:tc>
          <w:tcPr>
            <w:tcW w:w="973" w:type="dxa"/>
            <w:vAlign w:val="center"/>
          </w:tcPr>
          <w:p>
            <w:pPr>
              <w:jc w:val="center"/>
              <w:rPr>
                <w:rFonts w:ascii="宋体" w:hAnsi="宋体"/>
                <w:szCs w:val="21"/>
              </w:rPr>
            </w:pPr>
          </w:p>
        </w:tc>
        <w:tc>
          <w:tcPr>
            <w:tcW w:w="973" w:type="dxa"/>
            <w:vAlign w:val="center"/>
          </w:tcPr>
          <w:p>
            <w:pPr>
              <w:jc w:val="center"/>
              <w:rPr>
                <w:rFonts w:ascii="宋体" w:hAnsi="宋体"/>
                <w:szCs w:val="21"/>
              </w:rPr>
            </w:pPr>
          </w:p>
        </w:tc>
        <w:tc>
          <w:tcPr>
            <w:tcW w:w="974" w:type="dxa"/>
            <w:vAlign w:val="center"/>
          </w:tcPr>
          <w:p>
            <w:pPr>
              <w:jc w:val="center"/>
              <w:rPr>
                <w:rFonts w:ascii="宋体" w:hAnsi="宋体"/>
                <w:szCs w:val="21"/>
              </w:rPr>
            </w:pPr>
          </w:p>
        </w:tc>
        <w:tc>
          <w:tcPr>
            <w:tcW w:w="1046" w:type="dxa"/>
            <w:vAlign w:val="center"/>
          </w:tcPr>
          <w:p>
            <w:pPr>
              <w:jc w:val="center"/>
              <w:rPr>
                <w:rFonts w:ascii="宋体" w:hAnsi="宋体"/>
                <w:szCs w:val="21"/>
              </w:rPr>
            </w:pPr>
          </w:p>
        </w:tc>
        <w:tc>
          <w:tcPr>
            <w:tcW w:w="1962" w:type="dxa"/>
            <w:vAlign w:val="center"/>
          </w:tcPr>
          <w:p>
            <w:pPr>
              <w:jc w:val="center"/>
              <w:rPr>
                <w:rFonts w:ascii="宋体" w:hAnsi="宋体"/>
                <w:szCs w:val="21"/>
              </w:rPr>
            </w:pPr>
          </w:p>
        </w:tc>
        <w:tc>
          <w:tcPr>
            <w:tcW w:w="1013"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70" w:type="dxa"/>
            <w:vAlign w:val="center"/>
          </w:tcPr>
          <w:p>
            <w:pPr>
              <w:jc w:val="center"/>
              <w:rPr>
                <w:rFonts w:ascii="宋体" w:hAnsi="宋体"/>
                <w:szCs w:val="21"/>
              </w:rPr>
            </w:pPr>
          </w:p>
        </w:tc>
        <w:tc>
          <w:tcPr>
            <w:tcW w:w="972" w:type="dxa"/>
            <w:vAlign w:val="center"/>
          </w:tcPr>
          <w:p>
            <w:pPr>
              <w:jc w:val="center"/>
              <w:rPr>
                <w:rFonts w:ascii="宋体" w:hAnsi="宋体"/>
                <w:szCs w:val="21"/>
              </w:rPr>
            </w:pPr>
          </w:p>
        </w:tc>
        <w:tc>
          <w:tcPr>
            <w:tcW w:w="972" w:type="dxa"/>
            <w:vAlign w:val="center"/>
          </w:tcPr>
          <w:p>
            <w:pPr>
              <w:jc w:val="center"/>
              <w:rPr>
                <w:rFonts w:ascii="宋体" w:hAnsi="宋体"/>
                <w:szCs w:val="21"/>
              </w:rPr>
            </w:pPr>
          </w:p>
        </w:tc>
        <w:tc>
          <w:tcPr>
            <w:tcW w:w="973" w:type="dxa"/>
            <w:vAlign w:val="center"/>
          </w:tcPr>
          <w:p>
            <w:pPr>
              <w:jc w:val="center"/>
              <w:rPr>
                <w:rFonts w:ascii="宋体" w:hAnsi="宋体"/>
                <w:szCs w:val="21"/>
              </w:rPr>
            </w:pPr>
          </w:p>
        </w:tc>
        <w:tc>
          <w:tcPr>
            <w:tcW w:w="973" w:type="dxa"/>
            <w:vAlign w:val="center"/>
          </w:tcPr>
          <w:p>
            <w:pPr>
              <w:jc w:val="center"/>
              <w:rPr>
                <w:rFonts w:ascii="宋体" w:hAnsi="宋体"/>
                <w:szCs w:val="21"/>
              </w:rPr>
            </w:pPr>
          </w:p>
        </w:tc>
        <w:tc>
          <w:tcPr>
            <w:tcW w:w="974" w:type="dxa"/>
            <w:vAlign w:val="center"/>
          </w:tcPr>
          <w:p>
            <w:pPr>
              <w:jc w:val="center"/>
              <w:rPr>
                <w:rFonts w:ascii="宋体" w:hAnsi="宋体"/>
                <w:szCs w:val="21"/>
              </w:rPr>
            </w:pPr>
          </w:p>
        </w:tc>
        <w:tc>
          <w:tcPr>
            <w:tcW w:w="1046" w:type="dxa"/>
            <w:vAlign w:val="center"/>
          </w:tcPr>
          <w:p>
            <w:pPr>
              <w:jc w:val="center"/>
              <w:rPr>
                <w:rFonts w:ascii="宋体" w:hAnsi="宋体"/>
                <w:szCs w:val="21"/>
              </w:rPr>
            </w:pPr>
          </w:p>
        </w:tc>
        <w:tc>
          <w:tcPr>
            <w:tcW w:w="1962" w:type="dxa"/>
            <w:vAlign w:val="center"/>
          </w:tcPr>
          <w:p>
            <w:pPr>
              <w:jc w:val="center"/>
              <w:rPr>
                <w:rFonts w:ascii="宋体" w:hAnsi="宋体"/>
                <w:szCs w:val="21"/>
              </w:rPr>
            </w:pPr>
          </w:p>
        </w:tc>
        <w:tc>
          <w:tcPr>
            <w:tcW w:w="1013" w:type="dxa"/>
            <w:vAlign w:val="center"/>
          </w:tcPr>
          <w:p>
            <w:pPr>
              <w:jc w:val="center"/>
              <w:rPr>
                <w:rFonts w:ascii="宋体" w:hAnsi="宋体"/>
                <w:szCs w:val="21"/>
              </w:rPr>
            </w:pPr>
          </w:p>
        </w:tc>
      </w:tr>
    </w:tbl>
    <w:p>
      <w:pPr>
        <w:spacing w:line="360" w:lineRule="auto"/>
        <w:rPr>
          <w:rFonts w:hAnsi="宋体"/>
          <w:szCs w:val="21"/>
        </w:rPr>
        <w:sectPr>
          <w:pgSz w:w="11907" w:h="16840"/>
          <w:pgMar w:top="1134" w:right="1134" w:bottom="1134" w:left="1134" w:header="720" w:footer="720" w:gutter="0"/>
          <w:cols w:space="720" w:num="1"/>
        </w:sectPr>
      </w:pPr>
    </w:p>
    <w:p>
      <w:pPr>
        <w:autoSpaceDE w:val="0"/>
        <w:autoSpaceDN w:val="0"/>
        <w:adjustRightInd w:val="0"/>
        <w:jc w:val="left"/>
        <w:rPr>
          <w:rFonts w:ascii="黑体" w:eastAsia="黑体" w:cs="黑体"/>
          <w:kern w:val="0"/>
          <w:sz w:val="23"/>
          <w:szCs w:val="23"/>
        </w:rPr>
      </w:pPr>
      <w:r>
        <w:rPr>
          <w:rFonts w:hint="eastAsia" w:ascii="黑体" w:eastAsia="黑体" w:cs="黑体"/>
          <w:kern w:val="0"/>
          <w:sz w:val="23"/>
          <w:szCs w:val="23"/>
        </w:rPr>
        <w:t>附表三：劳动力计划表</w:t>
      </w:r>
    </w:p>
    <w:p>
      <w:pPr>
        <w:spacing w:line="360" w:lineRule="auto"/>
        <w:ind w:right="400"/>
        <w:jc w:val="right"/>
        <w:rPr>
          <w:rFonts w:ascii="黑体" w:eastAsia="黑体" w:cs="黑体"/>
          <w:kern w:val="0"/>
          <w:sz w:val="20"/>
        </w:rPr>
      </w:pPr>
      <w:r>
        <w:rPr>
          <w:rFonts w:hint="eastAsia" w:ascii="黑体" w:eastAsia="黑体" w:cs="黑体"/>
          <w:kern w:val="0"/>
          <w:sz w:val="20"/>
        </w:rPr>
        <w:t>单位：人</w:t>
      </w:r>
    </w:p>
    <w:tbl>
      <w:tblPr>
        <w:tblStyle w:val="14"/>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0"/>
        <w:gridCol w:w="971"/>
        <w:gridCol w:w="973"/>
        <w:gridCol w:w="972"/>
        <w:gridCol w:w="974"/>
        <w:gridCol w:w="974"/>
        <w:gridCol w:w="1046"/>
        <w:gridCol w:w="969"/>
        <w:gridCol w:w="1036"/>
        <w:gridCol w:w="9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70" w:type="dxa"/>
            <w:vAlign w:val="center"/>
          </w:tcPr>
          <w:p>
            <w:pPr>
              <w:autoSpaceDE w:val="0"/>
              <w:autoSpaceDN w:val="0"/>
              <w:adjustRightInd w:val="0"/>
              <w:jc w:val="center"/>
              <w:rPr>
                <w:rFonts w:ascii="宋体" w:cs="宋体"/>
                <w:kern w:val="0"/>
                <w:sz w:val="20"/>
              </w:rPr>
            </w:pPr>
            <w:r>
              <w:rPr>
                <w:rFonts w:hint="eastAsia" w:ascii="宋体" w:cs="宋体"/>
                <w:kern w:val="0"/>
                <w:sz w:val="20"/>
              </w:rPr>
              <w:t>工种</w:t>
            </w:r>
          </w:p>
        </w:tc>
        <w:tc>
          <w:tcPr>
            <w:tcW w:w="8885" w:type="dxa"/>
            <w:gridSpan w:val="9"/>
            <w:vAlign w:val="center"/>
          </w:tcPr>
          <w:p>
            <w:pPr>
              <w:autoSpaceDE w:val="0"/>
              <w:autoSpaceDN w:val="0"/>
              <w:adjustRightInd w:val="0"/>
              <w:jc w:val="center"/>
              <w:rPr>
                <w:rFonts w:ascii="宋体" w:cs="宋体"/>
                <w:kern w:val="0"/>
                <w:sz w:val="20"/>
              </w:rPr>
            </w:pPr>
            <w:r>
              <w:rPr>
                <w:rFonts w:hint="eastAsia" w:ascii="宋体" w:cs="宋体"/>
                <w:kern w:val="0"/>
                <w:sz w:val="20"/>
              </w:rPr>
              <w:t>按工程施工阶段投入劳动力情况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70" w:type="dxa"/>
            <w:vAlign w:val="center"/>
          </w:tcPr>
          <w:p>
            <w:pPr>
              <w:jc w:val="center"/>
              <w:rPr>
                <w:rFonts w:hAnsi="宋体"/>
                <w:szCs w:val="21"/>
              </w:rPr>
            </w:pPr>
          </w:p>
        </w:tc>
        <w:tc>
          <w:tcPr>
            <w:tcW w:w="971" w:type="dxa"/>
            <w:vAlign w:val="center"/>
          </w:tcPr>
          <w:p>
            <w:pPr>
              <w:jc w:val="center"/>
              <w:rPr>
                <w:rFonts w:hAnsi="宋体"/>
                <w:szCs w:val="21"/>
              </w:rPr>
            </w:pPr>
          </w:p>
        </w:tc>
        <w:tc>
          <w:tcPr>
            <w:tcW w:w="973" w:type="dxa"/>
            <w:vAlign w:val="center"/>
          </w:tcPr>
          <w:p>
            <w:pPr>
              <w:jc w:val="center"/>
              <w:rPr>
                <w:rFonts w:hAnsi="宋体"/>
                <w:szCs w:val="21"/>
              </w:rPr>
            </w:pPr>
          </w:p>
        </w:tc>
        <w:tc>
          <w:tcPr>
            <w:tcW w:w="972" w:type="dxa"/>
            <w:vAlign w:val="center"/>
          </w:tcPr>
          <w:p>
            <w:pPr>
              <w:jc w:val="center"/>
              <w:rPr>
                <w:rFonts w:hAnsi="宋体"/>
                <w:szCs w:val="21"/>
              </w:rPr>
            </w:pPr>
          </w:p>
        </w:tc>
        <w:tc>
          <w:tcPr>
            <w:tcW w:w="974" w:type="dxa"/>
            <w:vAlign w:val="center"/>
          </w:tcPr>
          <w:p>
            <w:pPr>
              <w:jc w:val="center"/>
              <w:rPr>
                <w:rFonts w:hAnsi="宋体"/>
                <w:szCs w:val="21"/>
              </w:rPr>
            </w:pPr>
          </w:p>
        </w:tc>
        <w:tc>
          <w:tcPr>
            <w:tcW w:w="974" w:type="dxa"/>
            <w:vAlign w:val="center"/>
          </w:tcPr>
          <w:p>
            <w:pPr>
              <w:jc w:val="center"/>
              <w:rPr>
                <w:rFonts w:hAnsi="宋体"/>
                <w:szCs w:val="21"/>
              </w:rPr>
            </w:pPr>
          </w:p>
        </w:tc>
        <w:tc>
          <w:tcPr>
            <w:tcW w:w="1046" w:type="dxa"/>
            <w:vAlign w:val="center"/>
          </w:tcPr>
          <w:p>
            <w:pPr>
              <w:jc w:val="center"/>
              <w:rPr>
                <w:rFonts w:hAnsi="宋体"/>
                <w:szCs w:val="21"/>
              </w:rPr>
            </w:pPr>
          </w:p>
        </w:tc>
        <w:tc>
          <w:tcPr>
            <w:tcW w:w="969" w:type="dxa"/>
            <w:vAlign w:val="center"/>
          </w:tcPr>
          <w:p>
            <w:pPr>
              <w:jc w:val="center"/>
              <w:rPr>
                <w:rFonts w:hAnsi="宋体"/>
                <w:szCs w:val="21"/>
              </w:rPr>
            </w:pPr>
          </w:p>
        </w:tc>
        <w:tc>
          <w:tcPr>
            <w:tcW w:w="1036" w:type="dxa"/>
            <w:vAlign w:val="center"/>
          </w:tcPr>
          <w:p>
            <w:pPr>
              <w:jc w:val="center"/>
              <w:rPr>
                <w:rFonts w:hAnsi="宋体"/>
                <w:szCs w:val="21"/>
              </w:rPr>
            </w:pPr>
          </w:p>
        </w:tc>
        <w:tc>
          <w:tcPr>
            <w:tcW w:w="97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70" w:type="dxa"/>
            <w:vAlign w:val="center"/>
          </w:tcPr>
          <w:p>
            <w:pPr>
              <w:jc w:val="center"/>
              <w:rPr>
                <w:rFonts w:hAnsi="宋体"/>
                <w:szCs w:val="21"/>
              </w:rPr>
            </w:pPr>
          </w:p>
        </w:tc>
        <w:tc>
          <w:tcPr>
            <w:tcW w:w="971" w:type="dxa"/>
            <w:vAlign w:val="center"/>
          </w:tcPr>
          <w:p>
            <w:pPr>
              <w:jc w:val="center"/>
              <w:rPr>
                <w:rFonts w:hAnsi="宋体"/>
                <w:szCs w:val="21"/>
              </w:rPr>
            </w:pPr>
          </w:p>
        </w:tc>
        <w:tc>
          <w:tcPr>
            <w:tcW w:w="973" w:type="dxa"/>
            <w:vAlign w:val="center"/>
          </w:tcPr>
          <w:p>
            <w:pPr>
              <w:jc w:val="center"/>
              <w:rPr>
                <w:rFonts w:hAnsi="宋体"/>
                <w:szCs w:val="21"/>
              </w:rPr>
            </w:pPr>
          </w:p>
        </w:tc>
        <w:tc>
          <w:tcPr>
            <w:tcW w:w="972" w:type="dxa"/>
            <w:vAlign w:val="center"/>
          </w:tcPr>
          <w:p>
            <w:pPr>
              <w:jc w:val="center"/>
              <w:rPr>
                <w:rFonts w:hAnsi="宋体"/>
                <w:szCs w:val="21"/>
              </w:rPr>
            </w:pPr>
          </w:p>
        </w:tc>
        <w:tc>
          <w:tcPr>
            <w:tcW w:w="974" w:type="dxa"/>
            <w:vAlign w:val="center"/>
          </w:tcPr>
          <w:p>
            <w:pPr>
              <w:jc w:val="center"/>
              <w:rPr>
                <w:rFonts w:hAnsi="宋体"/>
                <w:szCs w:val="21"/>
              </w:rPr>
            </w:pPr>
          </w:p>
        </w:tc>
        <w:tc>
          <w:tcPr>
            <w:tcW w:w="974" w:type="dxa"/>
            <w:vAlign w:val="center"/>
          </w:tcPr>
          <w:p>
            <w:pPr>
              <w:jc w:val="center"/>
              <w:rPr>
                <w:rFonts w:hAnsi="宋体"/>
                <w:szCs w:val="21"/>
              </w:rPr>
            </w:pPr>
          </w:p>
        </w:tc>
        <w:tc>
          <w:tcPr>
            <w:tcW w:w="1046" w:type="dxa"/>
            <w:vAlign w:val="center"/>
          </w:tcPr>
          <w:p>
            <w:pPr>
              <w:jc w:val="center"/>
              <w:rPr>
                <w:rFonts w:hAnsi="宋体"/>
                <w:szCs w:val="21"/>
              </w:rPr>
            </w:pPr>
          </w:p>
        </w:tc>
        <w:tc>
          <w:tcPr>
            <w:tcW w:w="969" w:type="dxa"/>
            <w:vAlign w:val="center"/>
          </w:tcPr>
          <w:p>
            <w:pPr>
              <w:jc w:val="center"/>
              <w:rPr>
                <w:rFonts w:hAnsi="宋体"/>
                <w:szCs w:val="21"/>
              </w:rPr>
            </w:pPr>
          </w:p>
        </w:tc>
        <w:tc>
          <w:tcPr>
            <w:tcW w:w="1036" w:type="dxa"/>
            <w:vAlign w:val="center"/>
          </w:tcPr>
          <w:p>
            <w:pPr>
              <w:jc w:val="center"/>
              <w:rPr>
                <w:rFonts w:hAnsi="宋体"/>
                <w:szCs w:val="21"/>
              </w:rPr>
            </w:pPr>
          </w:p>
        </w:tc>
        <w:tc>
          <w:tcPr>
            <w:tcW w:w="97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70" w:type="dxa"/>
            <w:vAlign w:val="center"/>
          </w:tcPr>
          <w:p>
            <w:pPr>
              <w:jc w:val="center"/>
              <w:rPr>
                <w:rFonts w:hAnsi="宋体"/>
                <w:szCs w:val="21"/>
              </w:rPr>
            </w:pPr>
          </w:p>
        </w:tc>
        <w:tc>
          <w:tcPr>
            <w:tcW w:w="971" w:type="dxa"/>
            <w:vAlign w:val="center"/>
          </w:tcPr>
          <w:p>
            <w:pPr>
              <w:jc w:val="center"/>
              <w:rPr>
                <w:rFonts w:hAnsi="宋体"/>
                <w:szCs w:val="21"/>
              </w:rPr>
            </w:pPr>
          </w:p>
        </w:tc>
        <w:tc>
          <w:tcPr>
            <w:tcW w:w="973" w:type="dxa"/>
            <w:vAlign w:val="center"/>
          </w:tcPr>
          <w:p>
            <w:pPr>
              <w:jc w:val="center"/>
              <w:rPr>
                <w:rFonts w:hAnsi="宋体"/>
                <w:szCs w:val="21"/>
              </w:rPr>
            </w:pPr>
          </w:p>
        </w:tc>
        <w:tc>
          <w:tcPr>
            <w:tcW w:w="972" w:type="dxa"/>
            <w:vAlign w:val="center"/>
          </w:tcPr>
          <w:p>
            <w:pPr>
              <w:jc w:val="center"/>
              <w:rPr>
                <w:rFonts w:hAnsi="宋体"/>
                <w:szCs w:val="21"/>
              </w:rPr>
            </w:pPr>
          </w:p>
        </w:tc>
        <w:tc>
          <w:tcPr>
            <w:tcW w:w="974" w:type="dxa"/>
            <w:vAlign w:val="center"/>
          </w:tcPr>
          <w:p>
            <w:pPr>
              <w:jc w:val="center"/>
              <w:rPr>
                <w:rFonts w:hAnsi="宋体"/>
                <w:szCs w:val="21"/>
              </w:rPr>
            </w:pPr>
          </w:p>
        </w:tc>
        <w:tc>
          <w:tcPr>
            <w:tcW w:w="974" w:type="dxa"/>
            <w:vAlign w:val="center"/>
          </w:tcPr>
          <w:p>
            <w:pPr>
              <w:jc w:val="center"/>
              <w:rPr>
                <w:rFonts w:hAnsi="宋体"/>
                <w:szCs w:val="21"/>
              </w:rPr>
            </w:pPr>
          </w:p>
        </w:tc>
        <w:tc>
          <w:tcPr>
            <w:tcW w:w="1046" w:type="dxa"/>
            <w:vAlign w:val="center"/>
          </w:tcPr>
          <w:p>
            <w:pPr>
              <w:jc w:val="center"/>
              <w:rPr>
                <w:rFonts w:hAnsi="宋体"/>
                <w:szCs w:val="21"/>
              </w:rPr>
            </w:pPr>
          </w:p>
        </w:tc>
        <w:tc>
          <w:tcPr>
            <w:tcW w:w="969" w:type="dxa"/>
            <w:vAlign w:val="center"/>
          </w:tcPr>
          <w:p>
            <w:pPr>
              <w:jc w:val="center"/>
              <w:rPr>
                <w:rFonts w:hAnsi="宋体"/>
                <w:szCs w:val="21"/>
              </w:rPr>
            </w:pPr>
          </w:p>
        </w:tc>
        <w:tc>
          <w:tcPr>
            <w:tcW w:w="1036" w:type="dxa"/>
            <w:vAlign w:val="center"/>
          </w:tcPr>
          <w:p>
            <w:pPr>
              <w:jc w:val="center"/>
              <w:rPr>
                <w:rFonts w:hAnsi="宋体"/>
                <w:szCs w:val="21"/>
              </w:rPr>
            </w:pPr>
          </w:p>
        </w:tc>
        <w:tc>
          <w:tcPr>
            <w:tcW w:w="97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70" w:type="dxa"/>
            <w:vAlign w:val="center"/>
          </w:tcPr>
          <w:p>
            <w:pPr>
              <w:jc w:val="center"/>
              <w:rPr>
                <w:rFonts w:hAnsi="宋体"/>
                <w:szCs w:val="21"/>
              </w:rPr>
            </w:pPr>
          </w:p>
        </w:tc>
        <w:tc>
          <w:tcPr>
            <w:tcW w:w="971" w:type="dxa"/>
            <w:vAlign w:val="center"/>
          </w:tcPr>
          <w:p>
            <w:pPr>
              <w:jc w:val="center"/>
              <w:rPr>
                <w:rFonts w:hAnsi="宋体"/>
                <w:szCs w:val="21"/>
              </w:rPr>
            </w:pPr>
          </w:p>
        </w:tc>
        <w:tc>
          <w:tcPr>
            <w:tcW w:w="973" w:type="dxa"/>
            <w:vAlign w:val="center"/>
          </w:tcPr>
          <w:p>
            <w:pPr>
              <w:jc w:val="center"/>
              <w:rPr>
                <w:rFonts w:hAnsi="宋体"/>
                <w:szCs w:val="21"/>
              </w:rPr>
            </w:pPr>
          </w:p>
        </w:tc>
        <w:tc>
          <w:tcPr>
            <w:tcW w:w="972" w:type="dxa"/>
            <w:vAlign w:val="center"/>
          </w:tcPr>
          <w:p>
            <w:pPr>
              <w:jc w:val="center"/>
              <w:rPr>
                <w:rFonts w:hAnsi="宋体"/>
                <w:szCs w:val="21"/>
              </w:rPr>
            </w:pPr>
          </w:p>
        </w:tc>
        <w:tc>
          <w:tcPr>
            <w:tcW w:w="974" w:type="dxa"/>
            <w:vAlign w:val="center"/>
          </w:tcPr>
          <w:p>
            <w:pPr>
              <w:jc w:val="center"/>
              <w:rPr>
                <w:rFonts w:hAnsi="宋体"/>
                <w:szCs w:val="21"/>
              </w:rPr>
            </w:pPr>
          </w:p>
        </w:tc>
        <w:tc>
          <w:tcPr>
            <w:tcW w:w="974" w:type="dxa"/>
            <w:vAlign w:val="center"/>
          </w:tcPr>
          <w:p>
            <w:pPr>
              <w:jc w:val="center"/>
              <w:rPr>
                <w:rFonts w:hAnsi="宋体"/>
                <w:szCs w:val="21"/>
              </w:rPr>
            </w:pPr>
          </w:p>
        </w:tc>
        <w:tc>
          <w:tcPr>
            <w:tcW w:w="1046" w:type="dxa"/>
            <w:vAlign w:val="center"/>
          </w:tcPr>
          <w:p>
            <w:pPr>
              <w:jc w:val="center"/>
              <w:rPr>
                <w:rFonts w:hAnsi="宋体"/>
                <w:szCs w:val="21"/>
              </w:rPr>
            </w:pPr>
          </w:p>
        </w:tc>
        <w:tc>
          <w:tcPr>
            <w:tcW w:w="969" w:type="dxa"/>
            <w:vAlign w:val="center"/>
          </w:tcPr>
          <w:p>
            <w:pPr>
              <w:jc w:val="center"/>
              <w:rPr>
                <w:rFonts w:hAnsi="宋体"/>
                <w:szCs w:val="21"/>
              </w:rPr>
            </w:pPr>
          </w:p>
        </w:tc>
        <w:tc>
          <w:tcPr>
            <w:tcW w:w="1036" w:type="dxa"/>
            <w:vAlign w:val="center"/>
          </w:tcPr>
          <w:p>
            <w:pPr>
              <w:jc w:val="center"/>
              <w:rPr>
                <w:rFonts w:hAnsi="宋体"/>
                <w:szCs w:val="21"/>
              </w:rPr>
            </w:pPr>
          </w:p>
        </w:tc>
        <w:tc>
          <w:tcPr>
            <w:tcW w:w="97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70" w:type="dxa"/>
            <w:vAlign w:val="center"/>
          </w:tcPr>
          <w:p>
            <w:pPr>
              <w:jc w:val="center"/>
              <w:rPr>
                <w:rFonts w:hAnsi="宋体"/>
                <w:szCs w:val="21"/>
              </w:rPr>
            </w:pPr>
          </w:p>
        </w:tc>
        <w:tc>
          <w:tcPr>
            <w:tcW w:w="971" w:type="dxa"/>
            <w:vAlign w:val="center"/>
          </w:tcPr>
          <w:p>
            <w:pPr>
              <w:jc w:val="center"/>
              <w:rPr>
                <w:rFonts w:hAnsi="宋体"/>
                <w:szCs w:val="21"/>
              </w:rPr>
            </w:pPr>
          </w:p>
        </w:tc>
        <w:tc>
          <w:tcPr>
            <w:tcW w:w="973" w:type="dxa"/>
            <w:vAlign w:val="center"/>
          </w:tcPr>
          <w:p>
            <w:pPr>
              <w:jc w:val="center"/>
              <w:rPr>
                <w:rFonts w:hAnsi="宋体"/>
                <w:szCs w:val="21"/>
              </w:rPr>
            </w:pPr>
          </w:p>
        </w:tc>
        <w:tc>
          <w:tcPr>
            <w:tcW w:w="972" w:type="dxa"/>
            <w:vAlign w:val="center"/>
          </w:tcPr>
          <w:p>
            <w:pPr>
              <w:jc w:val="center"/>
              <w:rPr>
                <w:rFonts w:hAnsi="宋体"/>
                <w:szCs w:val="21"/>
              </w:rPr>
            </w:pPr>
          </w:p>
        </w:tc>
        <w:tc>
          <w:tcPr>
            <w:tcW w:w="974" w:type="dxa"/>
            <w:vAlign w:val="center"/>
          </w:tcPr>
          <w:p>
            <w:pPr>
              <w:jc w:val="center"/>
              <w:rPr>
                <w:rFonts w:hAnsi="宋体"/>
                <w:szCs w:val="21"/>
              </w:rPr>
            </w:pPr>
          </w:p>
        </w:tc>
        <w:tc>
          <w:tcPr>
            <w:tcW w:w="974" w:type="dxa"/>
            <w:vAlign w:val="center"/>
          </w:tcPr>
          <w:p>
            <w:pPr>
              <w:jc w:val="center"/>
              <w:rPr>
                <w:rFonts w:hAnsi="宋体"/>
                <w:szCs w:val="21"/>
              </w:rPr>
            </w:pPr>
          </w:p>
        </w:tc>
        <w:tc>
          <w:tcPr>
            <w:tcW w:w="1046" w:type="dxa"/>
            <w:vAlign w:val="center"/>
          </w:tcPr>
          <w:p>
            <w:pPr>
              <w:jc w:val="center"/>
              <w:rPr>
                <w:rFonts w:hAnsi="宋体"/>
                <w:szCs w:val="21"/>
              </w:rPr>
            </w:pPr>
          </w:p>
        </w:tc>
        <w:tc>
          <w:tcPr>
            <w:tcW w:w="969" w:type="dxa"/>
            <w:vAlign w:val="center"/>
          </w:tcPr>
          <w:p>
            <w:pPr>
              <w:jc w:val="center"/>
              <w:rPr>
                <w:rFonts w:hAnsi="宋体"/>
                <w:szCs w:val="21"/>
              </w:rPr>
            </w:pPr>
          </w:p>
        </w:tc>
        <w:tc>
          <w:tcPr>
            <w:tcW w:w="1036" w:type="dxa"/>
            <w:vAlign w:val="center"/>
          </w:tcPr>
          <w:p>
            <w:pPr>
              <w:jc w:val="center"/>
              <w:rPr>
                <w:rFonts w:hAnsi="宋体"/>
                <w:szCs w:val="21"/>
              </w:rPr>
            </w:pPr>
          </w:p>
        </w:tc>
        <w:tc>
          <w:tcPr>
            <w:tcW w:w="97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70" w:type="dxa"/>
            <w:vAlign w:val="center"/>
          </w:tcPr>
          <w:p>
            <w:pPr>
              <w:jc w:val="center"/>
              <w:rPr>
                <w:rFonts w:hAnsi="宋体"/>
                <w:szCs w:val="21"/>
              </w:rPr>
            </w:pPr>
          </w:p>
        </w:tc>
        <w:tc>
          <w:tcPr>
            <w:tcW w:w="971" w:type="dxa"/>
            <w:vAlign w:val="center"/>
          </w:tcPr>
          <w:p>
            <w:pPr>
              <w:jc w:val="center"/>
              <w:rPr>
                <w:rFonts w:hAnsi="宋体"/>
                <w:szCs w:val="21"/>
              </w:rPr>
            </w:pPr>
          </w:p>
        </w:tc>
        <w:tc>
          <w:tcPr>
            <w:tcW w:w="973" w:type="dxa"/>
            <w:vAlign w:val="center"/>
          </w:tcPr>
          <w:p>
            <w:pPr>
              <w:jc w:val="center"/>
              <w:rPr>
                <w:rFonts w:hAnsi="宋体"/>
                <w:szCs w:val="21"/>
              </w:rPr>
            </w:pPr>
          </w:p>
        </w:tc>
        <w:tc>
          <w:tcPr>
            <w:tcW w:w="972" w:type="dxa"/>
            <w:vAlign w:val="center"/>
          </w:tcPr>
          <w:p>
            <w:pPr>
              <w:jc w:val="center"/>
              <w:rPr>
                <w:rFonts w:hAnsi="宋体"/>
                <w:szCs w:val="21"/>
              </w:rPr>
            </w:pPr>
          </w:p>
        </w:tc>
        <w:tc>
          <w:tcPr>
            <w:tcW w:w="974" w:type="dxa"/>
            <w:vAlign w:val="center"/>
          </w:tcPr>
          <w:p>
            <w:pPr>
              <w:jc w:val="center"/>
              <w:rPr>
                <w:rFonts w:hAnsi="宋体"/>
                <w:szCs w:val="21"/>
              </w:rPr>
            </w:pPr>
          </w:p>
        </w:tc>
        <w:tc>
          <w:tcPr>
            <w:tcW w:w="974" w:type="dxa"/>
            <w:vAlign w:val="center"/>
          </w:tcPr>
          <w:p>
            <w:pPr>
              <w:jc w:val="center"/>
              <w:rPr>
                <w:rFonts w:hAnsi="宋体"/>
                <w:szCs w:val="21"/>
              </w:rPr>
            </w:pPr>
          </w:p>
        </w:tc>
        <w:tc>
          <w:tcPr>
            <w:tcW w:w="1046" w:type="dxa"/>
            <w:vAlign w:val="center"/>
          </w:tcPr>
          <w:p>
            <w:pPr>
              <w:jc w:val="center"/>
              <w:rPr>
                <w:rFonts w:hAnsi="宋体"/>
                <w:szCs w:val="21"/>
              </w:rPr>
            </w:pPr>
          </w:p>
        </w:tc>
        <w:tc>
          <w:tcPr>
            <w:tcW w:w="969" w:type="dxa"/>
            <w:vAlign w:val="center"/>
          </w:tcPr>
          <w:p>
            <w:pPr>
              <w:jc w:val="center"/>
              <w:rPr>
                <w:rFonts w:hAnsi="宋体"/>
                <w:szCs w:val="21"/>
              </w:rPr>
            </w:pPr>
          </w:p>
        </w:tc>
        <w:tc>
          <w:tcPr>
            <w:tcW w:w="1036" w:type="dxa"/>
            <w:vAlign w:val="center"/>
          </w:tcPr>
          <w:p>
            <w:pPr>
              <w:jc w:val="center"/>
              <w:rPr>
                <w:rFonts w:hAnsi="宋体"/>
                <w:szCs w:val="21"/>
              </w:rPr>
            </w:pPr>
          </w:p>
        </w:tc>
        <w:tc>
          <w:tcPr>
            <w:tcW w:w="97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70" w:type="dxa"/>
            <w:vAlign w:val="center"/>
          </w:tcPr>
          <w:p>
            <w:pPr>
              <w:jc w:val="center"/>
              <w:rPr>
                <w:rFonts w:hAnsi="宋体"/>
                <w:szCs w:val="21"/>
              </w:rPr>
            </w:pPr>
          </w:p>
        </w:tc>
        <w:tc>
          <w:tcPr>
            <w:tcW w:w="971" w:type="dxa"/>
            <w:vAlign w:val="center"/>
          </w:tcPr>
          <w:p>
            <w:pPr>
              <w:jc w:val="center"/>
              <w:rPr>
                <w:rFonts w:hAnsi="宋体"/>
                <w:szCs w:val="21"/>
              </w:rPr>
            </w:pPr>
          </w:p>
        </w:tc>
        <w:tc>
          <w:tcPr>
            <w:tcW w:w="973" w:type="dxa"/>
            <w:vAlign w:val="center"/>
          </w:tcPr>
          <w:p>
            <w:pPr>
              <w:jc w:val="center"/>
              <w:rPr>
                <w:rFonts w:hAnsi="宋体"/>
                <w:szCs w:val="21"/>
              </w:rPr>
            </w:pPr>
          </w:p>
        </w:tc>
        <w:tc>
          <w:tcPr>
            <w:tcW w:w="972" w:type="dxa"/>
            <w:vAlign w:val="center"/>
          </w:tcPr>
          <w:p>
            <w:pPr>
              <w:jc w:val="center"/>
              <w:rPr>
                <w:rFonts w:hAnsi="宋体"/>
                <w:szCs w:val="21"/>
              </w:rPr>
            </w:pPr>
          </w:p>
        </w:tc>
        <w:tc>
          <w:tcPr>
            <w:tcW w:w="974" w:type="dxa"/>
            <w:vAlign w:val="center"/>
          </w:tcPr>
          <w:p>
            <w:pPr>
              <w:jc w:val="center"/>
              <w:rPr>
                <w:rFonts w:hAnsi="宋体"/>
                <w:szCs w:val="21"/>
              </w:rPr>
            </w:pPr>
          </w:p>
        </w:tc>
        <w:tc>
          <w:tcPr>
            <w:tcW w:w="974" w:type="dxa"/>
            <w:vAlign w:val="center"/>
          </w:tcPr>
          <w:p>
            <w:pPr>
              <w:jc w:val="center"/>
              <w:rPr>
                <w:rFonts w:hAnsi="宋体"/>
                <w:szCs w:val="21"/>
              </w:rPr>
            </w:pPr>
          </w:p>
        </w:tc>
        <w:tc>
          <w:tcPr>
            <w:tcW w:w="1046" w:type="dxa"/>
            <w:vAlign w:val="center"/>
          </w:tcPr>
          <w:p>
            <w:pPr>
              <w:jc w:val="center"/>
              <w:rPr>
                <w:rFonts w:hAnsi="宋体"/>
                <w:szCs w:val="21"/>
              </w:rPr>
            </w:pPr>
          </w:p>
        </w:tc>
        <w:tc>
          <w:tcPr>
            <w:tcW w:w="969" w:type="dxa"/>
            <w:vAlign w:val="center"/>
          </w:tcPr>
          <w:p>
            <w:pPr>
              <w:jc w:val="center"/>
              <w:rPr>
                <w:rFonts w:hAnsi="宋体"/>
                <w:szCs w:val="21"/>
              </w:rPr>
            </w:pPr>
          </w:p>
        </w:tc>
        <w:tc>
          <w:tcPr>
            <w:tcW w:w="1036" w:type="dxa"/>
            <w:vAlign w:val="center"/>
          </w:tcPr>
          <w:p>
            <w:pPr>
              <w:jc w:val="center"/>
              <w:rPr>
                <w:rFonts w:hAnsi="宋体"/>
                <w:szCs w:val="21"/>
              </w:rPr>
            </w:pPr>
          </w:p>
        </w:tc>
        <w:tc>
          <w:tcPr>
            <w:tcW w:w="97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70" w:type="dxa"/>
            <w:vAlign w:val="center"/>
          </w:tcPr>
          <w:p>
            <w:pPr>
              <w:jc w:val="center"/>
              <w:rPr>
                <w:rFonts w:hAnsi="宋体"/>
                <w:szCs w:val="21"/>
              </w:rPr>
            </w:pPr>
          </w:p>
        </w:tc>
        <w:tc>
          <w:tcPr>
            <w:tcW w:w="971" w:type="dxa"/>
            <w:vAlign w:val="center"/>
          </w:tcPr>
          <w:p>
            <w:pPr>
              <w:jc w:val="center"/>
              <w:rPr>
                <w:rFonts w:hAnsi="宋体"/>
                <w:szCs w:val="21"/>
              </w:rPr>
            </w:pPr>
          </w:p>
        </w:tc>
        <w:tc>
          <w:tcPr>
            <w:tcW w:w="973" w:type="dxa"/>
            <w:vAlign w:val="center"/>
          </w:tcPr>
          <w:p>
            <w:pPr>
              <w:jc w:val="center"/>
              <w:rPr>
                <w:rFonts w:hAnsi="宋体"/>
                <w:szCs w:val="21"/>
              </w:rPr>
            </w:pPr>
          </w:p>
        </w:tc>
        <w:tc>
          <w:tcPr>
            <w:tcW w:w="972" w:type="dxa"/>
            <w:vAlign w:val="center"/>
          </w:tcPr>
          <w:p>
            <w:pPr>
              <w:jc w:val="center"/>
              <w:rPr>
                <w:rFonts w:hAnsi="宋体"/>
                <w:szCs w:val="21"/>
              </w:rPr>
            </w:pPr>
          </w:p>
        </w:tc>
        <w:tc>
          <w:tcPr>
            <w:tcW w:w="974" w:type="dxa"/>
            <w:vAlign w:val="center"/>
          </w:tcPr>
          <w:p>
            <w:pPr>
              <w:jc w:val="center"/>
              <w:rPr>
                <w:rFonts w:hAnsi="宋体"/>
                <w:szCs w:val="21"/>
              </w:rPr>
            </w:pPr>
          </w:p>
        </w:tc>
        <w:tc>
          <w:tcPr>
            <w:tcW w:w="974" w:type="dxa"/>
            <w:vAlign w:val="center"/>
          </w:tcPr>
          <w:p>
            <w:pPr>
              <w:jc w:val="center"/>
              <w:rPr>
                <w:rFonts w:hAnsi="宋体"/>
                <w:szCs w:val="21"/>
              </w:rPr>
            </w:pPr>
          </w:p>
        </w:tc>
        <w:tc>
          <w:tcPr>
            <w:tcW w:w="1046" w:type="dxa"/>
            <w:vAlign w:val="center"/>
          </w:tcPr>
          <w:p>
            <w:pPr>
              <w:jc w:val="center"/>
              <w:rPr>
                <w:rFonts w:hAnsi="宋体"/>
                <w:szCs w:val="21"/>
              </w:rPr>
            </w:pPr>
          </w:p>
        </w:tc>
        <w:tc>
          <w:tcPr>
            <w:tcW w:w="969" w:type="dxa"/>
            <w:vAlign w:val="center"/>
          </w:tcPr>
          <w:p>
            <w:pPr>
              <w:jc w:val="center"/>
              <w:rPr>
                <w:rFonts w:hAnsi="宋体"/>
                <w:szCs w:val="21"/>
              </w:rPr>
            </w:pPr>
          </w:p>
        </w:tc>
        <w:tc>
          <w:tcPr>
            <w:tcW w:w="1036" w:type="dxa"/>
            <w:vAlign w:val="center"/>
          </w:tcPr>
          <w:p>
            <w:pPr>
              <w:jc w:val="center"/>
              <w:rPr>
                <w:rFonts w:hAnsi="宋体"/>
                <w:szCs w:val="21"/>
              </w:rPr>
            </w:pPr>
          </w:p>
        </w:tc>
        <w:tc>
          <w:tcPr>
            <w:tcW w:w="97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70" w:type="dxa"/>
            <w:vAlign w:val="center"/>
          </w:tcPr>
          <w:p>
            <w:pPr>
              <w:jc w:val="center"/>
              <w:rPr>
                <w:rFonts w:hAnsi="宋体"/>
                <w:szCs w:val="21"/>
              </w:rPr>
            </w:pPr>
          </w:p>
        </w:tc>
        <w:tc>
          <w:tcPr>
            <w:tcW w:w="971" w:type="dxa"/>
            <w:vAlign w:val="center"/>
          </w:tcPr>
          <w:p>
            <w:pPr>
              <w:jc w:val="center"/>
              <w:rPr>
                <w:rFonts w:hAnsi="宋体"/>
                <w:szCs w:val="21"/>
              </w:rPr>
            </w:pPr>
          </w:p>
        </w:tc>
        <w:tc>
          <w:tcPr>
            <w:tcW w:w="973" w:type="dxa"/>
            <w:vAlign w:val="center"/>
          </w:tcPr>
          <w:p>
            <w:pPr>
              <w:jc w:val="center"/>
              <w:rPr>
                <w:rFonts w:hAnsi="宋体"/>
                <w:szCs w:val="21"/>
              </w:rPr>
            </w:pPr>
          </w:p>
        </w:tc>
        <w:tc>
          <w:tcPr>
            <w:tcW w:w="972" w:type="dxa"/>
            <w:vAlign w:val="center"/>
          </w:tcPr>
          <w:p>
            <w:pPr>
              <w:jc w:val="center"/>
              <w:rPr>
                <w:rFonts w:hAnsi="宋体"/>
                <w:szCs w:val="21"/>
              </w:rPr>
            </w:pPr>
          </w:p>
        </w:tc>
        <w:tc>
          <w:tcPr>
            <w:tcW w:w="974" w:type="dxa"/>
            <w:vAlign w:val="center"/>
          </w:tcPr>
          <w:p>
            <w:pPr>
              <w:jc w:val="center"/>
              <w:rPr>
                <w:rFonts w:hAnsi="宋体"/>
                <w:szCs w:val="21"/>
              </w:rPr>
            </w:pPr>
          </w:p>
        </w:tc>
        <w:tc>
          <w:tcPr>
            <w:tcW w:w="974" w:type="dxa"/>
            <w:vAlign w:val="center"/>
          </w:tcPr>
          <w:p>
            <w:pPr>
              <w:jc w:val="center"/>
              <w:rPr>
                <w:rFonts w:hAnsi="宋体"/>
                <w:szCs w:val="21"/>
              </w:rPr>
            </w:pPr>
          </w:p>
        </w:tc>
        <w:tc>
          <w:tcPr>
            <w:tcW w:w="1046" w:type="dxa"/>
            <w:vAlign w:val="center"/>
          </w:tcPr>
          <w:p>
            <w:pPr>
              <w:jc w:val="center"/>
              <w:rPr>
                <w:rFonts w:hAnsi="宋体"/>
                <w:szCs w:val="21"/>
              </w:rPr>
            </w:pPr>
          </w:p>
        </w:tc>
        <w:tc>
          <w:tcPr>
            <w:tcW w:w="969" w:type="dxa"/>
            <w:vAlign w:val="center"/>
          </w:tcPr>
          <w:p>
            <w:pPr>
              <w:jc w:val="center"/>
              <w:rPr>
                <w:rFonts w:hAnsi="宋体"/>
                <w:szCs w:val="21"/>
              </w:rPr>
            </w:pPr>
          </w:p>
        </w:tc>
        <w:tc>
          <w:tcPr>
            <w:tcW w:w="1036" w:type="dxa"/>
            <w:vAlign w:val="center"/>
          </w:tcPr>
          <w:p>
            <w:pPr>
              <w:jc w:val="center"/>
              <w:rPr>
                <w:rFonts w:hAnsi="宋体"/>
                <w:szCs w:val="21"/>
              </w:rPr>
            </w:pPr>
          </w:p>
        </w:tc>
        <w:tc>
          <w:tcPr>
            <w:tcW w:w="97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70" w:type="dxa"/>
            <w:vAlign w:val="center"/>
          </w:tcPr>
          <w:p>
            <w:pPr>
              <w:jc w:val="center"/>
              <w:rPr>
                <w:rFonts w:hAnsi="宋体"/>
                <w:szCs w:val="21"/>
              </w:rPr>
            </w:pPr>
          </w:p>
        </w:tc>
        <w:tc>
          <w:tcPr>
            <w:tcW w:w="971" w:type="dxa"/>
            <w:vAlign w:val="center"/>
          </w:tcPr>
          <w:p>
            <w:pPr>
              <w:jc w:val="center"/>
              <w:rPr>
                <w:rFonts w:hAnsi="宋体"/>
                <w:szCs w:val="21"/>
              </w:rPr>
            </w:pPr>
          </w:p>
        </w:tc>
        <w:tc>
          <w:tcPr>
            <w:tcW w:w="973" w:type="dxa"/>
            <w:vAlign w:val="center"/>
          </w:tcPr>
          <w:p>
            <w:pPr>
              <w:jc w:val="center"/>
              <w:rPr>
                <w:rFonts w:hAnsi="宋体"/>
                <w:szCs w:val="21"/>
              </w:rPr>
            </w:pPr>
          </w:p>
        </w:tc>
        <w:tc>
          <w:tcPr>
            <w:tcW w:w="972" w:type="dxa"/>
            <w:vAlign w:val="center"/>
          </w:tcPr>
          <w:p>
            <w:pPr>
              <w:jc w:val="center"/>
              <w:rPr>
                <w:rFonts w:hAnsi="宋体"/>
                <w:szCs w:val="21"/>
              </w:rPr>
            </w:pPr>
          </w:p>
        </w:tc>
        <w:tc>
          <w:tcPr>
            <w:tcW w:w="974" w:type="dxa"/>
            <w:vAlign w:val="center"/>
          </w:tcPr>
          <w:p>
            <w:pPr>
              <w:jc w:val="center"/>
              <w:rPr>
                <w:rFonts w:hAnsi="宋体"/>
                <w:szCs w:val="21"/>
              </w:rPr>
            </w:pPr>
          </w:p>
        </w:tc>
        <w:tc>
          <w:tcPr>
            <w:tcW w:w="974" w:type="dxa"/>
            <w:vAlign w:val="center"/>
          </w:tcPr>
          <w:p>
            <w:pPr>
              <w:jc w:val="center"/>
              <w:rPr>
                <w:rFonts w:hAnsi="宋体"/>
                <w:szCs w:val="21"/>
              </w:rPr>
            </w:pPr>
          </w:p>
        </w:tc>
        <w:tc>
          <w:tcPr>
            <w:tcW w:w="1046" w:type="dxa"/>
            <w:vAlign w:val="center"/>
          </w:tcPr>
          <w:p>
            <w:pPr>
              <w:jc w:val="center"/>
              <w:rPr>
                <w:rFonts w:hAnsi="宋体"/>
                <w:szCs w:val="21"/>
              </w:rPr>
            </w:pPr>
          </w:p>
        </w:tc>
        <w:tc>
          <w:tcPr>
            <w:tcW w:w="969" w:type="dxa"/>
            <w:vAlign w:val="center"/>
          </w:tcPr>
          <w:p>
            <w:pPr>
              <w:jc w:val="center"/>
              <w:rPr>
                <w:rFonts w:hAnsi="宋体"/>
                <w:szCs w:val="21"/>
              </w:rPr>
            </w:pPr>
          </w:p>
        </w:tc>
        <w:tc>
          <w:tcPr>
            <w:tcW w:w="1036" w:type="dxa"/>
            <w:vAlign w:val="center"/>
          </w:tcPr>
          <w:p>
            <w:pPr>
              <w:jc w:val="center"/>
              <w:rPr>
                <w:rFonts w:hAnsi="宋体"/>
                <w:szCs w:val="21"/>
              </w:rPr>
            </w:pPr>
          </w:p>
        </w:tc>
        <w:tc>
          <w:tcPr>
            <w:tcW w:w="97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70" w:type="dxa"/>
            <w:vAlign w:val="center"/>
          </w:tcPr>
          <w:p>
            <w:pPr>
              <w:jc w:val="center"/>
              <w:rPr>
                <w:rFonts w:hAnsi="宋体"/>
                <w:szCs w:val="21"/>
              </w:rPr>
            </w:pPr>
          </w:p>
        </w:tc>
        <w:tc>
          <w:tcPr>
            <w:tcW w:w="971" w:type="dxa"/>
            <w:vAlign w:val="center"/>
          </w:tcPr>
          <w:p>
            <w:pPr>
              <w:jc w:val="center"/>
              <w:rPr>
                <w:rFonts w:hAnsi="宋体"/>
                <w:szCs w:val="21"/>
              </w:rPr>
            </w:pPr>
          </w:p>
        </w:tc>
        <w:tc>
          <w:tcPr>
            <w:tcW w:w="973" w:type="dxa"/>
            <w:vAlign w:val="center"/>
          </w:tcPr>
          <w:p>
            <w:pPr>
              <w:jc w:val="center"/>
              <w:rPr>
                <w:rFonts w:hAnsi="宋体"/>
                <w:szCs w:val="21"/>
              </w:rPr>
            </w:pPr>
          </w:p>
        </w:tc>
        <w:tc>
          <w:tcPr>
            <w:tcW w:w="972" w:type="dxa"/>
            <w:vAlign w:val="center"/>
          </w:tcPr>
          <w:p>
            <w:pPr>
              <w:jc w:val="center"/>
              <w:rPr>
                <w:rFonts w:hAnsi="宋体"/>
                <w:szCs w:val="21"/>
              </w:rPr>
            </w:pPr>
          </w:p>
        </w:tc>
        <w:tc>
          <w:tcPr>
            <w:tcW w:w="974" w:type="dxa"/>
            <w:vAlign w:val="center"/>
          </w:tcPr>
          <w:p>
            <w:pPr>
              <w:jc w:val="center"/>
              <w:rPr>
                <w:rFonts w:hAnsi="宋体"/>
                <w:szCs w:val="21"/>
              </w:rPr>
            </w:pPr>
          </w:p>
        </w:tc>
        <w:tc>
          <w:tcPr>
            <w:tcW w:w="974" w:type="dxa"/>
            <w:vAlign w:val="center"/>
          </w:tcPr>
          <w:p>
            <w:pPr>
              <w:jc w:val="center"/>
              <w:rPr>
                <w:rFonts w:hAnsi="宋体"/>
                <w:szCs w:val="21"/>
              </w:rPr>
            </w:pPr>
          </w:p>
        </w:tc>
        <w:tc>
          <w:tcPr>
            <w:tcW w:w="1046" w:type="dxa"/>
            <w:vAlign w:val="center"/>
          </w:tcPr>
          <w:p>
            <w:pPr>
              <w:jc w:val="center"/>
              <w:rPr>
                <w:rFonts w:hAnsi="宋体"/>
                <w:szCs w:val="21"/>
              </w:rPr>
            </w:pPr>
          </w:p>
        </w:tc>
        <w:tc>
          <w:tcPr>
            <w:tcW w:w="969" w:type="dxa"/>
            <w:vAlign w:val="center"/>
          </w:tcPr>
          <w:p>
            <w:pPr>
              <w:jc w:val="center"/>
              <w:rPr>
                <w:rFonts w:hAnsi="宋体"/>
                <w:szCs w:val="21"/>
              </w:rPr>
            </w:pPr>
          </w:p>
        </w:tc>
        <w:tc>
          <w:tcPr>
            <w:tcW w:w="1036" w:type="dxa"/>
            <w:vAlign w:val="center"/>
          </w:tcPr>
          <w:p>
            <w:pPr>
              <w:jc w:val="center"/>
              <w:rPr>
                <w:rFonts w:hAnsi="宋体"/>
                <w:szCs w:val="21"/>
              </w:rPr>
            </w:pPr>
          </w:p>
        </w:tc>
        <w:tc>
          <w:tcPr>
            <w:tcW w:w="97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70" w:type="dxa"/>
            <w:vAlign w:val="center"/>
          </w:tcPr>
          <w:p>
            <w:pPr>
              <w:jc w:val="center"/>
              <w:rPr>
                <w:rFonts w:hAnsi="宋体"/>
                <w:szCs w:val="21"/>
              </w:rPr>
            </w:pPr>
          </w:p>
        </w:tc>
        <w:tc>
          <w:tcPr>
            <w:tcW w:w="971" w:type="dxa"/>
            <w:vAlign w:val="center"/>
          </w:tcPr>
          <w:p>
            <w:pPr>
              <w:jc w:val="center"/>
              <w:rPr>
                <w:rFonts w:hAnsi="宋体"/>
                <w:szCs w:val="21"/>
              </w:rPr>
            </w:pPr>
          </w:p>
        </w:tc>
        <w:tc>
          <w:tcPr>
            <w:tcW w:w="973" w:type="dxa"/>
            <w:vAlign w:val="center"/>
          </w:tcPr>
          <w:p>
            <w:pPr>
              <w:jc w:val="center"/>
              <w:rPr>
                <w:rFonts w:hAnsi="宋体"/>
                <w:szCs w:val="21"/>
              </w:rPr>
            </w:pPr>
          </w:p>
        </w:tc>
        <w:tc>
          <w:tcPr>
            <w:tcW w:w="972" w:type="dxa"/>
            <w:vAlign w:val="center"/>
          </w:tcPr>
          <w:p>
            <w:pPr>
              <w:jc w:val="center"/>
              <w:rPr>
                <w:rFonts w:hAnsi="宋体"/>
                <w:szCs w:val="21"/>
              </w:rPr>
            </w:pPr>
          </w:p>
        </w:tc>
        <w:tc>
          <w:tcPr>
            <w:tcW w:w="974" w:type="dxa"/>
            <w:vAlign w:val="center"/>
          </w:tcPr>
          <w:p>
            <w:pPr>
              <w:jc w:val="center"/>
              <w:rPr>
                <w:rFonts w:hAnsi="宋体"/>
                <w:szCs w:val="21"/>
              </w:rPr>
            </w:pPr>
          </w:p>
        </w:tc>
        <w:tc>
          <w:tcPr>
            <w:tcW w:w="974" w:type="dxa"/>
            <w:vAlign w:val="center"/>
          </w:tcPr>
          <w:p>
            <w:pPr>
              <w:jc w:val="center"/>
              <w:rPr>
                <w:rFonts w:hAnsi="宋体"/>
                <w:szCs w:val="21"/>
              </w:rPr>
            </w:pPr>
          </w:p>
        </w:tc>
        <w:tc>
          <w:tcPr>
            <w:tcW w:w="1046" w:type="dxa"/>
            <w:vAlign w:val="center"/>
          </w:tcPr>
          <w:p>
            <w:pPr>
              <w:jc w:val="center"/>
              <w:rPr>
                <w:rFonts w:hAnsi="宋体"/>
                <w:szCs w:val="21"/>
              </w:rPr>
            </w:pPr>
          </w:p>
        </w:tc>
        <w:tc>
          <w:tcPr>
            <w:tcW w:w="969" w:type="dxa"/>
            <w:vAlign w:val="center"/>
          </w:tcPr>
          <w:p>
            <w:pPr>
              <w:jc w:val="center"/>
              <w:rPr>
                <w:rFonts w:hAnsi="宋体"/>
                <w:szCs w:val="21"/>
              </w:rPr>
            </w:pPr>
          </w:p>
        </w:tc>
        <w:tc>
          <w:tcPr>
            <w:tcW w:w="1036" w:type="dxa"/>
            <w:vAlign w:val="center"/>
          </w:tcPr>
          <w:p>
            <w:pPr>
              <w:jc w:val="center"/>
              <w:rPr>
                <w:rFonts w:hAnsi="宋体"/>
                <w:szCs w:val="21"/>
              </w:rPr>
            </w:pPr>
          </w:p>
        </w:tc>
        <w:tc>
          <w:tcPr>
            <w:tcW w:w="97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70" w:type="dxa"/>
            <w:vAlign w:val="center"/>
          </w:tcPr>
          <w:p>
            <w:pPr>
              <w:jc w:val="center"/>
              <w:rPr>
                <w:rFonts w:hAnsi="宋体"/>
                <w:szCs w:val="21"/>
              </w:rPr>
            </w:pPr>
          </w:p>
        </w:tc>
        <w:tc>
          <w:tcPr>
            <w:tcW w:w="971" w:type="dxa"/>
            <w:vAlign w:val="center"/>
          </w:tcPr>
          <w:p>
            <w:pPr>
              <w:jc w:val="center"/>
              <w:rPr>
                <w:rFonts w:hAnsi="宋体"/>
                <w:szCs w:val="21"/>
              </w:rPr>
            </w:pPr>
          </w:p>
        </w:tc>
        <w:tc>
          <w:tcPr>
            <w:tcW w:w="973" w:type="dxa"/>
            <w:vAlign w:val="center"/>
          </w:tcPr>
          <w:p>
            <w:pPr>
              <w:jc w:val="center"/>
              <w:rPr>
                <w:rFonts w:hAnsi="宋体"/>
                <w:szCs w:val="21"/>
              </w:rPr>
            </w:pPr>
          </w:p>
        </w:tc>
        <w:tc>
          <w:tcPr>
            <w:tcW w:w="972" w:type="dxa"/>
            <w:vAlign w:val="center"/>
          </w:tcPr>
          <w:p>
            <w:pPr>
              <w:jc w:val="center"/>
              <w:rPr>
                <w:rFonts w:hAnsi="宋体"/>
                <w:szCs w:val="21"/>
              </w:rPr>
            </w:pPr>
          </w:p>
        </w:tc>
        <w:tc>
          <w:tcPr>
            <w:tcW w:w="974" w:type="dxa"/>
            <w:vAlign w:val="center"/>
          </w:tcPr>
          <w:p>
            <w:pPr>
              <w:jc w:val="center"/>
              <w:rPr>
                <w:rFonts w:hAnsi="宋体"/>
                <w:szCs w:val="21"/>
              </w:rPr>
            </w:pPr>
          </w:p>
        </w:tc>
        <w:tc>
          <w:tcPr>
            <w:tcW w:w="974" w:type="dxa"/>
            <w:vAlign w:val="center"/>
          </w:tcPr>
          <w:p>
            <w:pPr>
              <w:jc w:val="center"/>
              <w:rPr>
                <w:rFonts w:hAnsi="宋体"/>
                <w:szCs w:val="21"/>
              </w:rPr>
            </w:pPr>
          </w:p>
        </w:tc>
        <w:tc>
          <w:tcPr>
            <w:tcW w:w="1046" w:type="dxa"/>
            <w:vAlign w:val="center"/>
          </w:tcPr>
          <w:p>
            <w:pPr>
              <w:jc w:val="center"/>
              <w:rPr>
                <w:rFonts w:hAnsi="宋体"/>
                <w:szCs w:val="21"/>
              </w:rPr>
            </w:pPr>
          </w:p>
        </w:tc>
        <w:tc>
          <w:tcPr>
            <w:tcW w:w="969" w:type="dxa"/>
            <w:vAlign w:val="center"/>
          </w:tcPr>
          <w:p>
            <w:pPr>
              <w:jc w:val="center"/>
              <w:rPr>
                <w:rFonts w:hAnsi="宋体"/>
                <w:szCs w:val="21"/>
              </w:rPr>
            </w:pPr>
          </w:p>
        </w:tc>
        <w:tc>
          <w:tcPr>
            <w:tcW w:w="1036" w:type="dxa"/>
            <w:vAlign w:val="center"/>
          </w:tcPr>
          <w:p>
            <w:pPr>
              <w:jc w:val="center"/>
              <w:rPr>
                <w:rFonts w:hAnsi="宋体"/>
                <w:szCs w:val="21"/>
              </w:rPr>
            </w:pPr>
          </w:p>
        </w:tc>
        <w:tc>
          <w:tcPr>
            <w:tcW w:w="97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70" w:type="dxa"/>
            <w:vAlign w:val="center"/>
          </w:tcPr>
          <w:p>
            <w:pPr>
              <w:jc w:val="center"/>
              <w:rPr>
                <w:rFonts w:hAnsi="宋体"/>
                <w:szCs w:val="21"/>
              </w:rPr>
            </w:pPr>
          </w:p>
        </w:tc>
        <w:tc>
          <w:tcPr>
            <w:tcW w:w="971" w:type="dxa"/>
            <w:vAlign w:val="center"/>
          </w:tcPr>
          <w:p>
            <w:pPr>
              <w:jc w:val="center"/>
              <w:rPr>
                <w:rFonts w:hAnsi="宋体"/>
                <w:szCs w:val="21"/>
              </w:rPr>
            </w:pPr>
          </w:p>
        </w:tc>
        <w:tc>
          <w:tcPr>
            <w:tcW w:w="973" w:type="dxa"/>
            <w:vAlign w:val="center"/>
          </w:tcPr>
          <w:p>
            <w:pPr>
              <w:jc w:val="center"/>
              <w:rPr>
                <w:rFonts w:hAnsi="宋体"/>
                <w:szCs w:val="21"/>
              </w:rPr>
            </w:pPr>
          </w:p>
        </w:tc>
        <w:tc>
          <w:tcPr>
            <w:tcW w:w="972" w:type="dxa"/>
            <w:vAlign w:val="center"/>
          </w:tcPr>
          <w:p>
            <w:pPr>
              <w:jc w:val="center"/>
              <w:rPr>
                <w:rFonts w:hAnsi="宋体"/>
                <w:szCs w:val="21"/>
              </w:rPr>
            </w:pPr>
          </w:p>
        </w:tc>
        <w:tc>
          <w:tcPr>
            <w:tcW w:w="974" w:type="dxa"/>
            <w:vAlign w:val="center"/>
          </w:tcPr>
          <w:p>
            <w:pPr>
              <w:jc w:val="center"/>
              <w:rPr>
                <w:rFonts w:hAnsi="宋体"/>
                <w:szCs w:val="21"/>
              </w:rPr>
            </w:pPr>
          </w:p>
        </w:tc>
        <w:tc>
          <w:tcPr>
            <w:tcW w:w="974" w:type="dxa"/>
            <w:vAlign w:val="center"/>
          </w:tcPr>
          <w:p>
            <w:pPr>
              <w:jc w:val="center"/>
              <w:rPr>
                <w:rFonts w:hAnsi="宋体"/>
                <w:szCs w:val="21"/>
              </w:rPr>
            </w:pPr>
          </w:p>
        </w:tc>
        <w:tc>
          <w:tcPr>
            <w:tcW w:w="1046" w:type="dxa"/>
            <w:vAlign w:val="center"/>
          </w:tcPr>
          <w:p>
            <w:pPr>
              <w:jc w:val="center"/>
              <w:rPr>
                <w:rFonts w:hAnsi="宋体"/>
                <w:szCs w:val="21"/>
              </w:rPr>
            </w:pPr>
          </w:p>
        </w:tc>
        <w:tc>
          <w:tcPr>
            <w:tcW w:w="969" w:type="dxa"/>
            <w:vAlign w:val="center"/>
          </w:tcPr>
          <w:p>
            <w:pPr>
              <w:jc w:val="center"/>
              <w:rPr>
                <w:rFonts w:hAnsi="宋体"/>
                <w:szCs w:val="21"/>
              </w:rPr>
            </w:pPr>
          </w:p>
        </w:tc>
        <w:tc>
          <w:tcPr>
            <w:tcW w:w="1036" w:type="dxa"/>
            <w:vAlign w:val="center"/>
          </w:tcPr>
          <w:p>
            <w:pPr>
              <w:jc w:val="center"/>
              <w:rPr>
                <w:rFonts w:hAnsi="宋体"/>
                <w:szCs w:val="21"/>
              </w:rPr>
            </w:pPr>
          </w:p>
        </w:tc>
        <w:tc>
          <w:tcPr>
            <w:tcW w:w="97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70" w:type="dxa"/>
            <w:vAlign w:val="center"/>
          </w:tcPr>
          <w:p>
            <w:pPr>
              <w:jc w:val="center"/>
              <w:rPr>
                <w:rFonts w:hAnsi="宋体"/>
                <w:szCs w:val="21"/>
              </w:rPr>
            </w:pPr>
          </w:p>
        </w:tc>
        <w:tc>
          <w:tcPr>
            <w:tcW w:w="971" w:type="dxa"/>
            <w:vAlign w:val="center"/>
          </w:tcPr>
          <w:p>
            <w:pPr>
              <w:jc w:val="center"/>
              <w:rPr>
                <w:rFonts w:hAnsi="宋体"/>
                <w:szCs w:val="21"/>
              </w:rPr>
            </w:pPr>
          </w:p>
        </w:tc>
        <w:tc>
          <w:tcPr>
            <w:tcW w:w="973" w:type="dxa"/>
            <w:vAlign w:val="center"/>
          </w:tcPr>
          <w:p>
            <w:pPr>
              <w:jc w:val="center"/>
              <w:rPr>
                <w:rFonts w:hAnsi="宋体"/>
                <w:szCs w:val="21"/>
              </w:rPr>
            </w:pPr>
          </w:p>
        </w:tc>
        <w:tc>
          <w:tcPr>
            <w:tcW w:w="972" w:type="dxa"/>
            <w:vAlign w:val="center"/>
          </w:tcPr>
          <w:p>
            <w:pPr>
              <w:jc w:val="center"/>
              <w:rPr>
                <w:rFonts w:hAnsi="宋体"/>
                <w:szCs w:val="21"/>
              </w:rPr>
            </w:pPr>
          </w:p>
        </w:tc>
        <w:tc>
          <w:tcPr>
            <w:tcW w:w="974" w:type="dxa"/>
            <w:vAlign w:val="center"/>
          </w:tcPr>
          <w:p>
            <w:pPr>
              <w:jc w:val="center"/>
              <w:rPr>
                <w:rFonts w:hAnsi="宋体"/>
                <w:szCs w:val="21"/>
              </w:rPr>
            </w:pPr>
          </w:p>
        </w:tc>
        <w:tc>
          <w:tcPr>
            <w:tcW w:w="974" w:type="dxa"/>
            <w:vAlign w:val="center"/>
          </w:tcPr>
          <w:p>
            <w:pPr>
              <w:jc w:val="center"/>
              <w:rPr>
                <w:rFonts w:hAnsi="宋体"/>
                <w:szCs w:val="21"/>
              </w:rPr>
            </w:pPr>
          </w:p>
        </w:tc>
        <w:tc>
          <w:tcPr>
            <w:tcW w:w="1046" w:type="dxa"/>
            <w:vAlign w:val="center"/>
          </w:tcPr>
          <w:p>
            <w:pPr>
              <w:jc w:val="center"/>
              <w:rPr>
                <w:rFonts w:hAnsi="宋体"/>
                <w:szCs w:val="21"/>
              </w:rPr>
            </w:pPr>
          </w:p>
        </w:tc>
        <w:tc>
          <w:tcPr>
            <w:tcW w:w="969" w:type="dxa"/>
            <w:vAlign w:val="center"/>
          </w:tcPr>
          <w:p>
            <w:pPr>
              <w:jc w:val="center"/>
              <w:rPr>
                <w:rFonts w:hAnsi="宋体"/>
                <w:szCs w:val="21"/>
              </w:rPr>
            </w:pPr>
          </w:p>
        </w:tc>
        <w:tc>
          <w:tcPr>
            <w:tcW w:w="1036" w:type="dxa"/>
            <w:vAlign w:val="center"/>
          </w:tcPr>
          <w:p>
            <w:pPr>
              <w:jc w:val="center"/>
              <w:rPr>
                <w:rFonts w:hAnsi="宋体"/>
                <w:szCs w:val="21"/>
              </w:rPr>
            </w:pPr>
          </w:p>
        </w:tc>
        <w:tc>
          <w:tcPr>
            <w:tcW w:w="97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70" w:type="dxa"/>
            <w:vAlign w:val="center"/>
          </w:tcPr>
          <w:p>
            <w:pPr>
              <w:jc w:val="center"/>
              <w:rPr>
                <w:rFonts w:hAnsi="宋体"/>
                <w:szCs w:val="21"/>
              </w:rPr>
            </w:pPr>
          </w:p>
        </w:tc>
        <w:tc>
          <w:tcPr>
            <w:tcW w:w="971" w:type="dxa"/>
            <w:vAlign w:val="center"/>
          </w:tcPr>
          <w:p>
            <w:pPr>
              <w:jc w:val="center"/>
              <w:rPr>
                <w:rFonts w:hAnsi="宋体"/>
                <w:szCs w:val="21"/>
              </w:rPr>
            </w:pPr>
          </w:p>
        </w:tc>
        <w:tc>
          <w:tcPr>
            <w:tcW w:w="973" w:type="dxa"/>
            <w:vAlign w:val="center"/>
          </w:tcPr>
          <w:p>
            <w:pPr>
              <w:jc w:val="center"/>
              <w:rPr>
                <w:rFonts w:hAnsi="宋体"/>
                <w:szCs w:val="21"/>
              </w:rPr>
            </w:pPr>
          </w:p>
        </w:tc>
        <w:tc>
          <w:tcPr>
            <w:tcW w:w="972" w:type="dxa"/>
            <w:vAlign w:val="center"/>
          </w:tcPr>
          <w:p>
            <w:pPr>
              <w:jc w:val="center"/>
              <w:rPr>
                <w:rFonts w:hAnsi="宋体"/>
                <w:szCs w:val="21"/>
              </w:rPr>
            </w:pPr>
          </w:p>
        </w:tc>
        <w:tc>
          <w:tcPr>
            <w:tcW w:w="974" w:type="dxa"/>
            <w:vAlign w:val="center"/>
          </w:tcPr>
          <w:p>
            <w:pPr>
              <w:jc w:val="center"/>
              <w:rPr>
                <w:rFonts w:hAnsi="宋体"/>
                <w:szCs w:val="21"/>
              </w:rPr>
            </w:pPr>
          </w:p>
        </w:tc>
        <w:tc>
          <w:tcPr>
            <w:tcW w:w="974" w:type="dxa"/>
            <w:vAlign w:val="center"/>
          </w:tcPr>
          <w:p>
            <w:pPr>
              <w:jc w:val="center"/>
              <w:rPr>
                <w:rFonts w:hAnsi="宋体"/>
                <w:szCs w:val="21"/>
              </w:rPr>
            </w:pPr>
          </w:p>
        </w:tc>
        <w:tc>
          <w:tcPr>
            <w:tcW w:w="1046" w:type="dxa"/>
            <w:vAlign w:val="center"/>
          </w:tcPr>
          <w:p>
            <w:pPr>
              <w:jc w:val="center"/>
              <w:rPr>
                <w:rFonts w:hAnsi="宋体"/>
                <w:szCs w:val="21"/>
              </w:rPr>
            </w:pPr>
          </w:p>
        </w:tc>
        <w:tc>
          <w:tcPr>
            <w:tcW w:w="969" w:type="dxa"/>
            <w:vAlign w:val="center"/>
          </w:tcPr>
          <w:p>
            <w:pPr>
              <w:jc w:val="center"/>
              <w:rPr>
                <w:rFonts w:hAnsi="宋体"/>
                <w:szCs w:val="21"/>
              </w:rPr>
            </w:pPr>
          </w:p>
        </w:tc>
        <w:tc>
          <w:tcPr>
            <w:tcW w:w="1036" w:type="dxa"/>
            <w:vAlign w:val="center"/>
          </w:tcPr>
          <w:p>
            <w:pPr>
              <w:jc w:val="center"/>
              <w:rPr>
                <w:rFonts w:hAnsi="宋体"/>
                <w:szCs w:val="21"/>
              </w:rPr>
            </w:pPr>
          </w:p>
        </w:tc>
        <w:tc>
          <w:tcPr>
            <w:tcW w:w="97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70" w:type="dxa"/>
            <w:vAlign w:val="center"/>
          </w:tcPr>
          <w:p>
            <w:pPr>
              <w:jc w:val="center"/>
              <w:rPr>
                <w:rFonts w:hAnsi="宋体"/>
                <w:szCs w:val="21"/>
              </w:rPr>
            </w:pPr>
          </w:p>
        </w:tc>
        <w:tc>
          <w:tcPr>
            <w:tcW w:w="971" w:type="dxa"/>
            <w:vAlign w:val="center"/>
          </w:tcPr>
          <w:p>
            <w:pPr>
              <w:jc w:val="center"/>
              <w:rPr>
                <w:rFonts w:hAnsi="宋体"/>
                <w:szCs w:val="21"/>
              </w:rPr>
            </w:pPr>
          </w:p>
        </w:tc>
        <w:tc>
          <w:tcPr>
            <w:tcW w:w="973" w:type="dxa"/>
            <w:vAlign w:val="center"/>
          </w:tcPr>
          <w:p>
            <w:pPr>
              <w:jc w:val="center"/>
              <w:rPr>
                <w:rFonts w:hAnsi="宋体"/>
                <w:szCs w:val="21"/>
              </w:rPr>
            </w:pPr>
          </w:p>
        </w:tc>
        <w:tc>
          <w:tcPr>
            <w:tcW w:w="972" w:type="dxa"/>
            <w:vAlign w:val="center"/>
          </w:tcPr>
          <w:p>
            <w:pPr>
              <w:jc w:val="center"/>
              <w:rPr>
                <w:rFonts w:hAnsi="宋体"/>
                <w:szCs w:val="21"/>
              </w:rPr>
            </w:pPr>
          </w:p>
        </w:tc>
        <w:tc>
          <w:tcPr>
            <w:tcW w:w="974" w:type="dxa"/>
            <w:vAlign w:val="center"/>
          </w:tcPr>
          <w:p>
            <w:pPr>
              <w:jc w:val="center"/>
              <w:rPr>
                <w:rFonts w:hAnsi="宋体"/>
                <w:szCs w:val="21"/>
              </w:rPr>
            </w:pPr>
          </w:p>
        </w:tc>
        <w:tc>
          <w:tcPr>
            <w:tcW w:w="974" w:type="dxa"/>
            <w:vAlign w:val="center"/>
          </w:tcPr>
          <w:p>
            <w:pPr>
              <w:jc w:val="center"/>
              <w:rPr>
                <w:rFonts w:hAnsi="宋体"/>
                <w:szCs w:val="21"/>
              </w:rPr>
            </w:pPr>
          </w:p>
        </w:tc>
        <w:tc>
          <w:tcPr>
            <w:tcW w:w="1046" w:type="dxa"/>
            <w:vAlign w:val="center"/>
          </w:tcPr>
          <w:p>
            <w:pPr>
              <w:jc w:val="center"/>
              <w:rPr>
                <w:rFonts w:hAnsi="宋体"/>
                <w:szCs w:val="21"/>
              </w:rPr>
            </w:pPr>
          </w:p>
        </w:tc>
        <w:tc>
          <w:tcPr>
            <w:tcW w:w="969" w:type="dxa"/>
            <w:vAlign w:val="center"/>
          </w:tcPr>
          <w:p>
            <w:pPr>
              <w:jc w:val="center"/>
              <w:rPr>
                <w:rFonts w:hAnsi="宋体"/>
                <w:szCs w:val="21"/>
              </w:rPr>
            </w:pPr>
          </w:p>
        </w:tc>
        <w:tc>
          <w:tcPr>
            <w:tcW w:w="1036" w:type="dxa"/>
            <w:vAlign w:val="center"/>
          </w:tcPr>
          <w:p>
            <w:pPr>
              <w:jc w:val="center"/>
              <w:rPr>
                <w:rFonts w:hAnsi="宋体"/>
                <w:szCs w:val="21"/>
              </w:rPr>
            </w:pPr>
          </w:p>
        </w:tc>
        <w:tc>
          <w:tcPr>
            <w:tcW w:w="97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70" w:type="dxa"/>
            <w:vAlign w:val="center"/>
          </w:tcPr>
          <w:p>
            <w:pPr>
              <w:jc w:val="center"/>
              <w:rPr>
                <w:rFonts w:hAnsi="宋体"/>
                <w:szCs w:val="21"/>
              </w:rPr>
            </w:pPr>
          </w:p>
        </w:tc>
        <w:tc>
          <w:tcPr>
            <w:tcW w:w="971" w:type="dxa"/>
            <w:vAlign w:val="center"/>
          </w:tcPr>
          <w:p>
            <w:pPr>
              <w:jc w:val="center"/>
              <w:rPr>
                <w:rFonts w:hAnsi="宋体"/>
                <w:szCs w:val="21"/>
              </w:rPr>
            </w:pPr>
          </w:p>
        </w:tc>
        <w:tc>
          <w:tcPr>
            <w:tcW w:w="973" w:type="dxa"/>
            <w:vAlign w:val="center"/>
          </w:tcPr>
          <w:p>
            <w:pPr>
              <w:jc w:val="center"/>
              <w:rPr>
                <w:rFonts w:hAnsi="宋体"/>
                <w:szCs w:val="21"/>
              </w:rPr>
            </w:pPr>
          </w:p>
        </w:tc>
        <w:tc>
          <w:tcPr>
            <w:tcW w:w="972" w:type="dxa"/>
            <w:vAlign w:val="center"/>
          </w:tcPr>
          <w:p>
            <w:pPr>
              <w:jc w:val="center"/>
              <w:rPr>
                <w:rFonts w:hAnsi="宋体"/>
                <w:szCs w:val="21"/>
              </w:rPr>
            </w:pPr>
          </w:p>
        </w:tc>
        <w:tc>
          <w:tcPr>
            <w:tcW w:w="974" w:type="dxa"/>
            <w:vAlign w:val="center"/>
          </w:tcPr>
          <w:p>
            <w:pPr>
              <w:jc w:val="center"/>
              <w:rPr>
                <w:rFonts w:hAnsi="宋体"/>
                <w:szCs w:val="21"/>
              </w:rPr>
            </w:pPr>
          </w:p>
        </w:tc>
        <w:tc>
          <w:tcPr>
            <w:tcW w:w="974" w:type="dxa"/>
            <w:vAlign w:val="center"/>
          </w:tcPr>
          <w:p>
            <w:pPr>
              <w:jc w:val="center"/>
              <w:rPr>
                <w:rFonts w:hAnsi="宋体"/>
                <w:szCs w:val="21"/>
              </w:rPr>
            </w:pPr>
          </w:p>
        </w:tc>
        <w:tc>
          <w:tcPr>
            <w:tcW w:w="1046" w:type="dxa"/>
            <w:vAlign w:val="center"/>
          </w:tcPr>
          <w:p>
            <w:pPr>
              <w:jc w:val="center"/>
              <w:rPr>
                <w:rFonts w:hAnsi="宋体"/>
                <w:szCs w:val="21"/>
              </w:rPr>
            </w:pPr>
          </w:p>
        </w:tc>
        <w:tc>
          <w:tcPr>
            <w:tcW w:w="969" w:type="dxa"/>
            <w:vAlign w:val="center"/>
          </w:tcPr>
          <w:p>
            <w:pPr>
              <w:jc w:val="center"/>
              <w:rPr>
                <w:rFonts w:hAnsi="宋体"/>
                <w:szCs w:val="21"/>
              </w:rPr>
            </w:pPr>
          </w:p>
        </w:tc>
        <w:tc>
          <w:tcPr>
            <w:tcW w:w="1036" w:type="dxa"/>
            <w:vAlign w:val="center"/>
          </w:tcPr>
          <w:p>
            <w:pPr>
              <w:jc w:val="center"/>
              <w:rPr>
                <w:rFonts w:hAnsi="宋体"/>
                <w:szCs w:val="21"/>
              </w:rPr>
            </w:pPr>
          </w:p>
        </w:tc>
        <w:tc>
          <w:tcPr>
            <w:tcW w:w="97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70" w:type="dxa"/>
            <w:vAlign w:val="center"/>
          </w:tcPr>
          <w:p>
            <w:pPr>
              <w:jc w:val="center"/>
              <w:rPr>
                <w:rFonts w:hAnsi="宋体"/>
                <w:szCs w:val="21"/>
              </w:rPr>
            </w:pPr>
          </w:p>
        </w:tc>
        <w:tc>
          <w:tcPr>
            <w:tcW w:w="971" w:type="dxa"/>
            <w:vAlign w:val="center"/>
          </w:tcPr>
          <w:p>
            <w:pPr>
              <w:jc w:val="center"/>
              <w:rPr>
                <w:rFonts w:hAnsi="宋体"/>
                <w:szCs w:val="21"/>
              </w:rPr>
            </w:pPr>
          </w:p>
        </w:tc>
        <w:tc>
          <w:tcPr>
            <w:tcW w:w="973" w:type="dxa"/>
            <w:vAlign w:val="center"/>
          </w:tcPr>
          <w:p>
            <w:pPr>
              <w:jc w:val="center"/>
              <w:rPr>
                <w:rFonts w:hAnsi="宋体"/>
                <w:szCs w:val="21"/>
              </w:rPr>
            </w:pPr>
          </w:p>
        </w:tc>
        <w:tc>
          <w:tcPr>
            <w:tcW w:w="972" w:type="dxa"/>
            <w:vAlign w:val="center"/>
          </w:tcPr>
          <w:p>
            <w:pPr>
              <w:jc w:val="center"/>
              <w:rPr>
                <w:rFonts w:hAnsi="宋体"/>
                <w:szCs w:val="21"/>
              </w:rPr>
            </w:pPr>
          </w:p>
        </w:tc>
        <w:tc>
          <w:tcPr>
            <w:tcW w:w="974" w:type="dxa"/>
            <w:vAlign w:val="center"/>
          </w:tcPr>
          <w:p>
            <w:pPr>
              <w:jc w:val="center"/>
              <w:rPr>
                <w:rFonts w:hAnsi="宋体"/>
                <w:szCs w:val="21"/>
              </w:rPr>
            </w:pPr>
          </w:p>
        </w:tc>
        <w:tc>
          <w:tcPr>
            <w:tcW w:w="974" w:type="dxa"/>
            <w:vAlign w:val="center"/>
          </w:tcPr>
          <w:p>
            <w:pPr>
              <w:jc w:val="center"/>
              <w:rPr>
                <w:rFonts w:hAnsi="宋体"/>
                <w:szCs w:val="21"/>
              </w:rPr>
            </w:pPr>
          </w:p>
        </w:tc>
        <w:tc>
          <w:tcPr>
            <w:tcW w:w="1046" w:type="dxa"/>
            <w:vAlign w:val="center"/>
          </w:tcPr>
          <w:p>
            <w:pPr>
              <w:jc w:val="center"/>
              <w:rPr>
                <w:rFonts w:hAnsi="宋体"/>
                <w:szCs w:val="21"/>
              </w:rPr>
            </w:pPr>
          </w:p>
        </w:tc>
        <w:tc>
          <w:tcPr>
            <w:tcW w:w="969" w:type="dxa"/>
            <w:vAlign w:val="center"/>
          </w:tcPr>
          <w:p>
            <w:pPr>
              <w:jc w:val="center"/>
              <w:rPr>
                <w:rFonts w:hAnsi="宋体"/>
                <w:szCs w:val="21"/>
              </w:rPr>
            </w:pPr>
          </w:p>
        </w:tc>
        <w:tc>
          <w:tcPr>
            <w:tcW w:w="1036" w:type="dxa"/>
            <w:vAlign w:val="center"/>
          </w:tcPr>
          <w:p>
            <w:pPr>
              <w:jc w:val="center"/>
              <w:rPr>
                <w:rFonts w:hAnsi="宋体"/>
                <w:szCs w:val="21"/>
              </w:rPr>
            </w:pPr>
          </w:p>
        </w:tc>
        <w:tc>
          <w:tcPr>
            <w:tcW w:w="97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70" w:type="dxa"/>
            <w:vAlign w:val="center"/>
          </w:tcPr>
          <w:p>
            <w:pPr>
              <w:jc w:val="center"/>
              <w:rPr>
                <w:rFonts w:hAnsi="宋体"/>
                <w:szCs w:val="21"/>
              </w:rPr>
            </w:pPr>
          </w:p>
        </w:tc>
        <w:tc>
          <w:tcPr>
            <w:tcW w:w="971" w:type="dxa"/>
            <w:vAlign w:val="center"/>
          </w:tcPr>
          <w:p>
            <w:pPr>
              <w:jc w:val="center"/>
              <w:rPr>
                <w:rFonts w:hAnsi="宋体"/>
                <w:szCs w:val="21"/>
              </w:rPr>
            </w:pPr>
          </w:p>
        </w:tc>
        <w:tc>
          <w:tcPr>
            <w:tcW w:w="973" w:type="dxa"/>
            <w:vAlign w:val="center"/>
          </w:tcPr>
          <w:p>
            <w:pPr>
              <w:jc w:val="center"/>
              <w:rPr>
                <w:rFonts w:hAnsi="宋体"/>
                <w:szCs w:val="21"/>
              </w:rPr>
            </w:pPr>
          </w:p>
        </w:tc>
        <w:tc>
          <w:tcPr>
            <w:tcW w:w="972" w:type="dxa"/>
            <w:vAlign w:val="center"/>
          </w:tcPr>
          <w:p>
            <w:pPr>
              <w:jc w:val="center"/>
              <w:rPr>
                <w:rFonts w:hAnsi="宋体"/>
                <w:szCs w:val="21"/>
              </w:rPr>
            </w:pPr>
          </w:p>
        </w:tc>
        <w:tc>
          <w:tcPr>
            <w:tcW w:w="974" w:type="dxa"/>
            <w:vAlign w:val="center"/>
          </w:tcPr>
          <w:p>
            <w:pPr>
              <w:jc w:val="center"/>
              <w:rPr>
                <w:rFonts w:hAnsi="宋体"/>
                <w:szCs w:val="21"/>
              </w:rPr>
            </w:pPr>
          </w:p>
        </w:tc>
        <w:tc>
          <w:tcPr>
            <w:tcW w:w="974" w:type="dxa"/>
            <w:vAlign w:val="center"/>
          </w:tcPr>
          <w:p>
            <w:pPr>
              <w:jc w:val="center"/>
              <w:rPr>
                <w:rFonts w:hAnsi="宋体"/>
                <w:szCs w:val="21"/>
              </w:rPr>
            </w:pPr>
          </w:p>
        </w:tc>
        <w:tc>
          <w:tcPr>
            <w:tcW w:w="1046" w:type="dxa"/>
            <w:vAlign w:val="center"/>
          </w:tcPr>
          <w:p>
            <w:pPr>
              <w:jc w:val="center"/>
              <w:rPr>
                <w:rFonts w:hAnsi="宋体"/>
                <w:szCs w:val="21"/>
              </w:rPr>
            </w:pPr>
          </w:p>
        </w:tc>
        <w:tc>
          <w:tcPr>
            <w:tcW w:w="969" w:type="dxa"/>
            <w:vAlign w:val="center"/>
          </w:tcPr>
          <w:p>
            <w:pPr>
              <w:jc w:val="center"/>
              <w:rPr>
                <w:rFonts w:hAnsi="宋体"/>
                <w:szCs w:val="21"/>
              </w:rPr>
            </w:pPr>
          </w:p>
        </w:tc>
        <w:tc>
          <w:tcPr>
            <w:tcW w:w="1036" w:type="dxa"/>
            <w:vAlign w:val="center"/>
          </w:tcPr>
          <w:p>
            <w:pPr>
              <w:jc w:val="center"/>
              <w:rPr>
                <w:rFonts w:hAnsi="宋体"/>
                <w:szCs w:val="21"/>
              </w:rPr>
            </w:pPr>
          </w:p>
        </w:tc>
        <w:tc>
          <w:tcPr>
            <w:tcW w:w="97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70" w:type="dxa"/>
            <w:vAlign w:val="center"/>
          </w:tcPr>
          <w:p>
            <w:pPr>
              <w:jc w:val="center"/>
              <w:rPr>
                <w:rFonts w:hAnsi="宋体"/>
                <w:szCs w:val="21"/>
              </w:rPr>
            </w:pPr>
          </w:p>
        </w:tc>
        <w:tc>
          <w:tcPr>
            <w:tcW w:w="971" w:type="dxa"/>
            <w:vAlign w:val="center"/>
          </w:tcPr>
          <w:p>
            <w:pPr>
              <w:jc w:val="center"/>
              <w:rPr>
                <w:rFonts w:hAnsi="宋体"/>
                <w:szCs w:val="21"/>
              </w:rPr>
            </w:pPr>
          </w:p>
        </w:tc>
        <w:tc>
          <w:tcPr>
            <w:tcW w:w="973" w:type="dxa"/>
            <w:vAlign w:val="center"/>
          </w:tcPr>
          <w:p>
            <w:pPr>
              <w:jc w:val="center"/>
              <w:rPr>
                <w:rFonts w:hAnsi="宋体"/>
                <w:szCs w:val="21"/>
              </w:rPr>
            </w:pPr>
          </w:p>
        </w:tc>
        <w:tc>
          <w:tcPr>
            <w:tcW w:w="972" w:type="dxa"/>
            <w:vAlign w:val="center"/>
          </w:tcPr>
          <w:p>
            <w:pPr>
              <w:jc w:val="center"/>
              <w:rPr>
                <w:rFonts w:hAnsi="宋体"/>
                <w:szCs w:val="21"/>
              </w:rPr>
            </w:pPr>
          </w:p>
        </w:tc>
        <w:tc>
          <w:tcPr>
            <w:tcW w:w="974" w:type="dxa"/>
            <w:vAlign w:val="center"/>
          </w:tcPr>
          <w:p>
            <w:pPr>
              <w:jc w:val="center"/>
              <w:rPr>
                <w:rFonts w:hAnsi="宋体"/>
                <w:szCs w:val="21"/>
              </w:rPr>
            </w:pPr>
          </w:p>
        </w:tc>
        <w:tc>
          <w:tcPr>
            <w:tcW w:w="974" w:type="dxa"/>
            <w:vAlign w:val="center"/>
          </w:tcPr>
          <w:p>
            <w:pPr>
              <w:jc w:val="center"/>
              <w:rPr>
                <w:rFonts w:hAnsi="宋体"/>
                <w:szCs w:val="21"/>
              </w:rPr>
            </w:pPr>
          </w:p>
        </w:tc>
        <w:tc>
          <w:tcPr>
            <w:tcW w:w="1046" w:type="dxa"/>
            <w:vAlign w:val="center"/>
          </w:tcPr>
          <w:p>
            <w:pPr>
              <w:jc w:val="center"/>
              <w:rPr>
                <w:rFonts w:hAnsi="宋体"/>
                <w:szCs w:val="21"/>
              </w:rPr>
            </w:pPr>
          </w:p>
        </w:tc>
        <w:tc>
          <w:tcPr>
            <w:tcW w:w="969" w:type="dxa"/>
            <w:vAlign w:val="center"/>
          </w:tcPr>
          <w:p>
            <w:pPr>
              <w:jc w:val="center"/>
              <w:rPr>
                <w:rFonts w:hAnsi="宋体"/>
                <w:szCs w:val="21"/>
              </w:rPr>
            </w:pPr>
          </w:p>
        </w:tc>
        <w:tc>
          <w:tcPr>
            <w:tcW w:w="1036" w:type="dxa"/>
            <w:vAlign w:val="center"/>
          </w:tcPr>
          <w:p>
            <w:pPr>
              <w:jc w:val="center"/>
              <w:rPr>
                <w:rFonts w:hAnsi="宋体"/>
                <w:szCs w:val="21"/>
              </w:rPr>
            </w:pPr>
          </w:p>
        </w:tc>
        <w:tc>
          <w:tcPr>
            <w:tcW w:w="97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70" w:type="dxa"/>
            <w:vAlign w:val="center"/>
          </w:tcPr>
          <w:p>
            <w:pPr>
              <w:jc w:val="center"/>
              <w:rPr>
                <w:rFonts w:hAnsi="宋体"/>
                <w:szCs w:val="21"/>
              </w:rPr>
            </w:pPr>
          </w:p>
        </w:tc>
        <w:tc>
          <w:tcPr>
            <w:tcW w:w="971" w:type="dxa"/>
            <w:vAlign w:val="center"/>
          </w:tcPr>
          <w:p>
            <w:pPr>
              <w:jc w:val="center"/>
              <w:rPr>
                <w:rFonts w:hAnsi="宋体"/>
                <w:szCs w:val="21"/>
              </w:rPr>
            </w:pPr>
          </w:p>
        </w:tc>
        <w:tc>
          <w:tcPr>
            <w:tcW w:w="973" w:type="dxa"/>
            <w:vAlign w:val="center"/>
          </w:tcPr>
          <w:p>
            <w:pPr>
              <w:jc w:val="center"/>
              <w:rPr>
                <w:rFonts w:hAnsi="宋体"/>
                <w:szCs w:val="21"/>
              </w:rPr>
            </w:pPr>
          </w:p>
        </w:tc>
        <w:tc>
          <w:tcPr>
            <w:tcW w:w="972" w:type="dxa"/>
            <w:vAlign w:val="center"/>
          </w:tcPr>
          <w:p>
            <w:pPr>
              <w:jc w:val="center"/>
              <w:rPr>
                <w:rFonts w:hAnsi="宋体"/>
                <w:szCs w:val="21"/>
              </w:rPr>
            </w:pPr>
          </w:p>
        </w:tc>
        <w:tc>
          <w:tcPr>
            <w:tcW w:w="974" w:type="dxa"/>
            <w:vAlign w:val="center"/>
          </w:tcPr>
          <w:p>
            <w:pPr>
              <w:jc w:val="center"/>
              <w:rPr>
                <w:rFonts w:hAnsi="宋体"/>
                <w:szCs w:val="21"/>
              </w:rPr>
            </w:pPr>
          </w:p>
        </w:tc>
        <w:tc>
          <w:tcPr>
            <w:tcW w:w="974" w:type="dxa"/>
            <w:vAlign w:val="center"/>
          </w:tcPr>
          <w:p>
            <w:pPr>
              <w:jc w:val="center"/>
              <w:rPr>
                <w:rFonts w:hAnsi="宋体"/>
                <w:szCs w:val="21"/>
              </w:rPr>
            </w:pPr>
          </w:p>
        </w:tc>
        <w:tc>
          <w:tcPr>
            <w:tcW w:w="1046" w:type="dxa"/>
            <w:vAlign w:val="center"/>
          </w:tcPr>
          <w:p>
            <w:pPr>
              <w:jc w:val="center"/>
              <w:rPr>
                <w:rFonts w:hAnsi="宋体"/>
                <w:szCs w:val="21"/>
              </w:rPr>
            </w:pPr>
          </w:p>
        </w:tc>
        <w:tc>
          <w:tcPr>
            <w:tcW w:w="969" w:type="dxa"/>
            <w:vAlign w:val="center"/>
          </w:tcPr>
          <w:p>
            <w:pPr>
              <w:jc w:val="center"/>
              <w:rPr>
                <w:rFonts w:hAnsi="宋体"/>
                <w:szCs w:val="21"/>
              </w:rPr>
            </w:pPr>
          </w:p>
        </w:tc>
        <w:tc>
          <w:tcPr>
            <w:tcW w:w="1036" w:type="dxa"/>
            <w:vAlign w:val="center"/>
          </w:tcPr>
          <w:p>
            <w:pPr>
              <w:jc w:val="center"/>
              <w:rPr>
                <w:rFonts w:hAnsi="宋体"/>
                <w:szCs w:val="21"/>
              </w:rPr>
            </w:pPr>
          </w:p>
        </w:tc>
        <w:tc>
          <w:tcPr>
            <w:tcW w:w="970" w:type="dxa"/>
            <w:vAlign w:val="center"/>
          </w:tcPr>
          <w:p>
            <w:pPr>
              <w:jc w:val="center"/>
              <w:rPr>
                <w:rFonts w:hAnsi="宋体"/>
                <w:szCs w:val="21"/>
              </w:rPr>
            </w:pPr>
          </w:p>
        </w:tc>
      </w:tr>
    </w:tbl>
    <w:p>
      <w:pPr>
        <w:spacing w:line="360" w:lineRule="auto"/>
        <w:rPr>
          <w:rFonts w:hAnsi="宋体"/>
          <w:szCs w:val="21"/>
        </w:rPr>
        <w:sectPr>
          <w:pgSz w:w="11907" w:h="16840"/>
          <w:pgMar w:top="1134" w:right="1134" w:bottom="1134" w:left="1134" w:header="720" w:footer="720" w:gutter="0"/>
          <w:cols w:space="720" w:num="1"/>
        </w:sectPr>
      </w:pPr>
    </w:p>
    <w:p>
      <w:pPr>
        <w:autoSpaceDE w:val="0"/>
        <w:autoSpaceDN w:val="0"/>
        <w:adjustRightInd w:val="0"/>
        <w:jc w:val="left"/>
        <w:rPr>
          <w:rFonts w:ascii="黑体" w:eastAsia="黑体" w:cs="黑体"/>
          <w:kern w:val="0"/>
          <w:sz w:val="23"/>
          <w:szCs w:val="23"/>
        </w:rPr>
      </w:pPr>
      <w:r>
        <w:rPr>
          <w:rFonts w:hint="eastAsia" w:ascii="黑体" w:eastAsia="黑体" w:cs="黑体"/>
          <w:kern w:val="0"/>
          <w:sz w:val="23"/>
          <w:szCs w:val="23"/>
        </w:rPr>
        <w:t>附表四：计划开、竣工日期和施工进度网络图</w:t>
      </w:r>
    </w:p>
    <w:p>
      <w:pPr>
        <w:autoSpaceDE w:val="0"/>
        <w:autoSpaceDN w:val="0"/>
        <w:adjustRightInd w:val="0"/>
        <w:jc w:val="left"/>
        <w:rPr>
          <w:rFonts w:ascii="黑体" w:eastAsia="黑体" w:cs="黑体"/>
          <w:kern w:val="0"/>
          <w:sz w:val="23"/>
          <w:szCs w:val="23"/>
        </w:rPr>
      </w:pPr>
    </w:p>
    <w:p>
      <w:pPr>
        <w:autoSpaceDE w:val="0"/>
        <w:autoSpaceDN w:val="0"/>
        <w:adjustRightInd w:val="0"/>
        <w:jc w:val="left"/>
        <w:rPr>
          <w:rFonts w:ascii="黑体" w:eastAsia="黑体" w:cs="黑体"/>
          <w:kern w:val="0"/>
          <w:sz w:val="23"/>
          <w:szCs w:val="23"/>
        </w:rPr>
      </w:pPr>
    </w:p>
    <w:p>
      <w:pPr>
        <w:autoSpaceDE w:val="0"/>
        <w:autoSpaceDN w:val="0"/>
        <w:adjustRightInd w:val="0"/>
        <w:spacing w:before="120" w:beforeLines="50" w:after="120" w:afterLines="50" w:line="360" w:lineRule="auto"/>
        <w:ind w:firstLine="420" w:firstLineChars="200"/>
        <w:jc w:val="left"/>
        <w:rPr>
          <w:rFonts w:ascii="宋体" w:cs="宋体"/>
          <w:kern w:val="0"/>
          <w:szCs w:val="21"/>
        </w:rPr>
      </w:pPr>
      <w:r>
        <w:rPr>
          <w:rFonts w:ascii="TimesNewRomanPSMT" w:hAnsi="TimesNewRomanPSMT" w:eastAsia="黑体" w:cs="TimesNewRomanPSMT"/>
          <w:kern w:val="0"/>
          <w:szCs w:val="21"/>
        </w:rPr>
        <w:t xml:space="preserve">1. </w:t>
      </w:r>
      <w:r>
        <w:rPr>
          <w:rFonts w:hint="eastAsia" w:ascii="宋体" w:cs="宋体"/>
          <w:kern w:val="0"/>
          <w:szCs w:val="21"/>
        </w:rPr>
        <w:t>投标人应递交施工进度网络图或施工进度表，说明按招标文件要求的计划工期进行施工的各个关键日期。</w:t>
      </w:r>
    </w:p>
    <w:p>
      <w:pPr>
        <w:spacing w:before="120" w:beforeLines="50" w:after="120" w:afterLines="50" w:line="360" w:lineRule="auto"/>
        <w:ind w:firstLine="420" w:firstLineChars="200"/>
        <w:rPr>
          <w:rFonts w:ascii="宋体" w:cs="宋体"/>
          <w:kern w:val="0"/>
          <w:szCs w:val="21"/>
        </w:rPr>
        <w:sectPr>
          <w:pgSz w:w="11907" w:h="16840"/>
          <w:pgMar w:top="1134" w:right="1134" w:bottom="1134" w:left="1134" w:header="720" w:footer="720" w:gutter="0"/>
          <w:cols w:space="720" w:num="1"/>
        </w:sectPr>
      </w:pPr>
      <w:r>
        <w:rPr>
          <w:rFonts w:ascii="TimesNewRomanPSMT" w:hAnsi="TimesNewRomanPSMT" w:eastAsia="黑体" w:cs="TimesNewRomanPSMT"/>
          <w:kern w:val="0"/>
          <w:szCs w:val="21"/>
        </w:rPr>
        <w:t xml:space="preserve">2. </w:t>
      </w:r>
      <w:r>
        <w:rPr>
          <w:rFonts w:hint="eastAsia" w:ascii="宋体" w:cs="宋体"/>
          <w:kern w:val="0"/>
          <w:szCs w:val="21"/>
        </w:rPr>
        <w:t>施工进度表可采用网络图(或横道图)表示。</w:t>
      </w:r>
    </w:p>
    <w:p>
      <w:pPr>
        <w:keepLines/>
        <w:pageBreakBefore/>
        <w:spacing w:line="560" w:lineRule="exact"/>
        <w:jc w:val="center"/>
        <w:rPr>
          <w:rFonts w:cs="微软雅黑"/>
          <w:b/>
          <w:kern w:val="0"/>
          <w:sz w:val="36"/>
          <w:szCs w:val="36"/>
        </w:rPr>
      </w:pPr>
      <w:r>
        <w:rPr>
          <w:rFonts w:hint="eastAsia" w:cs="微软雅黑"/>
          <w:b/>
          <w:kern w:val="0"/>
          <w:sz w:val="36"/>
          <w:szCs w:val="36"/>
          <w:lang w:val="en-US" w:eastAsia="zh-CN"/>
        </w:rPr>
        <w:t>五、</w:t>
      </w:r>
      <w:r>
        <w:rPr>
          <w:rFonts w:hint="eastAsia" w:cs="微软雅黑"/>
          <w:b/>
          <w:kern w:val="0"/>
          <w:sz w:val="36"/>
          <w:szCs w:val="36"/>
        </w:rPr>
        <w:t>投标人认为需要提供的其他材料</w:t>
      </w:r>
    </w:p>
    <w:bookmarkEnd w:id="29"/>
    <w:p>
      <w:pPr>
        <w:autoSpaceDE w:val="0"/>
        <w:autoSpaceDN w:val="0"/>
        <w:adjustRightInd w:val="0"/>
        <w:spacing w:line="560" w:lineRule="exact"/>
        <w:jc w:val="center"/>
        <w:rPr>
          <w:rFonts w:hint="eastAsia"/>
          <w:b/>
          <w:sz w:val="24"/>
          <w:lang w:eastAsia="zh-CN"/>
        </w:rPr>
      </w:pPr>
    </w:p>
    <w:sectPr>
      <w:pgSz w:w="11906" w:h="16838"/>
      <w:pgMar w:top="1440" w:right="1080" w:bottom="1440" w:left="108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modern"/>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TimesNewRomanPSMT">
    <w:altName w:val="Times New Roman"/>
    <w:panose1 w:val="00000000000000000000"/>
    <w:charset w:val="00"/>
    <w:family w:val="auto"/>
    <w:pitch w:val="default"/>
    <w:sig w:usb0="00000000" w:usb1="00000000" w:usb2="00000001" w:usb3="00000000" w:csb0="400001BF" w:csb1="DFF7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fldChar w:fldCharType="begin"/>
    </w:r>
    <w:r>
      <w:instrText xml:space="preserve">PAGE   \* MERGEFORMAT</w:instrText>
    </w:r>
    <w:r>
      <w:fldChar w:fldCharType="separate"/>
    </w:r>
    <w:r>
      <w:rPr>
        <w:lang w:val="zh-CN"/>
      </w:rPr>
      <w:t>-</w:t>
    </w:r>
    <w:r>
      <w:t xml:space="preserve"> 68 -</w:t>
    </w:r>
    <w:r>
      <w:fldChar w:fldCharType="end"/>
    </w:r>
  </w:p>
  <w:p>
    <w:pP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right"/>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- 1 -</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NTVs2AVAgAAEwQAAA4AAAAAAAAA&#10;AQAgAAAAHwEAAGRycy9lMm9Eb2MueG1sUEsFBgAAAAAGAAYAWQEAAKYFA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- 1 -</w:t>
                    </w:r>
                    <w:r>
                      <w:rPr>
                        <w:rFonts w:hint="eastAsia"/>
                        <w:sz w:val="18"/>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right"/>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48</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48</w:t>
                    </w:r>
                    <w:r>
                      <w:rPr>
                        <w:rFonts w:hint="eastAsia"/>
                        <w:sz w:val="18"/>
                        <w:lang w:eastAsia="zh-CN"/>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fldChar w:fldCharType="begin"/>
    </w:r>
    <w:r>
      <w:instrText xml:space="preserve">PAGE   \* MERGEFORMAT</w:instrText>
    </w:r>
    <w:r>
      <w:fldChar w:fldCharType="separate"/>
    </w:r>
    <w:r>
      <w:rPr>
        <w:lang w:val="zh-CN"/>
      </w:rPr>
      <w:t>120</w:t>
    </w:r>
    <w:r>
      <w:rPr>
        <w:lang w:val="zh-CN"/>
      </w:rPr>
      <w:fldChar w:fldCharType="end"/>
    </w:r>
  </w:p>
  <w:p>
    <w:pPr>
      <w:pStyle w:val="10"/>
      <w:ind w:firstLine="18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center" w:y="1"/>
      <w:ind w:firstLine="180"/>
      <w:rPr>
        <w:rStyle w:val="17"/>
      </w:rPr>
    </w:pPr>
    <w:r>
      <w:fldChar w:fldCharType="begin"/>
    </w:r>
    <w:r>
      <w:rPr>
        <w:rStyle w:val="17"/>
      </w:rPr>
      <w:instrText xml:space="preserve">PAGE  </w:instrText>
    </w:r>
    <w:r>
      <w:fldChar w:fldCharType="separate"/>
    </w:r>
    <w:r>
      <w:rPr>
        <w:rStyle w:val="17"/>
      </w:rPr>
      <w:t>3</w:t>
    </w:r>
    <w:r>
      <w:fldChar w:fldCharType="end"/>
    </w:r>
  </w:p>
  <w:p>
    <w:pPr>
      <w:pStyle w:val="10"/>
      <w:ind w:firstLine="18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0DC3FBE"/>
    <w:multiLevelType w:val="singleLevel"/>
    <w:tmpl w:val="80DC3FBE"/>
    <w:lvl w:ilvl="0" w:tentative="0">
      <w:start w:val="2"/>
      <w:numFmt w:val="chineseCounting"/>
      <w:suff w:val="nothing"/>
      <w:lvlText w:val="%1、"/>
      <w:lvlJc w:val="left"/>
      <w:rPr>
        <w:rFonts w:hint="eastAsia"/>
      </w:rPr>
    </w:lvl>
  </w:abstractNum>
  <w:abstractNum w:abstractNumId="1">
    <w:nsid w:val="05ED7744"/>
    <w:multiLevelType w:val="multilevel"/>
    <w:tmpl w:val="05ED7744"/>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2">
    <w:nsid w:val="54132C69"/>
    <w:multiLevelType w:val="singleLevel"/>
    <w:tmpl w:val="54132C69"/>
    <w:lvl w:ilvl="0" w:tentative="0">
      <w:start w:val="1"/>
      <w:numFmt w:val="decimal"/>
      <w:suff w:val="nothing"/>
      <w:lvlText w:val="%1．"/>
      <w:lvlJc w:val="left"/>
    </w:lvl>
  </w:abstractNum>
  <w:abstractNum w:abstractNumId="3">
    <w:nsid w:val="5D75C5AD"/>
    <w:multiLevelType w:val="singleLevel"/>
    <w:tmpl w:val="5D75C5AD"/>
    <w:lvl w:ilvl="0" w:tentative="0">
      <w:start w:val="1"/>
      <w:numFmt w:val="decimal"/>
      <w:suff w:val="nothing"/>
      <w:lvlText w:val="（%1）"/>
      <w:lvlJc w:val="left"/>
    </w:lvl>
  </w:abstractNum>
  <w:abstractNum w:abstractNumId="4">
    <w:nsid w:val="6306DE00"/>
    <w:multiLevelType w:val="singleLevel"/>
    <w:tmpl w:val="6306DE00"/>
    <w:lvl w:ilvl="0" w:tentative="0">
      <w:start w:val="4"/>
      <w:numFmt w:val="decimal"/>
      <w:suff w:val="nothing"/>
      <w:lvlText w:val="(%1)"/>
      <w:lvlJc w:val="left"/>
    </w:lvl>
  </w:abstractNum>
  <w:abstractNum w:abstractNumId="5">
    <w:nsid w:val="636C52E6"/>
    <w:multiLevelType w:val="singleLevel"/>
    <w:tmpl w:val="636C52E6"/>
    <w:lvl w:ilvl="0" w:tentative="0">
      <w:start w:val="1"/>
      <w:numFmt w:val="decimal"/>
      <w:suff w:val="nothing"/>
      <w:lvlText w:val="(%1)"/>
      <w:lvlJc w:val="left"/>
    </w:lvl>
  </w:abstractNum>
  <w:abstractNum w:abstractNumId="6">
    <w:nsid w:val="649FCD82"/>
    <w:multiLevelType w:val="singleLevel"/>
    <w:tmpl w:val="649FCD82"/>
    <w:lvl w:ilvl="0" w:tentative="0">
      <w:start w:val="1"/>
      <w:numFmt w:val="decimal"/>
      <w:suff w:val="nothing"/>
      <w:lvlText w:val="（%1）"/>
      <w:lvlJc w:val="left"/>
      <w:pPr>
        <w:ind w:left="70"/>
      </w:pPr>
    </w:lvl>
  </w:abstractNum>
  <w:abstractNum w:abstractNumId="7">
    <w:nsid w:val="649FCE99"/>
    <w:multiLevelType w:val="singleLevel"/>
    <w:tmpl w:val="649FCE99"/>
    <w:lvl w:ilvl="0" w:tentative="0">
      <w:start w:val="1"/>
      <w:numFmt w:val="decimal"/>
      <w:suff w:val="nothing"/>
      <w:lvlText w:val="（%1）"/>
      <w:lvlJc w:val="left"/>
    </w:lvl>
  </w:abstractNum>
  <w:abstractNum w:abstractNumId="8">
    <w:nsid w:val="658E6D07"/>
    <w:multiLevelType w:val="singleLevel"/>
    <w:tmpl w:val="658E6D07"/>
    <w:lvl w:ilvl="0" w:tentative="0">
      <w:start w:val="4"/>
      <w:numFmt w:val="chineseCounting"/>
      <w:suff w:val="space"/>
      <w:lvlText w:val="第%1章"/>
      <w:lvlJc w:val="left"/>
    </w:lvl>
  </w:abstractNum>
  <w:abstractNum w:abstractNumId="9">
    <w:nsid w:val="67839068"/>
    <w:multiLevelType w:val="singleLevel"/>
    <w:tmpl w:val="67839068"/>
    <w:lvl w:ilvl="0" w:tentative="0">
      <w:start w:val="1"/>
      <w:numFmt w:val="chineseCounting"/>
      <w:suff w:val="nothing"/>
      <w:lvlText w:val="%1、"/>
      <w:lvlJc w:val="left"/>
      <w:rPr>
        <w:rFonts w:hint="eastAsia"/>
      </w:rPr>
    </w:lvl>
  </w:abstractNum>
  <w:num w:numId="1">
    <w:abstractNumId w:val="3"/>
  </w:num>
  <w:num w:numId="2">
    <w:abstractNumId w:val="6"/>
  </w:num>
  <w:num w:numId="3">
    <w:abstractNumId w:val="7"/>
  </w:num>
  <w:num w:numId="4">
    <w:abstractNumId w:val="4"/>
  </w:num>
  <w:num w:numId="5">
    <w:abstractNumId w:val="0"/>
  </w:num>
  <w:num w:numId="6">
    <w:abstractNumId w:val="2"/>
  </w:num>
  <w:num w:numId="7">
    <w:abstractNumId w:val="9"/>
  </w:num>
  <w:num w:numId="8">
    <w:abstractNumId w:val="1"/>
  </w:num>
  <w:num w:numId="9">
    <w:abstractNumId w:val="8"/>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5121BF"/>
    <w:rsid w:val="02380E83"/>
    <w:rsid w:val="037A2FD9"/>
    <w:rsid w:val="03D74FB1"/>
    <w:rsid w:val="05B64DCF"/>
    <w:rsid w:val="06786BA6"/>
    <w:rsid w:val="07E72EE1"/>
    <w:rsid w:val="0A2E05DD"/>
    <w:rsid w:val="0A493D71"/>
    <w:rsid w:val="0C814ABA"/>
    <w:rsid w:val="0F1C2D10"/>
    <w:rsid w:val="120B30EE"/>
    <w:rsid w:val="1266740C"/>
    <w:rsid w:val="15514D71"/>
    <w:rsid w:val="16225A04"/>
    <w:rsid w:val="16293A1A"/>
    <w:rsid w:val="168D217A"/>
    <w:rsid w:val="17DC0C90"/>
    <w:rsid w:val="183A07EF"/>
    <w:rsid w:val="1A495E22"/>
    <w:rsid w:val="1AFE3C42"/>
    <w:rsid w:val="1C9E18CC"/>
    <w:rsid w:val="1E201F19"/>
    <w:rsid w:val="1F390D55"/>
    <w:rsid w:val="201927BB"/>
    <w:rsid w:val="203248ED"/>
    <w:rsid w:val="21B25E2B"/>
    <w:rsid w:val="228872FF"/>
    <w:rsid w:val="2B9C12A0"/>
    <w:rsid w:val="2BFA02F9"/>
    <w:rsid w:val="2C836438"/>
    <w:rsid w:val="2D676C05"/>
    <w:rsid w:val="2D7E7A66"/>
    <w:rsid w:val="2E84147A"/>
    <w:rsid w:val="2F62581A"/>
    <w:rsid w:val="32546FF6"/>
    <w:rsid w:val="327E6F36"/>
    <w:rsid w:val="32A86171"/>
    <w:rsid w:val="33EE421A"/>
    <w:rsid w:val="34A47824"/>
    <w:rsid w:val="36DE54DD"/>
    <w:rsid w:val="374641C5"/>
    <w:rsid w:val="39B236CC"/>
    <w:rsid w:val="3C7576BE"/>
    <w:rsid w:val="3D945BE8"/>
    <w:rsid w:val="3DA6137D"/>
    <w:rsid w:val="3F5909BE"/>
    <w:rsid w:val="402C56C0"/>
    <w:rsid w:val="4149183A"/>
    <w:rsid w:val="420317A3"/>
    <w:rsid w:val="428310D0"/>
    <w:rsid w:val="433D2174"/>
    <w:rsid w:val="44EC1417"/>
    <w:rsid w:val="46F915AC"/>
    <w:rsid w:val="49E139A2"/>
    <w:rsid w:val="4C5145F7"/>
    <w:rsid w:val="4CB049B9"/>
    <w:rsid w:val="4D7512EB"/>
    <w:rsid w:val="4E774671"/>
    <w:rsid w:val="4F212CEE"/>
    <w:rsid w:val="504C5535"/>
    <w:rsid w:val="52003A04"/>
    <w:rsid w:val="52505E2A"/>
    <w:rsid w:val="526374CA"/>
    <w:rsid w:val="573E4AB5"/>
    <w:rsid w:val="57656F61"/>
    <w:rsid w:val="59E419A0"/>
    <w:rsid w:val="5A2231BB"/>
    <w:rsid w:val="5AC94108"/>
    <w:rsid w:val="5DC62017"/>
    <w:rsid w:val="5E7D4F74"/>
    <w:rsid w:val="607F1561"/>
    <w:rsid w:val="627A424D"/>
    <w:rsid w:val="6428732E"/>
    <w:rsid w:val="6539334A"/>
    <w:rsid w:val="65F02E7F"/>
    <w:rsid w:val="661E15EA"/>
    <w:rsid w:val="667B2151"/>
    <w:rsid w:val="68631249"/>
    <w:rsid w:val="699E3CB9"/>
    <w:rsid w:val="69BE4C46"/>
    <w:rsid w:val="6D215EFB"/>
    <w:rsid w:val="6F6760DE"/>
    <w:rsid w:val="6FD56D2B"/>
    <w:rsid w:val="72045CA2"/>
    <w:rsid w:val="72B91C8C"/>
    <w:rsid w:val="73C82A7A"/>
    <w:rsid w:val="74062CE2"/>
    <w:rsid w:val="742C0EB4"/>
    <w:rsid w:val="74371887"/>
    <w:rsid w:val="7997588C"/>
    <w:rsid w:val="7A053C43"/>
    <w:rsid w:val="7A8C4FBA"/>
    <w:rsid w:val="7AF55DB7"/>
    <w:rsid w:val="7B342260"/>
    <w:rsid w:val="7BEE3354"/>
    <w:rsid w:val="7C680860"/>
    <w:rsid w:val="7C9C56CF"/>
    <w:rsid w:val="7DC86E92"/>
    <w:rsid w:val="7DEC462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0"/>
    <w:pPr>
      <w:keepNext/>
      <w:keepLines/>
      <w:spacing w:before="340" w:after="330" w:line="360" w:lineRule="auto"/>
      <w:jc w:val="center"/>
      <w:outlineLvl w:val="0"/>
    </w:pPr>
    <w:rPr>
      <w:rFonts w:ascii="Times New Roman" w:hAnsi="Times New Roman" w:eastAsia="宋体" w:cs="Times New Roman"/>
      <w:b/>
      <w:bCs/>
      <w:kern w:val="44"/>
      <w:sz w:val="30"/>
      <w:szCs w:val="44"/>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customStyle="1" w:styleId="2">
    <w:name w:val="样式 标题 1 + 四号 加粗"/>
    <w:basedOn w:val="3"/>
    <w:qFormat/>
    <w:uiPriority w:val="0"/>
    <w:rPr>
      <w:rFonts w:eastAsia="黑体"/>
    </w:rPr>
  </w:style>
  <w:style w:type="paragraph" w:styleId="4">
    <w:name w:val="Normal Indent"/>
    <w:basedOn w:val="1"/>
    <w:qFormat/>
    <w:uiPriority w:val="0"/>
    <w:pPr>
      <w:ind w:firstLine="420"/>
    </w:pPr>
    <w:rPr>
      <w:rFonts w:ascii="Times New Roman" w:hAnsi="Times New Roman" w:eastAsia="宋体" w:cs="Times New Roman"/>
      <w:szCs w:val="20"/>
    </w:rPr>
  </w:style>
  <w:style w:type="paragraph" w:styleId="5">
    <w:name w:val="annotation text"/>
    <w:basedOn w:val="1"/>
    <w:qFormat/>
    <w:uiPriority w:val="0"/>
    <w:pPr>
      <w:jc w:val="left"/>
    </w:pPr>
  </w:style>
  <w:style w:type="paragraph" w:styleId="6">
    <w:name w:val="Body Text"/>
    <w:basedOn w:val="1"/>
    <w:next w:val="7"/>
    <w:qFormat/>
    <w:uiPriority w:val="0"/>
    <w:pPr>
      <w:spacing w:after="120"/>
    </w:pPr>
    <w:rPr>
      <w:rFonts w:ascii="Times New Roman" w:hAnsi="Times New Roman" w:eastAsia="宋体" w:cs="Times New Roman"/>
    </w:rPr>
  </w:style>
  <w:style w:type="paragraph" w:styleId="7">
    <w:name w:val="Body Text First Indent"/>
    <w:basedOn w:val="6"/>
    <w:next w:val="8"/>
    <w:qFormat/>
    <w:uiPriority w:val="0"/>
    <w:pPr>
      <w:ind w:firstLine="420" w:firstLineChars="100"/>
    </w:pPr>
    <w:rPr>
      <w:rFonts w:ascii="Times New Roman" w:hAnsi="Times New Roman" w:eastAsia="宋体" w:cs="Times New Roman"/>
      <w:lang w:val="en-US" w:eastAsia="zh-CN"/>
    </w:rPr>
  </w:style>
  <w:style w:type="paragraph" w:styleId="8">
    <w:name w:val="toc 6"/>
    <w:basedOn w:val="1"/>
    <w:next w:val="1"/>
    <w:qFormat/>
    <w:uiPriority w:val="0"/>
    <w:pPr>
      <w:ind w:left="2100" w:leftChars="1000"/>
    </w:pPr>
  </w:style>
  <w:style w:type="paragraph" w:styleId="9">
    <w:name w:val="Plain Text"/>
    <w:basedOn w:val="1"/>
    <w:qFormat/>
    <w:uiPriority w:val="0"/>
    <w:rPr>
      <w:rFonts w:ascii="宋体" w:hAnsi="Courier New" w:eastAsia="宋体" w:cs="Times New Roman"/>
      <w:kern w:val="0"/>
      <w:sz w:val="20"/>
      <w:szCs w:val="21"/>
    </w:rPr>
  </w:style>
  <w:style w:type="paragraph" w:styleId="10">
    <w:name w:val="footer"/>
    <w:basedOn w:val="1"/>
    <w:qFormat/>
    <w:uiPriority w:val="0"/>
    <w:pPr>
      <w:tabs>
        <w:tab w:val="center" w:pos="4153"/>
        <w:tab w:val="right" w:pos="8306"/>
      </w:tabs>
      <w:snapToGrid w:val="0"/>
      <w:jc w:val="left"/>
    </w:pPr>
    <w:rPr>
      <w:rFonts w:ascii="Times New Roman" w:hAnsi="Times New Roman" w:eastAsia="宋体" w:cs="Times New Roman"/>
      <w:kern w:val="0"/>
      <w:sz w:val="18"/>
      <w:szCs w:val="20"/>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eastAsia="宋体" w:cs="Times New Roman"/>
      <w:kern w:val="0"/>
      <w:sz w:val="18"/>
      <w:szCs w:val="20"/>
    </w:rPr>
  </w:style>
  <w:style w:type="paragraph" w:styleId="12">
    <w:name w:val="toc 1"/>
    <w:basedOn w:val="1"/>
    <w:next w:val="1"/>
    <w:qFormat/>
    <w:uiPriority w:val="0"/>
    <w:pPr>
      <w:adjustRightInd w:val="0"/>
      <w:snapToGrid w:val="0"/>
    </w:pPr>
    <w:rPr>
      <w:rFonts w:ascii="Times New Roman" w:hAnsi="Times New Roman" w:eastAsia="仿宋" w:cs="Times New Roman"/>
      <w:szCs w:val="24"/>
    </w:rPr>
  </w:style>
  <w:style w:type="paragraph" w:styleId="13">
    <w:name w:val="Title"/>
    <w:basedOn w:val="1"/>
    <w:next w:val="1"/>
    <w:qFormat/>
    <w:uiPriority w:val="0"/>
    <w:pPr>
      <w:spacing w:before="60" w:after="60"/>
      <w:jc w:val="center"/>
      <w:outlineLvl w:val="0"/>
    </w:pPr>
    <w:rPr>
      <w:rFonts w:ascii="Cambria" w:hAnsi="Cambria" w:eastAsia="黑体" w:cs="Times New Roman"/>
      <w:b/>
      <w:bCs/>
      <w:kern w:val="0"/>
      <w:sz w:val="32"/>
      <w:szCs w:val="32"/>
    </w:rPr>
  </w:style>
  <w:style w:type="table" w:styleId="15">
    <w:name w:val="Table Grid"/>
    <w:basedOn w:val="14"/>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page number"/>
    <w:basedOn w:val="16"/>
    <w:qFormat/>
    <w:uiPriority w:val="0"/>
  </w:style>
  <w:style w:type="paragraph" w:customStyle="1" w:styleId="18">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
    <w:name w:val="_Style 3"/>
    <w:basedOn w:val="1"/>
    <w:qFormat/>
    <w:uiPriority w:val="0"/>
    <w:pPr>
      <w:ind w:firstLine="420" w:firstLineChars="200"/>
    </w:pPr>
    <w:rPr>
      <w:szCs w:val="20"/>
    </w:rPr>
  </w:style>
  <w:style w:type="paragraph" w:customStyle="1" w:styleId="20">
    <w:name w:val="列出段落1"/>
    <w:basedOn w:val="1"/>
    <w:unhideWhenUsed/>
    <w:qFormat/>
    <w:uiPriority w:val="99"/>
    <w:pPr>
      <w:ind w:firstLine="420" w:firstLineChars="200"/>
    </w:pPr>
    <w:rPr>
      <w:rFonts w:ascii="Calibri" w:hAnsi="Calibri" w:eastAsia="宋体" w:cs="Times New Roman"/>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jpeg"/><Relationship Id="rId11" Type="http://schemas.openxmlformats.org/officeDocument/2006/relationships/theme" Target="theme/theme1.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t1jiance</dc:creator>
  <cp:lastModifiedBy>黑仙人</cp:lastModifiedBy>
  <dcterms:modified xsi:type="dcterms:W3CDTF">2024-01-15T06:24:54Z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