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both"/>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jc w:val="center"/>
        <w:rPr>
          <w:rFonts w:hint="eastAsia" w:ascii="黑体" w:hAnsi="黑体" w:eastAsia="黑体"/>
          <w:b/>
          <w:bCs/>
          <w:sz w:val="52"/>
          <w:szCs w:val="52"/>
          <w:u w:val="single"/>
        </w:rPr>
      </w:pPr>
      <w:r>
        <w:rPr>
          <w:rFonts w:hint="eastAsia" w:ascii="黑体" w:hAnsi="黑体" w:eastAsia="黑体"/>
          <w:b/>
          <w:bCs/>
          <w:sz w:val="52"/>
          <w:szCs w:val="52"/>
          <w:u w:val="single"/>
          <w:lang w:eastAsia="zh-CN"/>
        </w:rPr>
        <w:t>隧道西一体化泵站潜污泵采购</w:t>
      </w:r>
      <w:r>
        <w:rPr>
          <w:rFonts w:hint="eastAsia" w:ascii="黑体" w:hAnsi="黑体" w:eastAsia="黑体"/>
          <w:b/>
          <w:bCs/>
          <w:sz w:val="52"/>
          <w:szCs w:val="52"/>
          <w:u w:val="single"/>
        </w:rPr>
        <w:t>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w:t>
      </w:r>
      <w:r>
        <w:rPr>
          <w:rFonts w:hint="eastAsia" w:ascii="宋体" w:hAnsi="宋体"/>
          <w:b/>
          <w:sz w:val="44"/>
          <w:szCs w:val="44"/>
          <w:lang w:val="en-US" w:eastAsia="zh-CN"/>
        </w:rPr>
        <w:t>四</w:t>
      </w:r>
      <w:r>
        <w:rPr>
          <w:rFonts w:hint="eastAsia" w:ascii="宋体" w:hAnsi="宋体"/>
          <w:b/>
          <w:sz w:val="44"/>
          <w:szCs w:val="44"/>
        </w:rPr>
        <w:t>年</w:t>
      </w:r>
      <w:r>
        <w:rPr>
          <w:rFonts w:hint="eastAsia" w:ascii="宋体" w:hAnsi="宋体"/>
          <w:b/>
          <w:sz w:val="44"/>
          <w:szCs w:val="44"/>
          <w:lang w:val="en-US" w:eastAsia="zh-CN"/>
        </w:rPr>
        <w:t>三</w:t>
      </w:r>
      <w:r>
        <w:rPr>
          <w:rFonts w:hint="eastAsia" w:ascii="宋体" w:hAnsi="宋体"/>
          <w:b/>
          <w:sz w:val="44"/>
          <w:szCs w:val="44"/>
        </w:rPr>
        <w:t>月</w:t>
      </w:r>
    </w:p>
    <w:p>
      <w:pPr>
        <w:spacing w:line="936" w:lineRule="exact"/>
        <w:jc w:val="center"/>
        <w:rPr>
          <w:rFonts w:ascii="Meiryo" w:hAnsi="Meiryo" w:eastAsia="Meiryo"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9"/>
        </w:rPr>
      </w:pPr>
    </w:p>
    <w:p>
      <w:pPr>
        <w:autoSpaceDE w:val="0"/>
        <w:autoSpaceDN w:val="0"/>
        <w:adjustRightInd w:val="0"/>
        <w:spacing w:line="587" w:lineRule="exact"/>
        <w:ind w:right="43"/>
        <w:jc w:val="center"/>
        <w:rPr>
          <w:rStyle w:val="19"/>
        </w:rPr>
      </w:pPr>
      <w:bookmarkStart w:id="1" w:name="_Toc19698493"/>
      <w:bookmarkStart w:id="2" w:name="_Toc525202077"/>
      <w:bookmarkStart w:id="3" w:name="_Toc525132432"/>
      <w:r>
        <w:rPr>
          <w:rStyle w:val="19"/>
          <w:rFonts w:hint="eastAsia"/>
        </w:rPr>
        <w:t>目</w:t>
      </w:r>
      <w:r>
        <w:rPr>
          <w:rStyle w:val="19"/>
        </w:rPr>
        <w:t xml:space="preserve"> </w:t>
      </w:r>
      <w:r>
        <w:rPr>
          <w:rStyle w:val="19"/>
          <w:rFonts w:hint="eastAsia"/>
        </w:rPr>
        <w:t>录</w:t>
      </w:r>
      <w:bookmarkEnd w:id="0"/>
      <w:bookmarkEnd w:id="1"/>
      <w:bookmarkEnd w:id="2"/>
      <w:bookmarkEnd w:id="3"/>
    </w:p>
    <w:p>
      <w:pPr>
        <w:pStyle w:val="12"/>
        <w:tabs>
          <w:tab w:val="right" w:leader="dot" w:pos="9457"/>
        </w:tabs>
        <w:rPr>
          <w:rFonts w:ascii="微软雅黑" w:cs="微软雅黑"/>
          <w:b/>
          <w:spacing w:val="2"/>
          <w:w w:val="99"/>
          <w:kern w:val="0"/>
          <w:sz w:val="36"/>
          <w:szCs w:val="36"/>
        </w:rPr>
      </w:pPr>
    </w:p>
    <w:p>
      <w:pPr>
        <w:pStyle w:val="12"/>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18"/>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18"/>
          <w:rFonts w:ascii="宋体" w:hAnsi="宋体"/>
          <w:sz w:val="22"/>
        </w:rPr>
        <w:t>第一章</w:t>
      </w:r>
      <w:r>
        <w:rPr>
          <w:rStyle w:val="18"/>
          <w:rFonts w:hint="eastAsia" w:ascii="宋体" w:hAnsi="宋体"/>
          <w:sz w:val="22"/>
        </w:rPr>
        <w:t xml:space="preserve">  </w:t>
      </w:r>
      <w:r>
        <w:rPr>
          <w:rStyle w:val="18"/>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18"/>
          <w:rFonts w:ascii="宋体" w:hAnsi="宋体"/>
          <w:sz w:val="22"/>
        </w:rPr>
        <w:t>第二章</w:t>
      </w:r>
      <w:r>
        <w:rPr>
          <w:rStyle w:val="18"/>
          <w:rFonts w:hint="eastAsia" w:ascii="宋体" w:hAnsi="宋体"/>
          <w:sz w:val="22"/>
        </w:rPr>
        <w:t xml:space="preserve">  </w:t>
      </w:r>
      <w:r>
        <w:rPr>
          <w:rStyle w:val="18"/>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18"/>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12"/>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18"/>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12"/>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18"/>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12"/>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18"/>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8"/>
        <w:tabs>
          <w:tab w:val="left" w:pos="2388"/>
          <w:tab w:val="left" w:pos="2832"/>
          <w:tab w:val="left" w:pos="3472"/>
          <w:tab w:val="left" w:pos="6667"/>
          <w:tab w:val="left" w:pos="7270"/>
        </w:tabs>
        <w:spacing w:line="348" w:lineRule="auto"/>
        <w:ind w:right="153" w:firstLine="419"/>
      </w:pPr>
      <w:r>
        <w:rPr>
          <w:rFonts w:hint="eastAsia" w:ascii="宋体" w:hAnsi="宋体" w:cs="宋体"/>
          <w:u w:val="single" w:color="000000"/>
        </w:rPr>
        <w:t>杭州萧山国际机场</w:t>
      </w:r>
      <w:r>
        <w:rPr>
          <w:rFonts w:hint="eastAsia" w:ascii="宋体" w:hAnsi="宋体" w:cs="宋体"/>
          <w:u w:val="single" w:color="000000"/>
          <w:lang w:eastAsia="zh-CN"/>
        </w:rPr>
        <w:t>隧道西一体化泵站潜污泵采购</w:t>
      </w:r>
      <w:r>
        <w:rPr>
          <w:rFonts w:hint="eastAsia" w:ascii="宋体" w:hAnsi="宋体" w:cs="宋体"/>
          <w:u w:val="single" w:color="000000"/>
        </w:rPr>
        <w:t>项目</w:t>
      </w:r>
      <w:r>
        <w:rPr>
          <w:spacing w:val="-1"/>
        </w:rPr>
        <w:t>（项目名称）招标人为</w:t>
      </w:r>
      <w:r>
        <w:rPr>
          <w:rFonts w:hint="eastAsia"/>
          <w:spacing w:val="-1"/>
        </w:rPr>
        <w:t>杭州萧山国际机场有限公司</w:t>
      </w:r>
      <w:r>
        <w:rPr>
          <w:spacing w:val="-1"/>
        </w:rPr>
        <w:t>，招标项目资金来自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Calibri" w:hAnsi="Calibri" w:eastAsia="宋体"/>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numPr>
          <w:ilvl w:val="0"/>
          <w:numId w:val="1"/>
        </w:numPr>
        <w:spacing w:before="70"/>
        <w:ind w:right="157" w:firstLine="422"/>
        <w:rPr>
          <w:rFonts w:ascii="黑体" w:hAnsi="黑体" w:eastAsia="黑体"/>
        </w:rPr>
      </w:pPr>
      <w:bookmarkStart w:id="6" w:name="_bookmark3"/>
      <w:bookmarkEnd w:id="6"/>
      <w:r>
        <w:rPr>
          <w:rFonts w:ascii="黑体" w:hAnsi="黑体" w:eastAsia="黑体"/>
        </w:rPr>
        <w:t>项目概况与招标范围</w:t>
      </w:r>
      <w:bookmarkStart w:id="7" w:name="_bookmark4"/>
      <w:bookmarkEnd w:id="7"/>
    </w:p>
    <w:p>
      <w:pPr>
        <w:pStyle w:val="4"/>
        <w:numPr>
          <w:ilvl w:val="0"/>
          <w:numId w:val="0"/>
        </w:numPr>
        <w:spacing w:before="70"/>
        <w:ind w:right="157" w:rightChars="0"/>
        <w:rPr>
          <w:sz w:val="24"/>
        </w:rPr>
      </w:pPr>
      <w:r>
        <w:rPr>
          <w:rFonts w:hint="eastAsia"/>
          <w:sz w:val="24"/>
        </w:rPr>
        <w:t>招标货物名称、数量及主要技术规格如下：</w:t>
      </w:r>
    </w:p>
    <w:tbl>
      <w:tblPr>
        <w:tblStyle w:val="1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669"/>
        <w:gridCol w:w="3435"/>
        <w:gridCol w:w="1134"/>
        <w:gridCol w:w="1166"/>
        <w:gridCol w:w="1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3"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货物名称</w:t>
            </w:r>
          </w:p>
        </w:tc>
        <w:tc>
          <w:tcPr>
            <w:tcW w:w="669"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数 量</w:t>
            </w:r>
          </w:p>
        </w:tc>
        <w:tc>
          <w:tcPr>
            <w:tcW w:w="3435"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主要技术规格</w:t>
            </w:r>
          </w:p>
        </w:tc>
        <w:tc>
          <w:tcPr>
            <w:tcW w:w="1134"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供货期</w:t>
            </w:r>
          </w:p>
        </w:tc>
        <w:tc>
          <w:tcPr>
            <w:tcW w:w="1166"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交货地点</w:t>
            </w:r>
          </w:p>
        </w:tc>
        <w:tc>
          <w:tcPr>
            <w:tcW w:w="1636"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jc w:val="center"/>
        </w:trPr>
        <w:tc>
          <w:tcPr>
            <w:tcW w:w="1333" w:type="dxa"/>
            <w:vAlign w:val="center"/>
          </w:tcPr>
          <w:p>
            <w:pPr>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潜污泵</w:t>
            </w:r>
          </w:p>
        </w:tc>
        <w:tc>
          <w:tcPr>
            <w:tcW w:w="669" w:type="dxa"/>
            <w:vAlign w:val="center"/>
          </w:tcPr>
          <w:p>
            <w:pPr>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 xml:space="preserve">3台  </w:t>
            </w:r>
          </w:p>
        </w:tc>
        <w:tc>
          <w:tcPr>
            <w:tcW w:w="3435" w:type="dxa"/>
            <w:vAlign w:val="center"/>
          </w:tcPr>
          <w:p>
            <w:pPr>
              <w:spacing w:line="360" w:lineRule="exact"/>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额定功率：15-30KW</w:t>
            </w:r>
          </w:p>
          <w:p>
            <w:pPr>
              <w:spacing w:line="240" w:lineRule="auto"/>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流量：400-500 m³/h</w:t>
            </w:r>
          </w:p>
          <w:p>
            <w:pPr>
              <w:spacing w:line="240" w:lineRule="auto"/>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扬程：10米</w:t>
            </w:r>
          </w:p>
          <w:p>
            <w:pPr>
              <w:spacing w:line="240" w:lineRule="auto"/>
              <w:rPr>
                <w:rFonts w:hint="default"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口径：DN200</w:t>
            </w:r>
          </w:p>
          <w:p>
            <w:pPr>
              <w:spacing w:line="240" w:lineRule="auto"/>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电缆线：10米(确保能有足够的电缆接入控制箱)</w:t>
            </w:r>
          </w:p>
          <w:p>
            <w:pPr>
              <w:spacing w:line="240" w:lineRule="auto"/>
              <w:rPr>
                <w:rFonts w:hint="default"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自耦装置：3套</w:t>
            </w:r>
          </w:p>
        </w:tc>
        <w:tc>
          <w:tcPr>
            <w:tcW w:w="1134"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合同签订后 90 日历天</w:t>
            </w:r>
          </w:p>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合同</w:t>
            </w:r>
          </w:p>
        </w:tc>
        <w:tc>
          <w:tcPr>
            <w:tcW w:w="1166"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杭州萧山国际机场隧道西一体化泵站</w:t>
            </w:r>
          </w:p>
          <w:p>
            <w:pPr>
              <w:adjustRightInd w:val="0"/>
              <w:snapToGrid w:val="0"/>
              <w:jc w:val="center"/>
              <w:rPr>
                <w:rFonts w:hint="eastAsia" w:ascii="Calibri" w:hAnsi="Calibri" w:eastAsia="宋体" w:cs="Times New Roman"/>
                <w:spacing w:val="-1"/>
                <w:kern w:val="2"/>
                <w:sz w:val="21"/>
                <w:szCs w:val="24"/>
                <w:lang w:val="en-US" w:eastAsia="zh-CN" w:bidi="ar-SA"/>
              </w:rPr>
            </w:pPr>
          </w:p>
        </w:tc>
        <w:tc>
          <w:tcPr>
            <w:tcW w:w="1636" w:type="dxa"/>
            <w:vAlign w:val="center"/>
          </w:tcPr>
          <w:p>
            <w:pPr>
              <w:adjustRightInd w:val="0"/>
              <w:snapToGrid w:val="0"/>
              <w:jc w:val="center"/>
              <w:rPr>
                <w:rFonts w:hint="eastAsia" w:ascii="Calibri" w:hAnsi="Calibri" w:eastAsia="宋体" w:cs="Times New Roman"/>
                <w:spacing w:val="-1"/>
                <w:kern w:val="2"/>
                <w:sz w:val="21"/>
                <w:szCs w:val="24"/>
                <w:lang w:val="en-US" w:eastAsia="zh-CN" w:bidi="ar-SA"/>
              </w:rPr>
            </w:pPr>
            <w:r>
              <w:rPr>
                <w:rFonts w:hint="eastAsia" w:ascii="Calibri" w:hAnsi="Calibri" w:eastAsia="宋体" w:cs="Times New Roman"/>
                <w:spacing w:val="-1"/>
                <w:kern w:val="2"/>
                <w:sz w:val="21"/>
                <w:szCs w:val="24"/>
                <w:lang w:val="en-US" w:eastAsia="zh-CN" w:bidi="ar-SA"/>
              </w:rPr>
              <w:t>赛莱默、格兰富、苏尔寿或同等档次以上</w:t>
            </w:r>
          </w:p>
        </w:tc>
      </w:tr>
    </w:tbl>
    <w:p>
      <w:pPr>
        <w:pStyle w:val="4"/>
        <w:spacing w:before="70"/>
        <w:ind w:right="157" w:firstLine="422"/>
        <w:rPr>
          <w:rFonts w:ascii="黑体" w:hAnsi="黑体" w:eastAsia="黑体"/>
        </w:rPr>
      </w:pPr>
    </w:p>
    <w:p>
      <w:pPr>
        <w:pStyle w:val="4"/>
        <w:spacing w:before="70"/>
        <w:ind w:right="157" w:firstLine="422"/>
        <w:rPr>
          <w:rFonts w:ascii="黑体" w:hAnsi="黑体" w:eastAsia="黑体"/>
        </w:rPr>
      </w:pPr>
      <w:r>
        <w:rPr>
          <w:rFonts w:ascii="黑体" w:hAnsi="黑体" w:eastAsia="黑体"/>
        </w:rPr>
        <w:t>3.投标人资格要求</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cs="宋体"/>
        </w:rPr>
      </w:pPr>
      <w:r>
        <w:rPr>
          <w:rFonts w:hint="eastAsia" w:cs="宋体"/>
        </w:rPr>
        <w:t>① 具有独立法人资格，注册资金不少于人民币</w:t>
      </w:r>
      <w:r>
        <w:rPr>
          <w:rFonts w:hint="eastAsia" w:ascii="Times New Roman" w:hAnsi="Times New Roman" w:eastAsia="Times New Roman"/>
          <w:u w:val="single"/>
        </w:rPr>
        <w:t xml:space="preserve">  </w:t>
      </w:r>
      <w:r>
        <w:rPr>
          <w:rFonts w:hint="eastAsia" w:ascii="Times New Roman" w:hAnsi="Times New Roman"/>
          <w:u w:val="single"/>
        </w:rPr>
        <w:t>100</w:t>
      </w:r>
      <w:r>
        <w:rPr>
          <w:rFonts w:hint="eastAsia" w:ascii="Times New Roman" w:hAnsi="Times New Roman" w:eastAsia="Times New Roman"/>
          <w:u w:val="single"/>
        </w:rPr>
        <w:t xml:space="preserve">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rPr>
      </w:pPr>
      <w:r>
        <w:rPr>
          <w:rFonts w:hint="eastAsia" w:cs="宋体"/>
        </w:rPr>
        <w:t>③ 近年（20</w:t>
      </w:r>
      <w:r>
        <w:rPr>
          <w:rFonts w:hint="eastAsia" w:cs="宋体"/>
          <w:lang w:val="en-US" w:eastAsia="zh-CN"/>
        </w:rPr>
        <w:t>22</w:t>
      </w:r>
      <w:r>
        <w:rPr>
          <w:rFonts w:hint="eastAsia" w:cs="宋体"/>
        </w:rPr>
        <w:t>年1月1日至投标截止日）无行贿犯罪记录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ascii="Times New Roman" w:hAnsi="Times New Roman" w:eastAsia="Times New Roman"/>
          <w:color w:val="000000" w:themeColor="text1"/>
          <w14:textFill>
            <w14:solidFill>
              <w14:schemeClr w14:val="tx1"/>
            </w14:solidFill>
          </w14:textFill>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w:t>
      </w:r>
      <w:r>
        <w:rPr>
          <w:rFonts w:hint="eastAsia" w:cs="宋体"/>
          <w:color w:val="000000" w:themeColor="text1"/>
          <w14:textFill>
            <w14:solidFill>
              <w14:schemeClr w14:val="tx1"/>
            </w14:solidFill>
          </w14:textFill>
        </w:rPr>
        <w:t>选人不具有一般纳税人资格，招标人将依法取消其中标候选人资格，并有权没收其投标保证金。</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cs="宋体"/>
          <w:color w:val="FF0000"/>
        </w:rPr>
      </w:pPr>
      <w:r>
        <w:rPr>
          <w:rFonts w:hint="eastAsia" w:cs="宋体"/>
          <w:color w:val="FF0000"/>
        </w:rPr>
        <w:t>⑤ 具有</w:t>
      </w:r>
      <w:r>
        <w:rPr>
          <w:rFonts w:hint="eastAsia" w:cs="宋体"/>
          <w:color w:val="FF0000"/>
          <w:lang w:eastAsia="zh-CN"/>
        </w:rPr>
        <w:t>所</w:t>
      </w:r>
      <w:r>
        <w:rPr>
          <w:rFonts w:hint="eastAsia" w:cs="宋体"/>
          <w:color w:val="FF0000"/>
          <w:lang w:val="en-US" w:eastAsia="zh-CN"/>
        </w:rPr>
        <w:t>投标潜污泵</w:t>
      </w:r>
      <w:r>
        <w:rPr>
          <w:rFonts w:hint="eastAsia" w:cs="宋体"/>
          <w:color w:val="FF0000"/>
        </w:rPr>
        <w:t>品牌相应授权文件。</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spacing w:val="6"/>
        </w:rPr>
      </w:pPr>
      <w:r>
        <w:rPr>
          <w:rFonts w:ascii="Times New Roman" w:hAnsi="Times New Roman" w:eastAsia="Times New Roman"/>
        </w:rPr>
        <w:t xml:space="preserve">3.2 </w:t>
      </w:r>
      <w:r>
        <w:rPr>
          <w:rFonts w:ascii="Times New Roman" w:hAnsi="Times New Roman" w:eastAsia="Times New Roman"/>
          <w:spacing w:val="22"/>
        </w:rPr>
        <w:t xml:space="preserve"> </w:t>
      </w:r>
      <w:r>
        <w:rPr>
          <w:spacing w:val="7"/>
        </w:rPr>
        <w:t>本次招标</w:t>
      </w:r>
      <w:r>
        <w:rPr>
          <w:spacing w:val="6"/>
        </w:rPr>
        <w:t>不接受联合体投标。</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ascii="Times New Roman" w:hAnsi="Times New Roman" w:eastAsia="Times New Roman"/>
        </w:rPr>
        <w:t>3.</w:t>
      </w:r>
      <w:r>
        <w:rPr>
          <w:rFonts w:hint="eastAsia" w:ascii="Times New Roman" w:hAnsi="Times New Roman"/>
        </w:rPr>
        <w:t>3</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4.1 本项目招标文件和补充（答疑、澄清）、修改文件通过网络下载方式发放。</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4.2 凡符合资格条件并有投标意向的潜在投标人，请通过杭州萧山机场有限公司主页招投标信息栏</w:t>
      </w:r>
      <w:r>
        <w:rPr>
          <w:rFonts w:hint="eastAsia" w:ascii="宋体" w:hAnsi="宋体" w:cs="宋体"/>
        </w:rPr>
        <w:fldChar w:fldCharType="begin"/>
      </w:r>
      <w:r>
        <w:rPr>
          <w:rFonts w:hint="eastAsia" w:ascii="宋体" w:hAnsi="宋体" w:cs="宋体"/>
        </w:rPr>
        <w:instrText xml:space="preserve"> HYPERLINK "http://www.hzairport.com/tender/index.html" </w:instrText>
      </w:r>
      <w:r>
        <w:rPr>
          <w:rFonts w:hint="eastAsia" w:ascii="宋体" w:hAnsi="宋体" w:cs="宋体"/>
        </w:rPr>
        <w:fldChar w:fldCharType="separate"/>
      </w:r>
      <w:r>
        <w:rPr>
          <w:rFonts w:hint="eastAsia" w:ascii="宋体" w:hAnsi="宋体" w:cs="宋体"/>
        </w:rPr>
        <w:t>http://www.hzairport.com/tender/index.html</w:t>
      </w:r>
      <w:r>
        <w:rPr>
          <w:rFonts w:hint="eastAsia" w:ascii="宋体" w:hAnsi="宋体" w:cs="宋体"/>
        </w:rPr>
        <w:fldChar w:fldCharType="end"/>
      </w:r>
      <w:r>
        <w:rPr>
          <w:rFonts w:hint="eastAsia" w:ascii="宋体" w:hAnsi="宋体" w:cs="宋体"/>
        </w:rPr>
        <w:t xml:space="preserve"> 自行下载招标文件。</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4.3 补充（答疑、澄清）、修改文件，潜在投标人应自行关注网站公告，招标人不再一一通知。投标人因自身贻误行为导致投标失败的，责任自负。</w:t>
      </w:r>
    </w:p>
    <w:p>
      <w:pPr>
        <w:pStyle w:val="8"/>
        <w:tabs>
          <w:tab w:val="left" w:pos="4394"/>
          <w:tab w:val="left" w:pos="5990"/>
        </w:tabs>
        <w:spacing w:line="331" w:lineRule="auto"/>
        <w:ind w:right="157" w:firstLine="419"/>
        <w:rPr>
          <w:rFonts w:hint="eastAsia" w:cs="宋体"/>
        </w:rPr>
      </w:pP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5.1 投标文件递交的截止时间（投标截止时间，下同）为</w:t>
      </w:r>
      <w:r>
        <w:rPr>
          <w:rFonts w:hint="eastAsia" w:ascii="宋体" w:hAnsi="宋体" w:cs="宋体"/>
          <w:lang w:val="en-US" w:eastAsia="zh-CN"/>
        </w:rPr>
        <w:t>2024年3月25日13时30分</w:t>
      </w:r>
      <w:r>
        <w:rPr>
          <w:rFonts w:hint="eastAsia" w:ascii="宋体" w:hAnsi="宋体" w:cs="宋体"/>
        </w:rPr>
        <w:t>，投标文件在封口处加盖公章，派专人于</w:t>
      </w:r>
      <w:r>
        <w:rPr>
          <w:rFonts w:hint="eastAsia" w:ascii="宋体" w:hAnsi="宋体" w:cs="宋体"/>
          <w:lang w:val="en-US" w:eastAsia="zh-CN"/>
        </w:rPr>
        <w:t>2024年3月25日13时30分</w:t>
      </w:r>
      <w:r>
        <w:rPr>
          <w:rFonts w:hint="eastAsia" w:ascii="宋体" w:hAnsi="宋体" w:cs="宋体"/>
        </w:rPr>
        <w:t>（北京时间）前送至杭州萧山国际机场</w:t>
      </w:r>
      <w:r>
        <w:rPr>
          <w:rFonts w:hint="eastAsia" w:ascii="宋体" w:hAnsi="宋体" w:cs="宋体"/>
          <w:lang w:val="en-US" w:eastAsia="zh-CN"/>
        </w:rPr>
        <w:t>物业安检楼2021办公室</w:t>
      </w:r>
      <w:r>
        <w:rPr>
          <w:rFonts w:hint="eastAsia" w:ascii="宋体" w:hAnsi="宋体" w:cs="宋体"/>
        </w:rPr>
        <w:t>，逾期无效；若采用投递（邮寄）方式的，请于</w:t>
      </w:r>
      <w:r>
        <w:rPr>
          <w:rFonts w:hint="eastAsia" w:ascii="宋体" w:hAnsi="宋体" w:cs="宋体"/>
          <w:lang w:val="en-US" w:eastAsia="zh-CN"/>
        </w:rPr>
        <w:t>2024年3月25日13时30分</w:t>
      </w:r>
      <w:r>
        <w:rPr>
          <w:rFonts w:hint="eastAsia" w:ascii="宋体" w:hAnsi="宋体" w:cs="宋体"/>
        </w:rPr>
        <w:t>北京时间）前投递至杭州萧山国际机场</w:t>
      </w:r>
      <w:r>
        <w:rPr>
          <w:rFonts w:hint="eastAsia" w:ascii="宋体" w:hAnsi="宋体" w:cs="宋体"/>
          <w:lang w:val="en-US" w:eastAsia="zh-CN"/>
        </w:rPr>
        <w:t>航安路30号动力部水务室201室</w:t>
      </w:r>
      <w:r>
        <w:rPr>
          <w:rFonts w:hint="eastAsia" w:ascii="宋体" w:hAnsi="宋体" w:cs="宋体"/>
        </w:rPr>
        <w:t>，逾期无效。</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5.2  逾期送达的、未送达指定地点的或者不按照招标文件要求密封的投标文件，招标人将予以拒收。</w:t>
      </w:r>
    </w:p>
    <w:p>
      <w:pPr>
        <w:pStyle w:val="8"/>
        <w:tabs>
          <w:tab w:val="left" w:pos="4394"/>
          <w:tab w:val="left" w:pos="5990"/>
        </w:tabs>
        <w:spacing w:line="331" w:lineRule="auto"/>
        <w:ind w:right="157" w:firstLine="419"/>
        <w:rPr>
          <w:rFonts w:hint="eastAsia" w:cs="宋体"/>
        </w:rPr>
      </w:pP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本次招标公告在杭州萧山</w:t>
      </w:r>
      <w:r>
        <w:rPr>
          <w:rFonts w:hint="eastAsia" w:ascii="宋体" w:hAnsi="宋体" w:cs="宋体"/>
          <w:lang w:eastAsia="zh-CN"/>
        </w:rPr>
        <w:t>国际</w:t>
      </w:r>
      <w:r>
        <w:rPr>
          <w:rFonts w:hint="eastAsia" w:ascii="宋体" w:hAnsi="宋体" w:cs="宋体"/>
        </w:rPr>
        <w:t>机场有限公司主页等媒介上发布，相关媒介如下：</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杭州萧山机场有限公司主页：</w:t>
      </w:r>
      <w:r>
        <w:rPr>
          <w:rFonts w:hint="eastAsia" w:ascii="宋体" w:hAnsi="宋体" w:cs="宋体"/>
        </w:rPr>
        <w:fldChar w:fldCharType="begin"/>
      </w:r>
      <w:r>
        <w:rPr>
          <w:rFonts w:hint="eastAsia" w:ascii="宋体" w:hAnsi="宋体" w:cs="宋体"/>
        </w:rPr>
        <w:instrText xml:space="preserve"> HYPERLINK "http://www.hzairport.com" </w:instrText>
      </w:r>
      <w:r>
        <w:rPr>
          <w:rFonts w:hint="eastAsia" w:ascii="宋体" w:hAnsi="宋体" w:cs="宋体"/>
        </w:rPr>
        <w:fldChar w:fldCharType="separate"/>
      </w:r>
      <w:r>
        <w:rPr>
          <w:rFonts w:hint="eastAsia" w:ascii="宋体" w:hAnsi="宋体" w:cs="宋体"/>
        </w:rPr>
        <w:t>http://www.hzairport.com</w:t>
      </w:r>
      <w:r>
        <w:rPr>
          <w:rFonts w:hint="eastAsia" w:ascii="宋体" w:hAnsi="宋体" w:cs="宋体"/>
        </w:rPr>
        <w:fldChar w:fldCharType="end"/>
      </w:r>
    </w:p>
    <w:p>
      <w:pPr>
        <w:pStyle w:val="8"/>
        <w:tabs>
          <w:tab w:val="left" w:pos="4394"/>
          <w:tab w:val="left" w:pos="5990"/>
        </w:tabs>
        <w:spacing w:line="331" w:lineRule="auto"/>
        <w:ind w:right="157" w:firstLine="419"/>
        <w:rPr>
          <w:rFonts w:hint="eastAsia" w:ascii="Times New Roman" w:hAnsi="Times New Roman" w:eastAsia="Times New Roman"/>
        </w:rPr>
      </w:pPr>
    </w:p>
    <w:p>
      <w:pPr>
        <w:pStyle w:val="4"/>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8"/>
        <w:tabs>
          <w:tab w:val="left" w:pos="4394"/>
          <w:tab w:val="left" w:pos="5990"/>
        </w:tabs>
        <w:spacing w:line="328" w:lineRule="auto"/>
        <w:ind w:right="157" w:firstLine="419"/>
        <w:rPr>
          <w:rFonts w:hint="eastAsia"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8"/>
        <w:tabs>
          <w:tab w:val="left" w:pos="4394"/>
          <w:tab w:val="left" w:pos="5990"/>
        </w:tabs>
        <w:spacing w:line="328" w:lineRule="auto"/>
        <w:ind w:right="157" w:firstLine="419"/>
        <w:rPr>
          <w:rFonts w:hint="eastAsia" w:cs="宋体"/>
        </w:rPr>
      </w:pPr>
    </w:p>
    <w:p>
      <w:pPr>
        <w:pStyle w:val="4"/>
        <w:spacing w:before="70"/>
        <w:ind w:right="157" w:firstLine="422"/>
        <w:rPr>
          <w:rFonts w:ascii="黑体" w:hAnsi="黑体" w:eastAsia="黑体"/>
        </w:rPr>
      </w:pPr>
      <w:r>
        <w:rPr>
          <w:rFonts w:ascii="黑体" w:hAnsi="黑体" w:eastAsia="黑体"/>
        </w:rPr>
        <w:t>8.联系方式</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招  标  人：杭州萧山国际机场有限公司</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lang w:val="en-US" w:eastAsia="zh-CN"/>
        </w:rPr>
      </w:pPr>
      <w:r>
        <w:rPr>
          <w:rFonts w:hint="eastAsia" w:ascii="宋体" w:hAnsi="宋体" w:cs="宋体"/>
        </w:rPr>
        <w:t>投标联系人：</w:t>
      </w:r>
      <w:r>
        <w:rPr>
          <w:rFonts w:hint="eastAsia" w:ascii="宋体" w:hAnsi="宋体" w:cs="宋体"/>
          <w:lang w:eastAsia="zh-CN"/>
        </w:rPr>
        <w:t>郭佳佳</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联系电话：0571-8</w:t>
      </w:r>
      <w:r>
        <w:rPr>
          <w:rFonts w:hint="eastAsia" w:ascii="宋体" w:hAnsi="宋体" w:cs="宋体"/>
          <w:lang w:val="en-US" w:eastAsia="zh-CN"/>
        </w:rPr>
        <w:t>6662596</w:t>
      </w:r>
    </w:p>
    <w:p>
      <w:pPr>
        <w:pStyle w:val="8"/>
        <w:keepNext w:val="0"/>
        <w:keepLines w:val="0"/>
        <w:pageBreakBefore w:val="0"/>
        <w:widowControl w:val="0"/>
        <w:tabs>
          <w:tab w:val="left" w:pos="4394"/>
          <w:tab w:val="left" w:pos="5990"/>
        </w:tabs>
        <w:kinsoku/>
        <w:wordWrap/>
        <w:overflowPunct/>
        <w:topLinePunct w:val="0"/>
        <w:autoSpaceDE/>
        <w:autoSpaceDN/>
        <w:bidi w:val="0"/>
        <w:adjustRightInd/>
        <w:snapToGrid/>
        <w:spacing w:after="120" w:line="300" w:lineRule="exact"/>
        <w:ind w:left="0" w:leftChars="0" w:right="157" w:rightChars="0" w:firstLine="419" w:firstLineChars="0"/>
        <w:jc w:val="both"/>
        <w:textAlignment w:val="auto"/>
        <w:outlineLvl w:val="9"/>
        <w:rPr>
          <w:rFonts w:hint="eastAsia" w:ascii="宋体" w:hAnsi="宋体" w:cs="宋体"/>
        </w:rPr>
      </w:pPr>
      <w:r>
        <w:rPr>
          <w:rFonts w:hint="eastAsia" w:ascii="宋体" w:hAnsi="宋体" w:cs="宋体"/>
        </w:rPr>
        <w:t>招标监督人：</w:t>
      </w:r>
      <w:r>
        <w:rPr>
          <w:rFonts w:hint="eastAsia" w:ascii="宋体" w:hAnsi="宋体" w:cs="宋体"/>
          <w:lang w:eastAsia="zh-CN"/>
        </w:rPr>
        <w:t>曾宪武</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联系电话：0571-</w:t>
      </w:r>
      <w:r>
        <w:rPr>
          <w:rFonts w:hint="eastAsia" w:ascii="宋体" w:hAnsi="宋体" w:cs="宋体"/>
          <w:lang w:val="en-US" w:eastAsia="zh-CN"/>
        </w:rPr>
        <w:t>86662361</w:t>
      </w:r>
      <w:bookmarkStart w:id="13" w:name="_bookmark18"/>
      <w:bookmarkEnd w:id="13"/>
      <w:bookmarkStart w:id="14" w:name="_Toc19698496"/>
    </w:p>
    <w:p>
      <w:pPr>
        <w:pStyle w:val="2"/>
        <w:spacing w:line="564" w:lineRule="exact"/>
        <w:ind w:right="57" w:firstLine="2650" w:firstLineChars="600"/>
        <w:jc w:val="both"/>
      </w:pPr>
      <w:r>
        <w:t>第二章</w:t>
      </w:r>
      <w:r>
        <w:rPr>
          <w:rFonts w:hint="eastAsia"/>
        </w:rPr>
        <w:t xml:space="preserve">  </w:t>
      </w:r>
      <w:r>
        <w:t>投标人须知</w:t>
      </w:r>
      <w:bookmarkEnd w:id="14"/>
    </w:p>
    <w:p>
      <w:pPr>
        <w:pStyle w:val="4"/>
        <w:ind w:firstLine="264" w:firstLineChars="94"/>
        <w:jc w:val="center"/>
        <w:rPr>
          <w:sz w:val="28"/>
          <w:szCs w:val="28"/>
        </w:rPr>
      </w:pPr>
      <w:bookmarkStart w:id="15" w:name="_bookmark19"/>
      <w:bookmarkEnd w:id="15"/>
      <w:r>
        <w:rPr>
          <w:sz w:val="28"/>
          <w:szCs w:val="28"/>
        </w:rPr>
        <w:t>投标人须知前附表</w:t>
      </w:r>
    </w:p>
    <w:tbl>
      <w:tblPr>
        <w:tblStyle w:val="14"/>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郭佳佳</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hint="eastAsia" w:ascii="宋体" w:hAnsi="宋体" w:cs="宋体"/>
                <w:spacing w:val="-2"/>
                <w:lang w:val="en-US" w:eastAsia="zh-CN"/>
              </w:rPr>
              <w:t>86662596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color="000000"/>
                <w:lang w:val="en-US" w:eastAsia="zh-CN"/>
              </w:rPr>
              <w:t>隧道西一体化泵站潜污泵采购项目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 xml:space="preserve">  </w:t>
            </w:r>
            <w:r>
              <w:rPr>
                <w:rFonts w:hint="eastAsia" w:ascii="宋体" w:hAnsi="宋体" w:cs="宋体"/>
                <w:u w:val="single"/>
                <w:lang w:val="en-US" w:eastAsia="zh-CN"/>
              </w:rPr>
              <w:t>90</w:t>
            </w:r>
            <w:r>
              <w:rPr>
                <w:rFonts w:hint="eastAsia" w:ascii="宋体" w:hAnsi="宋体" w:cs="宋体"/>
                <w:u w:val="single"/>
              </w:rPr>
              <w:t xml:space="preserve"> </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lang w:eastAsia="zh-CN"/>
              </w:rPr>
            </w:pPr>
            <w:r>
              <w:rPr>
                <w:rFonts w:hint="eastAsia" w:ascii="宋体" w:hAnsi="宋体" w:cs="宋体"/>
              </w:rPr>
              <w:t>杭州萧山国际机场</w:t>
            </w:r>
            <w:r>
              <w:rPr>
                <w:rFonts w:hint="eastAsia" w:ascii="宋体" w:hAnsi="宋体" w:cs="宋体"/>
                <w:lang w:eastAsia="zh-CN"/>
              </w:rPr>
              <w:t>隧道西一体化泵站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2024</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cs="宋体"/>
                <w:lang w:val="en-US" w:eastAsia="zh-CN"/>
              </w:rPr>
            </w:pPr>
            <w:r>
              <w:rPr>
                <w:rFonts w:hint="eastAsia" w:ascii="宋体" w:hAnsi="宋体"/>
                <w:szCs w:val="21"/>
              </w:rPr>
              <w:t>踏勘集中地点：杭州萧山国际机场</w:t>
            </w:r>
            <w:r>
              <w:rPr>
                <w:rFonts w:hint="eastAsia" w:cs="宋体"/>
                <w:lang w:val="en-US" w:eastAsia="zh-CN"/>
              </w:rPr>
              <w:t>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6" w:name="EBcbc26f89de974525b16658cbf31c1521"/>
                <w:bookmarkEnd w:id="16"/>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郭佳佳</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w:t>
            </w:r>
            <w:r>
              <w:rPr>
                <w:rFonts w:hint="eastAsia" w:ascii="宋体" w:hAnsi="宋体"/>
                <w:szCs w:val="21"/>
                <w:lang w:val="en-US" w:eastAsia="zh-CN"/>
              </w:rPr>
              <w:t>6662596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2024</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踏勘集中地点：杭州萧山国际机场</w:t>
            </w:r>
            <w:r>
              <w:rPr>
                <w:rFonts w:hint="eastAsia" w:cs="宋体"/>
                <w:lang w:val="en-US" w:eastAsia="zh-CN"/>
              </w:rPr>
              <w:t>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343932407</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宋体" w:cs="Times New Roman"/>
                    <w:kern w:val="2"/>
                    <w:sz w:val="24"/>
                    <w:szCs w:val="22"/>
                    <w:lang w:val="en-US" w:eastAsia="zh-CN" w:bidi="ar-SA"/>
                  </w:rPr>
                  <w:t>R</w:t>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343932407@qq.com</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lang w:val="en-US" w:eastAsia="zh-CN"/>
              </w:rPr>
              <w:t>2024年3月25日13时30分</w:t>
            </w:r>
            <w:r>
              <w:rPr>
                <w:rFonts w:hint="eastAsia" w:ascii="宋体" w:hAnsi="宋体" w:cs="Calibri"/>
                <w:kern w:val="0"/>
                <w:sz w:val="22"/>
              </w:rPr>
              <w:t>，以书面加盖公章的形式通过E-mail或传真提交给招标人（投标联系人:</w:t>
            </w:r>
            <w:r>
              <w:rPr>
                <w:rFonts w:hint="eastAsia" w:ascii="宋体" w:hAnsi="宋体" w:cs="Calibri"/>
                <w:kern w:val="0"/>
                <w:sz w:val="22"/>
                <w:lang w:eastAsia="zh-CN"/>
              </w:rPr>
              <w:t>郭佳佳</w:t>
            </w:r>
            <w:r>
              <w:rPr>
                <w:rFonts w:hint="eastAsia" w:ascii="宋体" w:hAnsi="宋体" w:cs="Calibri"/>
                <w:kern w:val="0"/>
                <w:sz w:val="22"/>
              </w:rPr>
              <w:t>，电话0571-8</w:t>
            </w:r>
            <w:r>
              <w:rPr>
                <w:rFonts w:hint="eastAsia" w:ascii="宋体" w:hAnsi="宋体" w:cs="Calibri"/>
                <w:kern w:val="0"/>
                <w:sz w:val="22"/>
                <w:lang w:val="en-US" w:eastAsia="zh-CN"/>
              </w:rPr>
              <w:t>6662596</w:t>
            </w:r>
            <w:r>
              <w:rPr>
                <w:rFonts w:hint="eastAsia" w:ascii="宋体" w:hAnsi="宋体" w:cs="Calibri"/>
                <w:kern w:val="0"/>
                <w:sz w:val="22"/>
              </w:rPr>
              <w:t>；电子邮箱：</w:t>
            </w:r>
            <w:r>
              <w:rPr>
                <w:rFonts w:hint="eastAsia" w:ascii="宋体" w:hAnsi="宋体" w:cs="Calibri"/>
                <w:kern w:val="0"/>
                <w:sz w:val="22"/>
                <w:lang w:val="en-US" w:eastAsia="zh-CN"/>
              </w:rPr>
              <w:t>343932407</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8"/>
              </w:rPr>
              <w:t>http://www.hzairport.com/tender/index.html</w:t>
            </w:r>
            <w:r>
              <w:rPr>
                <w:rStyle w:val="1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8"/>
              </w:rPr>
              <w:t>http://www.hzairport.com/tender/index.html</w:t>
            </w:r>
            <w:r>
              <w:rPr>
                <w:rStyle w:val="1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7"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7"/>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8"/>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8"/>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8"/>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8"/>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59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pPr>
            <w:r>
              <w:rPr>
                <w:rFonts w:hint="eastAsia"/>
              </w:rPr>
              <w:t>本项目资格审查方式采用资格后审</w:t>
            </w:r>
          </w:p>
          <w:p>
            <w:pPr>
              <w:adjustRightInd w:val="0"/>
              <w:snapToGrid w:val="0"/>
            </w:pPr>
            <w:sdt>
              <w:sdtPr>
                <w:rPr>
                  <w:rFonts w:hint="eastAsia"/>
                </w:rPr>
                <w:id w:val="-1234462264"/>
                <w14:checkbox>
                  <w14:checked w14:val="0"/>
                  <w14:checkedState w14:val="0052" w14:font="Wingdings 2"/>
                  <w14:uncheckedState w14:val="2610" w14:font="MS Gothic"/>
                </w14:checkbox>
              </w:sdtPr>
              <w:sdtEndPr>
                <w:rPr>
                  <w:rFonts w:hint="eastAsia"/>
                </w:rPr>
              </w:sdtEndPr>
              <w:sdtContent>
                <w:r>
                  <w:rPr>
                    <w:rFonts w:hint="eastAsia"/>
                  </w:rPr>
                  <w:t>☐</w:t>
                </w:r>
              </w:sdtContent>
            </w:sdt>
            <w:r>
              <w:rPr>
                <w:rFonts w:hint="eastAsia"/>
              </w:rPr>
              <w:t>无</w:t>
            </w:r>
          </w:p>
          <w:p>
            <w:pPr>
              <w:adjustRightInd w:val="0"/>
              <w:snapToGrid w:val="0"/>
            </w:pPr>
            <w:sdt>
              <w:sdtPr>
                <w:rPr>
                  <w:rFonts w:hint="eastAsia"/>
                </w:rPr>
                <w:id w:val="-1766299507"/>
                <w14:checkbox>
                  <w14:checked w14:val="1"/>
                  <w14:checkedState w14:val="0052" w14:font="Wingdings 2"/>
                  <w14:uncheckedState w14:val="2610" w14:font="MS Gothic"/>
                </w14:checkbox>
              </w:sdtPr>
              <w:sdtEndPr>
                <w:rPr>
                  <w:rFonts w:hint="eastAsia"/>
                </w:rPr>
              </w:sdtEndPr>
              <w:sdtContent>
                <w:r>
                  <w:rPr>
                    <w:rFonts w:hint="eastAsia"/>
                  </w:rPr>
                  <w:sym w:font="Wingdings 2" w:char="F052"/>
                </w:r>
              </w:sdtContent>
            </w:sdt>
            <w:r>
              <w:rPr>
                <w:rFonts w:hint="eastAsia"/>
              </w:rPr>
              <w:t>有，具体要求：</w:t>
            </w:r>
          </w:p>
          <w:p>
            <w:pPr>
              <w:pStyle w:val="9"/>
            </w:pPr>
            <w:r>
              <w:rPr>
                <w:rFonts w:hint="eastAsia"/>
              </w:rPr>
              <w:t>以下为</w:t>
            </w:r>
            <w:r>
              <w:t>实质性响应招标文件资料</w:t>
            </w:r>
            <w:r>
              <w:rPr>
                <w:rFonts w:hint="eastAsia"/>
              </w:rPr>
              <w:t>：</w:t>
            </w:r>
          </w:p>
          <w:p>
            <w:pPr>
              <w:pStyle w:val="9"/>
            </w:pPr>
            <w:r>
              <w:t>1、企业法人营业执照</w:t>
            </w:r>
            <w:r>
              <w:rPr>
                <w:rFonts w:hint="eastAsia"/>
              </w:rPr>
              <w:t>、法定代表人资格证明书</w:t>
            </w:r>
            <w:r>
              <w:t>；</w:t>
            </w:r>
          </w:p>
          <w:p>
            <w:pPr>
              <w:pStyle w:val="9"/>
            </w:pPr>
            <w:r>
              <w:t>2、法定代表人授权委托书(投标文件委托代理人签字的提供</w:t>
            </w:r>
            <w:r>
              <w:rPr>
                <w:rFonts w:hint="eastAsia"/>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t>)；</w:t>
            </w:r>
          </w:p>
          <w:p>
            <w:pPr>
              <w:pStyle w:val="9"/>
            </w:pPr>
            <w:sdt>
              <w:sdtPr>
                <w:rPr>
                  <w:rFonts w:hint="eastAsia"/>
                </w:rPr>
                <w:id w:val="-230466184"/>
                <w14:checkbox>
                  <w14:checked w14:val="0"/>
                  <w14:checkedState w14:val="0052" w14:font="Wingdings 2"/>
                  <w14:uncheckedState w14:val="2610" w14:font="MS Gothic"/>
                </w14:checkbox>
              </w:sdtPr>
              <w:sdtEndPr>
                <w:rPr>
                  <w:rFonts w:hint="eastAsia"/>
                </w:rPr>
              </w:sdtEndPr>
              <w:sdtContent>
                <w:r>
                  <w:rPr>
                    <w:rFonts w:hint="eastAsia"/>
                  </w:rPr>
                  <w:t>☐</w:t>
                </w:r>
              </w:sdtContent>
            </w:sdt>
            <w:r>
              <w:t>3、联合体各方签订的共同投标协议(联合体投标的提供)；</w:t>
            </w:r>
          </w:p>
          <w:p>
            <w:pPr>
              <w:adjustRightInd w:val="0"/>
              <w:snapToGrid w:val="0"/>
            </w:pPr>
            <w:bookmarkStart w:id="19" w:name="EB4536570bab9243ca95400f5423c9fd35"/>
            <w:r>
              <w:t>4、符合招标公告“</w:t>
            </w:r>
            <w:r>
              <w:rPr>
                <w:rFonts w:hint="eastAsia"/>
              </w:rPr>
              <w:t>投标人资格要求</w:t>
            </w:r>
            <w:r>
              <w:t>”</w:t>
            </w:r>
            <w:r>
              <w:rPr>
                <w:rFonts w:hint="eastAsia"/>
              </w:rPr>
              <w:t>中业绩的证明材料：中标通知书或合同，须体现关键信息，如无法体现关键信息的，另提供业主证明文件；</w:t>
            </w:r>
          </w:p>
          <w:p>
            <w:pPr>
              <w:adjustRightInd w:val="0"/>
              <w:snapToGrid w:val="0"/>
            </w:pPr>
            <w:r>
              <w:t>5</w:t>
            </w:r>
            <w:r>
              <w:rPr>
                <w:rFonts w:hint="eastAsia"/>
              </w:rPr>
              <w:t>、投标承诺书。</w:t>
            </w:r>
          </w:p>
          <w:bookmarkEnd w:id="19"/>
          <w:p>
            <w:pPr>
              <w:adjustRightInd w:val="0"/>
              <w:snapToGrid w:val="0"/>
              <w:rPr>
                <w:rFonts w:hint="default" w:eastAsia="宋体"/>
                <w:lang w:val="en-US" w:eastAsia="zh-CN"/>
              </w:rPr>
            </w:pPr>
            <w:r>
              <w:t>以上</w:t>
            </w:r>
            <w:r>
              <w:rPr>
                <w:rFonts w:hint="eastAsia"/>
              </w:rPr>
              <w:t>涉及的</w:t>
            </w:r>
            <w:r>
              <w:t>证书(均应在有效期内，已在有效期外尚在办理延期过程中的视为无效)、</w:t>
            </w:r>
            <w:r>
              <w:rPr>
                <w:rFonts w:hint="eastAsia"/>
              </w:rPr>
              <w:t>业绩证明</w:t>
            </w:r>
            <w:r>
              <w:t>应在投标文件中附</w:t>
            </w:r>
            <w:r>
              <w:rPr>
                <w:rFonts w:hint="eastAsia"/>
              </w:rPr>
              <w:t>中标通知书或合同复印件</w:t>
            </w:r>
            <w:r>
              <w:t>，并加盖投标人公章，证书、</w:t>
            </w:r>
            <w:r>
              <w:rPr>
                <w:rFonts w:hint="eastAsia"/>
              </w:rPr>
              <w:t>业绩证明</w:t>
            </w:r>
            <w: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年至20</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lang w:val="en-US" w:eastAsia="zh-CN"/>
              </w:rPr>
              <w:t>22</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hint="eastAsia" w:ascii="宋体" w:hAnsi="宋体" w:cs="宋体"/>
              </w:rPr>
            </w:pPr>
            <w:r>
              <w:rPr>
                <w:rFonts w:hint="eastAsia" w:ascii="宋体" w:hAnsi="宋体" w:cs="宋体"/>
              </w:rPr>
              <w:t>招标人名称：杭州萧山国际机场有限公司</w:t>
            </w:r>
          </w:p>
          <w:p>
            <w:pPr>
              <w:adjustRightInd w:val="0"/>
              <w:snapToGrid w:val="0"/>
              <w:rPr>
                <w:rFonts w:hint="eastAsia" w:ascii="宋体" w:hAnsi="宋体" w:cs="宋体"/>
              </w:rPr>
            </w:pPr>
            <w:r>
              <w:rPr>
                <w:rFonts w:hint="eastAsia" w:ascii="宋体" w:hAnsi="宋体" w:cs="宋体"/>
              </w:rPr>
              <w:t>招标人地址：杭州萧山国际机场内</w:t>
            </w:r>
          </w:p>
          <w:p>
            <w:pPr>
              <w:adjustRightInd w:val="0"/>
              <w:snapToGrid w:val="0"/>
              <w:rPr>
                <w:rFonts w:hint="eastAsia" w:ascii="宋体" w:hAnsi="宋体" w:cs="宋体"/>
              </w:rPr>
            </w:pPr>
            <w:r>
              <w:rPr>
                <w:rFonts w:hint="eastAsia" w:ascii="宋体" w:hAnsi="宋体" w:cs="宋体"/>
              </w:rPr>
              <w:t xml:space="preserve">           (项目名称)投标文件</w:t>
            </w:r>
          </w:p>
          <w:p>
            <w:pPr>
              <w:adjustRightInd w:val="0"/>
              <w:snapToGrid w:val="0"/>
              <w:rPr>
                <w:rFonts w:hint="eastAsia" w:ascii="宋体" w:hAnsi="宋体" w:cs="宋体"/>
              </w:rPr>
            </w:pPr>
            <w:r>
              <w:rPr>
                <w:rFonts w:hint="eastAsia" w:ascii="宋体" w:hAnsi="宋体" w:cs="宋体"/>
              </w:rPr>
              <w:t>在</w:t>
            </w:r>
            <w:r>
              <w:rPr>
                <w:rFonts w:hint="eastAsia" w:ascii="宋体" w:hAnsi="宋体" w:cs="宋体"/>
                <w:lang w:val="en-US" w:eastAsia="zh-CN"/>
              </w:rPr>
              <w:t>2024年3月25日13时30分</w:t>
            </w:r>
            <w:r>
              <w:rPr>
                <w:rFonts w:hint="eastAsia" w:ascii="宋体" w:hAnsi="宋体" w:cs="宋体"/>
              </w:rPr>
              <w:t>(即开标时间)不得开启</w:t>
            </w:r>
          </w:p>
          <w:p>
            <w:pPr>
              <w:adjustRightInd w:val="0"/>
              <w:snapToGrid w:val="0"/>
              <w:rPr>
                <w:rFonts w:hint="eastAsia" w:ascii="宋体" w:hAnsi="宋体" w:cs="宋体"/>
              </w:rPr>
            </w:pPr>
            <w:r>
              <w:rPr>
                <w:rFonts w:hint="eastAsia" w:ascii="宋体" w:hAnsi="宋体" w:cs="宋体"/>
              </w:rPr>
              <w:t xml:space="preserve">投标人名称：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hint="eastAsia" w:ascii="宋体" w:hAnsi="宋体" w:cs="宋体"/>
              </w:rPr>
            </w:pPr>
            <w:r>
              <w:rPr>
                <w:rFonts w:hint="eastAsia" w:ascii="宋体" w:hAnsi="宋体" w:cs="宋体"/>
                <w:lang w:val="en-US" w:eastAsia="zh-CN"/>
              </w:rPr>
              <w:t>2024年3月25日13时30分</w:t>
            </w:r>
            <w:bookmarkStart w:id="49" w:name="_GoBack"/>
            <w:bookmarkEnd w:id="49"/>
            <w:r>
              <w:rPr>
                <w:rFonts w:hint="eastAsia" w:ascii="宋体" w:hAnsi="宋体" w:cs="宋体"/>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1</w:t>
            </w:r>
            <w:r>
              <w:rPr>
                <w:rFonts w:hint="eastAsia" w:ascii="宋体" w:hAnsi="宋体" w:cs="宋体"/>
              </w:rPr>
              <w:t>）密封情况检查：由投标人或者其集体推选的代表检查投标文件的密封情况。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hint="eastAsia" w:ascii="宋体" w:hAnsi="宋体" w:cs="宋体"/>
                <w:lang w:val="en-US" w:eastAsia="zh-CN"/>
              </w:rPr>
              <w:t>2</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djustRightInd w:val="0"/>
              <w:snapToGrid w:val="0"/>
              <w:rPr>
                <w:rFonts w:hint="eastAsia" w:ascii="宋体" w:hAnsi="宋体" w:cs="宋体"/>
              </w:rPr>
            </w:pPr>
            <w:r>
              <w:rPr>
                <w:rFonts w:hint="eastAsia" w:ascii="宋体" w:hAnsi="宋体" w:cs="宋体"/>
              </w:rPr>
              <w:t>评标委员会构成：3人及以上单数</w:t>
            </w:r>
          </w:p>
          <w:p>
            <w:pPr>
              <w:adjustRightInd w:val="0"/>
              <w:snapToGrid w:val="0"/>
              <w:rPr>
                <w:rFonts w:ascii="宋体" w:hAnsi="宋体" w:cs="宋体"/>
              </w:rPr>
            </w:pPr>
            <w:r>
              <w:rPr>
                <w:rFonts w:hint="eastAsia" w:ascii="宋体" w:hAnsi="宋体" w:cs="宋体"/>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8"/>
              </w:rPr>
              <w:t>http://www.hzairport.com/tender/index.html</w:t>
            </w:r>
            <w:r>
              <w:rPr>
                <w:rStyle w:val="18"/>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宋体" w:cs="Times New Roman"/>
                    <w:kern w:val="2"/>
                    <w:sz w:val="24"/>
                    <w:szCs w:val="22"/>
                    <w:lang w:val="en-US" w:eastAsia="zh-CN" w:bidi="ar-SA"/>
                  </w:rPr>
                  <w:t>☐</w:t>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1"/>
                  <w14:checkedState w14:val="0052" w14:font="Wingdings 2"/>
                  <w14:uncheckedState w14:val="2610" w14:font="MS Gothic"/>
                </w14:checkbox>
              </w:sdtPr>
              <w:sdtEndPr>
                <w:rPr>
                  <w:rFonts w:hint="eastAsia"/>
                  <w:sz w:val="24"/>
                </w:rPr>
              </w:sdtEndPr>
              <w:sdtContent>
                <w:r>
                  <w:rPr>
                    <w:rFonts w:hint="eastAsia" w:ascii="Wingdings 2" w:hAnsi="Wingdings 2" w:eastAsia="MS Gothic" w:cs="Times New Roman"/>
                    <w:kern w:val="2"/>
                    <w:sz w:val="24"/>
                    <w:szCs w:val="22"/>
                    <w:lang w:val="en-US" w:eastAsia="zh-CN" w:bidi="ar-SA"/>
                  </w:rPr>
                  <w:t>R</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有权不予退还其投标保证金且列入招标人禁止交易名单或不良</w:t>
            </w:r>
            <w:r>
              <w:rPr>
                <w:rFonts w:ascii="宋体" w:hAnsi="宋体" w:cs="Arial"/>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utoSpaceDE w:val="0"/>
              <w:autoSpaceDN w:val="0"/>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utoSpaceDE w:val="0"/>
              <w:autoSpaceDN w:val="0"/>
              <w:adjustRightInd w:val="0"/>
              <w:snapToGrid w:val="0"/>
              <w:rPr>
                <w:rFonts w:ascii="宋体" w:hAnsi="宋体" w:cs="Arial"/>
              </w:rPr>
            </w:pPr>
            <w:r>
              <w:rPr>
                <w:rFonts w:hint="eastAsia" w:ascii="宋体" w:hAnsi="宋体" w:cs="Arial"/>
              </w:rPr>
              <w:t>3、本项目中标合同与杭州萧山国际机场有限公司签订。</w:t>
            </w:r>
          </w:p>
          <w:p>
            <w:pPr>
              <w:autoSpaceDE w:val="0"/>
              <w:autoSpaceDN w:val="0"/>
              <w:adjustRightInd w:val="0"/>
              <w:snapToGrid w:val="0"/>
              <w:rPr>
                <w:rFonts w:ascii="宋体" w:hAnsi="宋体" w:cs="宋体"/>
                <w:b/>
              </w:rPr>
            </w:pPr>
            <w:r>
              <w:rPr>
                <w:rFonts w:hint="eastAsia" w:ascii="宋体" w:hAnsi="宋体" w:cs="Arial"/>
              </w:rPr>
              <w:t>4、投标人须知前附表与投标人须知不一致之处，以投标人前附表为准。</w:t>
            </w:r>
          </w:p>
        </w:tc>
      </w:tr>
    </w:tbl>
    <w:p>
      <w:pPr>
        <w:autoSpaceDE w:val="0"/>
        <w:autoSpaceDN w:val="0"/>
        <w:adjustRightInd w:val="0"/>
        <w:snapToGrid w:val="0"/>
        <w:spacing w:line="360" w:lineRule="exact"/>
        <w:rPr>
          <w:rFonts w:hint="eastAsia" w:ascii="宋体" w:hAnsi="宋体" w:eastAsia="宋体"/>
          <w:b/>
          <w:kern w:val="0"/>
          <w:sz w:val="22"/>
          <w:lang w:val="en-US" w:eastAsia="zh-CN"/>
        </w:rPr>
      </w:pPr>
      <w:bookmarkStart w:id="20" w:name="_Hlk525123742"/>
    </w:p>
    <w:p>
      <w:pPr>
        <w:autoSpaceDE w:val="0"/>
        <w:autoSpaceDN w:val="0"/>
        <w:adjustRightInd w:val="0"/>
        <w:snapToGrid w:val="0"/>
        <w:spacing w:line="360" w:lineRule="exact"/>
        <w:ind w:firstLine="442" w:firstLineChars="200"/>
        <w:rPr>
          <w:rFonts w:ascii="宋体" w:hAnsi="宋体"/>
          <w:b/>
          <w:kern w:val="0"/>
          <w:sz w:val="22"/>
        </w:rPr>
      </w:pPr>
    </w:p>
    <w:p>
      <w:pPr>
        <w:autoSpaceDE w:val="0"/>
        <w:autoSpaceDN w:val="0"/>
        <w:adjustRightInd w:val="0"/>
        <w:snapToGrid w:val="0"/>
        <w:spacing w:line="360" w:lineRule="exact"/>
        <w:ind w:firstLine="442" w:firstLineChars="200"/>
        <w:rPr>
          <w:rFonts w:ascii="宋体" w:hAnsi="宋体" w:cs="微软雅黑"/>
          <w:b/>
          <w:kern w:val="0"/>
          <w:sz w:val="22"/>
        </w:rPr>
      </w:pPr>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2"/>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9</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8"/>
        </w:rPr>
        <w:t>http://www.hzairport.com/tender/index.html</w:t>
      </w:r>
      <w:r>
        <w:rPr>
          <w:rStyle w:val="18"/>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8"/>
        </w:rPr>
        <w:t>http://www.hzairport.com/tender/index.html</w:t>
      </w:r>
      <w:r>
        <w:rPr>
          <w:rStyle w:val="18"/>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②信用中国网站www.creditchina.gov.cn 、中国裁判文书网http://wenshu.court.gov.cn查询结果以及主管税务部门出具的一般纳税人资格认定《税务事项通知书》或《增值税一般纳税人登记表》或投标人电子税务局一般纳税人资格查询网页。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投标报价为各分项报价金额之和，投标报价与分项报价的合价不一致的，按投标人须知</w:t>
      </w:r>
      <w:r>
        <w:rPr>
          <w:rFonts w:ascii="宋体" w:hAnsi="宋体" w:cs="宋体"/>
          <w:kern w:val="0"/>
          <w:sz w:val="22"/>
        </w:rPr>
        <w:t>前附表</w:t>
      </w:r>
      <w:r>
        <w:rPr>
          <w:rFonts w:hint="eastAsia" w:ascii="宋体" w:hAnsi="宋体" w:cs="宋体"/>
          <w:kern w:val="0"/>
          <w:sz w:val="22"/>
        </w:rPr>
        <w:t>条款规定修正投标报价；如分项报价中存在缺漏项，则视为缺漏项价格已包含在其他分项报价之中。投标人在投标截止时间前修改投标函中的投标报价总额，应同时修改投标文件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120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1" w:name="_Toc220123242"/>
      <w:bookmarkStart w:id="22" w:name="_Toc15553"/>
      <w:bookmarkStart w:id="23" w:name="_Toc21980980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1"/>
      <w:bookmarkEnd w:id="22"/>
      <w:bookmarkEnd w:id="23"/>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4" w:name="_Toc219809803"/>
      <w:bookmarkStart w:id="25" w:name="_Toc220123243"/>
      <w:bookmarkStart w:id="26" w:name="_Toc18806"/>
      <w:r>
        <w:rPr>
          <w:rFonts w:hint="eastAsia" w:ascii="宋体" w:hAnsi="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headerReference r:id="rId4" w:type="default"/>
          <w:footerReference r:id="rId5" w:type="default"/>
          <w:pgSz w:w="11907" w:h="16840"/>
          <w:pgMar w:top="1191" w:right="1191" w:bottom="1191" w:left="1191" w:header="567" w:footer="720" w:gutter="227"/>
          <w:pgNumType w:fmt="numberInDash"/>
          <w:cols w:space="720" w:num="1"/>
        </w:sectPr>
      </w:pPr>
    </w:p>
    <w:bookmarkEnd w:id="20"/>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8"/>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8"/>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4"/>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20"/>
              <w:spacing w:line="360" w:lineRule="exact"/>
              <w:jc w:val="center"/>
              <w:rPr>
                <w:rFonts w:ascii="宋体" w:hAnsi="宋体" w:cs="宋体"/>
                <w:sz w:val="22"/>
              </w:rPr>
            </w:pPr>
            <w:r>
              <w:rPr>
                <w:rFonts w:hint="eastAsia" w:ascii="宋体" w:hAnsi="宋体" w:cs="宋体"/>
                <w:sz w:val="22"/>
              </w:rPr>
              <w:t>投标人代表</w:t>
            </w:r>
          </w:p>
          <w:p>
            <w:pPr>
              <w:pStyle w:val="2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8"/>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8"/>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7" w:name="_bookmark76"/>
      <w:bookmarkEnd w:id="27"/>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28" w:name="_bookmark77"/>
      <w:bookmarkEnd w:id="28"/>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lang w:val="en-US"/>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时前递交至杭州萧山国际机场</w:t>
      </w:r>
      <w:r>
        <w:rPr>
          <w:rFonts w:hint="eastAsia" w:ascii="宋体" w:hAnsi="宋体" w:cs="宋体"/>
          <w:sz w:val="24"/>
          <w:lang w:val="en-US" w:eastAsia="zh-CN"/>
        </w:rPr>
        <w:t>航安路30号动力部水务室办公楼201室。</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6" w:type="default"/>
          <w:footerReference r:id="rId7"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29" w:name="_bookmark78"/>
      <w:bookmarkEnd w:id="29"/>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4"/>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eastAsia" w:ascii="宋体" w:hAnsi="宋体" w:cs="宋体"/>
          <w:sz w:val="24"/>
        </w:rPr>
      </w:pPr>
      <w:r>
        <w:rPr>
          <w:rFonts w:hint="eastAsia" w:ascii="宋体" w:hAnsi="宋体" w:cs="宋体"/>
          <w:sz w:val="24"/>
        </w:rPr>
        <w:t xml:space="preserve">联系人： </w:t>
      </w:r>
      <w:r>
        <w:rPr>
          <w:rFonts w:hint="eastAsia" w:ascii="宋体" w:hAnsi="宋体" w:cs="宋体"/>
          <w:sz w:val="24"/>
          <w:lang w:eastAsia="zh-CN"/>
        </w:rPr>
        <w:t>郭佳佳</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联系电话：</w:t>
      </w:r>
      <w:r>
        <w:rPr>
          <w:rFonts w:hint="eastAsia" w:ascii="宋体" w:hAnsi="宋体" w:cs="宋体"/>
          <w:sz w:val="24"/>
          <w:lang w:val="en-US" w:eastAsia="zh-CN"/>
        </w:rPr>
        <w:t>0571-86662596</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9"/>
          <w:sz w:val="40"/>
          <w:szCs w:val="40"/>
        </w:rPr>
      </w:pPr>
    </w:p>
    <w:p>
      <w:pPr>
        <w:autoSpaceDE w:val="0"/>
        <w:autoSpaceDN w:val="0"/>
        <w:adjustRightInd w:val="0"/>
        <w:spacing w:line="587" w:lineRule="exact"/>
        <w:ind w:right="43"/>
        <w:jc w:val="center"/>
        <w:rPr>
          <w:rStyle w:val="19"/>
          <w:sz w:val="40"/>
          <w:szCs w:val="40"/>
        </w:rPr>
      </w:pPr>
    </w:p>
    <w:p>
      <w:pPr>
        <w:autoSpaceDE w:val="0"/>
        <w:autoSpaceDN w:val="0"/>
        <w:adjustRightInd w:val="0"/>
        <w:spacing w:line="587" w:lineRule="exact"/>
        <w:ind w:right="43"/>
        <w:jc w:val="center"/>
        <w:rPr>
          <w:rStyle w:val="19"/>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5"/>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9"/>
          <w:sz w:val="40"/>
          <w:szCs w:val="40"/>
        </w:rPr>
        <w:sectPr>
          <w:footerReference r:id="rId8" w:type="default"/>
          <w:footerReference r:id="rId9"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0" w:name="_Toc19698497"/>
      <w:bookmarkStart w:id="31" w:name="_Toc19698499"/>
      <w:r>
        <w:rPr>
          <w:rFonts w:hint="eastAsia"/>
        </w:rPr>
        <w:t>第三章</w:t>
      </w:r>
      <w:r>
        <w:t xml:space="preserve">  </w:t>
      </w:r>
      <w:r>
        <w:rPr>
          <w:rFonts w:hint="eastAsia"/>
        </w:rPr>
        <w:t>评标办法（适用于综合评估法）</w:t>
      </w:r>
      <w:bookmarkEnd w:id="30"/>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8"/>
          <w:rFonts w:hint="eastAsia" w:cs="宋体"/>
        </w:rPr>
        <w:t>www.creditchina.gov.cn</w:t>
      </w:r>
      <w:r>
        <w:rPr>
          <w:rStyle w:val="18"/>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8"/>
          <w:rFonts w:hint="eastAsia" w:cs="宋体"/>
        </w:rPr>
        <w:t>http://wenshu.court.gov.cn</w:t>
      </w:r>
      <w:r>
        <w:rPr>
          <w:rStyle w:val="18"/>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7276554"/>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40分</w:t>
      </w:r>
      <w:r>
        <w:rPr>
          <w:rFonts w:hint="eastAsia" w:ascii="宋体" w:hAnsi="宋体" w:cs="宋体"/>
          <w:b/>
          <w:sz w:val="22"/>
        </w:rPr>
        <w:t xml:space="preserve"> </w:t>
      </w:r>
      <w:sdt>
        <w:sdtPr>
          <w:rPr>
            <w:rFonts w:hint="eastAsia"/>
            <w:b/>
            <w:sz w:val="24"/>
          </w:rPr>
          <w:id w:val="899104156"/>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cs="Times New Roman"/>
              <w:b/>
              <w:kern w:val="2"/>
              <w:sz w:val="24"/>
              <w:szCs w:val="22"/>
              <w:lang w:val="en-US" w:eastAsia="zh-CN" w:bidi="ar-SA"/>
            </w:rPr>
            <w:t>☐</w:t>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sdt>
        <w:sdtPr>
          <w:rPr>
            <w:rFonts w:hint="eastAsia"/>
            <w:b/>
            <w:sz w:val="24"/>
          </w:rPr>
          <w:id w:val="-44457904"/>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20分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14"/>
        <w:tblW w:w="8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4"/>
        <w:gridCol w:w="795"/>
        <w:gridCol w:w="6263"/>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69" w:type="dxa"/>
            <w:gridSpan w:val="2"/>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b/>
                <w:bCs/>
                <w:sz w:val="22"/>
              </w:rPr>
            </w:pPr>
            <w:r>
              <w:rPr>
                <w:rFonts w:hint="eastAsia" w:ascii="宋体" w:hAnsi="宋体" w:cs="宋体"/>
                <w:b/>
                <w:bCs/>
                <w:sz w:val="22"/>
              </w:rPr>
              <w:t>评定项目</w:t>
            </w: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ind w:firstLine="442" w:firstLineChars="200"/>
              <w:jc w:val="center"/>
              <w:rPr>
                <w:rFonts w:hint="eastAsia" w:ascii="宋体" w:hAnsi="宋体" w:cs="宋体"/>
                <w:b/>
                <w:bCs/>
                <w:sz w:val="22"/>
              </w:rPr>
            </w:pPr>
            <w:r>
              <w:rPr>
                <w:rFonts w:hint="eastAsia" w:ascii="宋体" w:hAnsi="宋体" w:cs="宋体"/>
                <w:b/>
                <w:bCs/>
                <w:sz w:val="22"/>
              </w:rPr>
              <w:t>评分细则</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eastAsia" w:ascii="宋体" w:hAnsi="宋体" w:cs="宋体"/>
                <w:b/>
                <w:bCs/>
                <w:sz w:val="22"/>
              </w:rPr>
            </w:pPr>
            <w:r>
              <w:rPr>
                <w:rFonts w:hint="eastAsia" w:ascii="宋体" w:hAnsi="宋体" w:cs="宋体"/>
                <w:b/>
                <w:bCs/>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4" w:type="dxa"/>
            <w:vMerge w:val="restart"/>
            <w:tcBorders>
              <w:top w:val="single" w:color="000000" w:sz="4" w:space="0"/>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r>
              <w:rPr>
                <w:rFonts w:hint="eastAsia" w:ascii="宋体" w:hAnsi="宋体" w:cs="宋体"/>
                <w:sz w:val="22"/>
              </w:rPr>
              <w:t>资信技术评分</w:t>
            </w:r>
          </w:p>
          <w:p>
            <w:pPr>
              <w:adjustRightInd w:val="0"/>
              <w:snapToGrid w:val="0"/>
              <w:spacing w:line="360" w:lineRule="exact"/>
              <w:ind w:firstLine="440" w:firstLineChars="200"/>
              <w:jc w:val="center"/>
              <w:rPr>
                <w:rFonts w:hint="eastAsia" w:ascii="宋体" w:hAnsi="宋体" w:cs="宋体"/>
                <w:sz w:val="22"/>
              </w:rPr>
            </w:pPr>
          </w:p>
        </w:tc>
        <w:tc>
          <w:tcPr>
            <w:tcW w:w="795" w:type="dxa"/>
            <w:vMerge w:val="restart"/>
            <w:tcBorders>
              <w:top w:val="single" w:color="000000" w:sz="4" w:space="0"/>
              <w:left w:val="single" w:color="000000" w:sz="4" w:space="0"/>
              <w:right w:val="single" w:color="000000" w:sz="4" w:space="0"/>
            </w:tcBorders>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资信评分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default" w:ascii="宋体" w:hAnsi="宋体" w:cs="宋体"/>
                <w:sz w:val="22"/>
                <w:lang w:val="en-US" w:eastAsia="zh-CN"/>
              </w:rPr>
            </w:pPr>
            <w:r>
              <w:rPr>
                <w:rFonts w:hint="eastAsia" w:ascii="宋体" w:hAnsi="宋体" w:cs="宋体"/>
                <w:sz w:val="22"/>
              </w:rPr>
              <w:t>根据各投标人的资质、规模、经验、得奖情况等情况横向比较评分</w:t>
            </w:r>
            <w:r>
              <w:rPr>
                <w:rFonts w:hint="eastAsia" w:ascii="宋体" w:hAnsi="宋体" w:cs="宋体"/>
                <w:sz w:val="22"/>
                <w:lang w:eastAsia="zh-CN"/>
              </w:rPr>
              <w:t>。</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sz w:val="22"/>
                <w:lang w:val="en-US" w:eastAsia="zh-CN"/>
              </w:rPr>
            </w:pPr>
            <w:r>
              <w:rPr>
                <w:rFonts w:hint="eastAsia" w:ascii="宋体" w:hAnsi="宋体" w:cs="宋体"/>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795"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default" w:ascii="宋体" w:hAnsi="宋体" w:cs="宋体"/>
                <w:sz w:val="22"/>
                <w:lang w:val="en-US" w:eastAsia="zh-CN"/>
              </w:rPr>
            </w:pPr>
            <w:r>
              <w:rPr>
                <w:rFonts w:hint="eastAsia" w:ascii="宋体" w:hAnsi="宋体" w:cs="宋体"/>
                <w:sz w:val="22"/>
              </w:rPr>
              <w:t>类似业绩</w:t>
            </w:r>
            <w:r>
              <w:rPr>
                <w:rFonts w:hint="eastAsia" w:ascii="宋体" w:hAnsi="宋体" w:cs="宋体"/>
                <w:sz w:val="22"/>
                <w:lang w:eastAsia="zh-CN"/>
              </w:rPr>
              <w:t>，没有不得分，一个业绩加一分，不得超过</w:t>
            </w:r>
            <w:r>
              <w:rPr>
                <w:rFonts w:hint="eastAsia" w:ascii="宋体" w:hAnsi="宋体" w:cs="宋体"/>
                <w:sz w:val="22"/>
                <w:lang w:val="en-US" w:eastAsia="zh-CN"/>
              </w:rPr>
              <w:t>5分。</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sz w:val="22"/>
                <w:lang w:val="en-US" w:eastAsia="zh-CN"/>
              </w:rPr>
            </w:pPr>
            <w:r>
              <w:rPr>
                <w:rFonts w:hint="eastAsia" w:ascii="宋体" w:hAnsi="宋体" w:cs="宋体"/>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795" w:type="dxa"/>
            <w:vMerge w:val="restart"/>
            <w:tcBorders>
              <w:left w:val="single" w:color="000000" w:sz="4" w:space="0"/>
              <w:right w:val="single" w:color="000000" w:sz="4" w:space="0"/>
            </w:tcBorders>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技术评分</w:t>
            </w: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eastAsia" w:ascii="宋体" w:hAnsi="宋体" w:cs="宋体"/>
                <w:sz w:val="22"/>
              </w:rPr>
            </w:pPr>
            <w:r>
              <w:rPr>
                <w:rFonts w:hint="eastAsia" w:ascii="宋体" w:hAnsi="宋体" w:cs="宋体"/>
                <w:sz w:val="22"/>
              </w:rPr>
              <w:t>可针对设备的各项重要参数指标、检测报告等进行单项打分</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sz w:val="22"/>
                <w:lang w:val="en-US" w:eastAsia="zh-CN"/>
              </w:rPr>
            </w:pPr>
            <w:r>
              <w:rPr>
                <w:rFonts w:hint="eastAsia" w:ascii="宋体" w:hAnsi="宋体" w:cs="宋体"/>
                <w:sz w:val="22"/>
                <w:lang w:val="en-US" w:eastAsia="zh-CN"/>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795"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eastAsia" w:ascii="宋体" w:hAnsi="宋体" w:cs="宋体"/>
                <w:sz w:val="22"/>
              </w:rPr>
            </w:pPr>
            <w:r>
              <w:rPr>
                <w:rFonts w:hint="eastAsia" w:ascii="宋体" w:hAnsi="宋体" w:cs="宋体"/>
                <w:sz w:val="22"/>
              </w:rPr>
              <w:t>根据拟投入项目的产品性能与招标要求的技术参数匹配性。</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sz w:val="22"/>
                <w:lang w:val="en-US" w:eastAsia="zh-CN"/>
              </w:rPr>
            </w:pPr>
            <w:r>
              <w:rPr>
                <w:rFonts w:hint="eastAsia" w:ascii="宋体" w:hAnsi="宋体" w:cs="宋体"/>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795"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eastAsia" w:ascii="宋体" w:hAnsi="宋体" w:cs="宋体"/>
                <w:sz w:val="22"/>
              </w:rPr>
            </w:pPr>
            <w:r>
              <w:rPr>
                <w:rFonts w:hint="eastAsia" w:ascii="宋体" w:hAnsi="宋体" w:cs="宋体"/>
                <w:sz w:val="22"/>
              </w:rPr>
              <w:t>供货及安装方案的科学性及合理性。</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sz w:val="22"/>
                <w:lang w:val="en-US" w:eastAsia="zh-CN"/>
              </w:rPr>
            </w:pPr>
            <w:r>
              <w:rPr>
                <w:rFonts w:hint="eastAsia" w:ascii="宋体" w:hAnsi="宋体" w:cs="宋体"/>
                <w:sz w:val="22"/>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4"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795" w:type="dxa"/>
            <w:vMerge w:val="continue"/>
            <w:tcBorders>
              <w:left w:val="single" w:color="000000" w:sz="4" w:space="0"/>
              <w:right w:val="single" w:color="000000" w:sz="4" w:space="0"/>
            </w:tcBorders>
            <w:vAlign w:val="center"/>
          </w:tcPr>
          <w:p>
            <w:pPr>
              <w:adjustRightInd w:val="0"/>
              <w:snapToGrid w:val="0"/>
              <w:spacing w:line="360" w:lineRule="exact"/>
              <w:ind w:firstLine="440" w:firstLineChars="200"/>
              <w:jc w:val="center"/>
              <w:rPr>
                <w:rFonts w:hint="eastAsia" w:ascii="宋体" w:hAnsi="宋体" w:cs="宋体"/>
                <w:sz w:val="22"/>
              </w:rPr>
            </w:pPr>
          </w:p>
        </w:tc>
        <w:tc>
          <w:tcPr>
            <w:tcW w:w="626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left"/>
              <w:rPr>
                <w:rFonts w:hint="eastAsia" w:ascii="宋体" w:hAnsi="宋体" w:cs="宋体"/>
                <w:sz w:val="22"/>
              </w:rPr>
            </w:pPr>
            <w:r>
              <w:rPr>
                <w:rFonts w:hint="eastAsia" w:ascii="宋体" w:hAnsi="宋体" w:cs="宋体"/>
                <w:sz w:val="22"/>
              </w:rPr>
              <w:t>投标人及品牌售后服务的有效性和售后服务的响应情况（根据投标品牌售后服务的技术力量、维修及时性、人员配置、投标品牌原厂服务证明文件等）</w:t>
            </w:r>
          </w:p>
        </w:tc>
        <w:tc>
          <w:tcPr>
            <w:tcW w:w="1314"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spacing w:line="360" w:lineRule="exact"/>
              <w:jc w:val="center"/>
              <w:rPr>
                <w:rFonts w:hint="default" w:ascii="宋体" w:hAnsi="宋体" w:cs="宋体"/>
                <w:sz w:val="22"/>
                <w:lang w:val="en-US" w:eastAsia="zh-CN"/>
              </w:rPr>
            </w:pPr>
            <w:r>
              <w:rPr>
                <w:rFonts w:hint="eastAsia" w:ascii="宋体" w:hAnsi="宋体" w:cs="宋体"/>
                <w:sz w:val="22"/>
                <w:lang w:val="en-US" w:eastAsia="zh-CN"/>
              </w:rPr>
              <w:t>0-10</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574666289"/>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w:t>
      </w:r>
      <w:r>
        <w:rPr>
          <w:rFonts w:ascii="宋体" w:hAnsi="宋体" w:cs="宋体"/>
          <w:b/>
          <w:sz w:val="22"/>
        </w:rPr>
        <w:t>60分</w:t>
      </w:r>
      <w:r>
        <w:rPr>
          <w:rFonts w:hint="eastAsia" w:ascii="宋体" w:hAnsi="宋体" w:cs="宋体"/>
          <w:b/>
          <w:sz w:val="22"/>
        </w:rPr>
        <w:t xml:space="preserve"> </w:t>
      </w:r>
      <w:sdt>
        <w:sdtPr>
          <w:rPr>
            <w:rFonts w:hint="eastAsia"/>
            <w:b/>
            <w:sz w:val="24"/>
          </w:rPr>
          <w:id w:val="1050648990"/>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cs="Times New Roman"/>
              <w:b/>
              <w:kern w:val="2"/>
              <w:sz w:val="24"/>
              <w:szCs w:val="22"/>
              <w:lang w:val="en-US" w:eastAsia="zh-CN" w:bidi="ar-SA"/>
            </w:rPr>
            <w:t>☐</w:t>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sdt>
        <w:sdtPr>
          <w:rPr>
            <w:rFonts w:hint="eastAsia"/>
            <w:b/>
            <w:sz w:val="24"/>
          </w:rPr>
          <w:id w:val="294255562"/>
          <w14:checkbox>
            <w14:checked w14:val="0"/>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t>☐</w:t>
          </w:r>
        </w:sdtContent>
      </w:sdt>
      <w:r>
        <w:rPr>
          <w:rFonts w:hint="eastAsia" w:ascii="宋体" w:hAnsi="宋体" w:cs="宋体"/>
          <w:b/>
          <w:sz w:val="22"/>
        </w:rPr>
        <w:t xml:space="preserve"> </w:t>
      </w:r>
      <w:r>
        <w:rPr>
          <w:rFonts w:ascii="宋体" w:hAnsi="宋体" w:cs="宋体"/>
          <w:b/>
          <w:sz w:val="22"/>
        </w:rPr>
        <w:t>80分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82" w:firstLineChars="200"/>
        <w:jc w:val="left"/>
        <w:rPr>
          <w:rFonts w:ascii="宋体" w:hAnsi="宋体" w:cs="宋体"/>
          <w:b/>
          <w:sz w:val="22"/>
        </w:rPr>
      </w:pPr>
      <w:sdt>
        <w:sdtPr>
          <w:rPr>
            <w:rFonts w:hint="eastAsia"/>
            <w:b/>
            <w:sz w:val="24"/>
          </w:rPr>
          <w:id w:val="1514347318"/>
          <w14:checkbox>
            <w14:checked w14:val="1"/>
            <w14:checkedState w14:val="0052" w14:font="Wingdings 2"/>
            <w14:uncheckedState w14:val="2610" w14:font="MS Gothic"/>
          </w14:checkbox>
        </w:sdtPr>
        <w:sdtEndPr>
          <w:rPr>
            <w:rFonts w:hint="eastAsia"/>
            <w:b/>
            <w:sz w:val="24"/>
          </w:rPr>
        </w:sdtEndPr>
        <w:sdtContent>
          <w:r>
            <w:rPr>
              <w:rFonts w:hint="eastAsia" w:ascii="Wingdings 2" w:hAnsi="Wingdings 2" w:eastAsia="MS Gothic" w:cs="Times New Roman"/>
              <w:b/>
              <w:kern w:val="2"/>
              <w:sz w:val="24"/>
              <w:szCs w:val="22"/>
              <w:lang w:val="en-US" w:eastAsia="zh-CN" w:bidi="ar-SA"/>
            </w:rPr>
            <w:t>R</w:t>
          </w:r>
        </w:sdtContent>
      </w:sdt>
      <w:r>
        <w:rPr>
          <w:rFonts w:hint="eastAsia" w:ascii="宋体" w:hAnsi="宋体" w:cs="宋体"/>
          <w:b/>
          <w:sz w:val="22"/>
        </w:rPr>
        <w:t xml:space="preserve">  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hint="eastAsia" w:ascii="宋体" w:hAnsi="宋体" w:cs="宋体"/>
          <w:sz w:val="22"/>
        </w:rPr>
      </w:pPr>
      <w:r>
        <w:rPr>
          <w:rFonts w:hint="eastAsia" w:ascii="宋体" w:hAnsi="宋体" w:cs="宋体"/>
          <w:sz w:val="22"/>
        </w:rPr>
        <w:t>a.投标评标价等于评标基准价时，得满分</w:t>
      </w:r>
      <w:r>
        <w:rPr>
          <w:rFonts w:hint="eastAsia" w:ascii="宋体" w:hAnsi="宋体" w:cs="宋体"/>
          <w:sz w:val="22"/>
          <w:lang w:val="en-US" w:eastAsia="zh-CN"/>
        </w:rPr>
        <w:t>60</w:t>
      </w:r>
      <w:r>
        <w:rPr>
          <w:rFonts w:hint="eastAsia" w:ascii="宋体" w:hAnsi="宋体" w:cs="宋体"/>
          <w:sz w:val="22"/>
        </w:rPr>
        <w:t>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41"/>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hint="eastAsia" w:ascii="宋体" w:hAnsi="宋体" w:cs="宋体"/>
          <w:sz w:val="22"/>
          <w:lang w:val="en-US" w:eastAsia="zh-CN"/>
        </w:rPr>
        <w:t>30</w:t>
      </w:r>
      <w:r>
        <w:rPr>
          <w:rFonts w:hint="eastAsia" w:ascii="宋体" w:hAnsi="宋体" w:cs="宋体"/>
          <w:sz w:val="22"/>
        </w:rPr>
        <w:t>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hint="eastAsia"/>
        </w:rPr>
      </w:pPr>
      <w:r>
        <w:rPr>
          <w:rFonts w:hint="eastAsia" w:ascii="宋体" w:hAnsi="宋体" w:cs="宋体"/>
          <w:b/>
          <w:sz w:val="22"/>
        </w:rPr>
        <w:t>4、招标人对评标、定标结果不负责解释。</w:t>
      </w:r>
    </w:p>
    <w:p>
      <w:pPr>
        <w:pStyle w:val="2"/>
        <w:spacing w:line="564" w:lineRule="exact"/>
        <w:ind w:right="57"/>
        <w:jc w:val="both"/>
        <w:rPr>
          <w:rFonts w:hint="eastAsia"/>
        </w:rPr>
      </w:pPr>
    </w:p>
    <w:p>
      <w:pPr>
        <w:pStyle w:val="2"/>
        <w:spacing w:line="564" w:lineRule="exact"/>
        <w:ind w:right="57"/>
        <w:jc w:val="both"/>
        <w:rPr>
          <w:rFonts w:hint="eastAsia"/>
        </w:rPr>
      </w:pPr>
    </w:p>
    <w:p>
      <w:pPr>
        <w:pStyle w:val="2"/>
        <w:spacing w:line="564" w:lineRule="exact"/>
        <w:ind w:right="57"/>
        <w:jc w:val="both"/>
        <w:rPr>
          <w:rFonts w:hint="eastAsia"/>
        </w:rPr>
      </w:pPr>
    </w:p>
    <w:p>
      <w:pPr>
        <w:rPr>
          <w:rFonts w:hint="eastAsia"/>
        </w:rPr>
      </w:pPr>
    </w:p>
    <w:p>
      <w:pPr>
        <w:pStyle w:val="13"/>
        <w:rPr>
          <w:rFonts w:hint="eastAsia"/>
        </w:rPr>
      </w:pPr>
    </w:p>
    <w:p>
      <w:pPr>
        <w:rPr>
          <w:rFonts w:hint="eastAsia"/>
        </w:rPr>
      </w:pPr>
    </w:p>
    <w:p>
      <w:pPr>
        <w:pStyle w:val="13"/>
        <w:rPr>
          <w:rFonts w:hint="eastAsia"/>
        </w:rPr>
      </w:pPr>
    </w:p>
    <w:p>
      <w:pPr>
        <w:rPr>
          <w:rFonts w:hint="eastAsia"/>
        </w:rPr>
      </w:pPr>
    </w:p>
    <w:p>
      <w:pPr>
        <w:pStyle w:val="13"/>
        <w:rPr>
          <w:rFonts w:hint="eastAsia"/>
        </w:rPr>
      </w:pPr>
    </w:p>
    <w:p>
      <w:pPr>
        <w:rPr>
          <w:rFonts w:hint="eastAsia"/>
        </w:rPr>
      </w:pPr>
    </w:p>
    <w:p>
      <w:pPr>
        <w:pStyle w:val="13"/>
        <w:rPr>
          <w:rFonts w:hint="eastAsia"/>
        </w:rPr>
      </w:pPr>
    </w:p>
    <w:p>
      <w:pPr>
        <w:rPr>
          <w:rFonts w:hint="eastAsia"/>
        </w:rPr>
      </w:pPr>
    </w:p>
    <w:p>
      <w:pPr>
        <w:pStyle w:val="2"/>
        <w:spacing w:line="564" w:lineRule="exact"/>
        <w:ind w:right="57"/>
        <w:jc w:val="both"/>
        <w:rPr>
          <w:rFonts w:hint="eastAsia"/>
        </w:rPr>
      </w:pPr>
    </w:p>
    <w:p>
      <w:pPr>
        <w:rPr>
          <w:rFonts w:hint="eastAsia"/>
        </w:rPr>
      </w:pPr>
    </w:p>
    <w:p>
      <w:pPr>
        <w:rPr>
          <w:rFonts w:hint="eastAsia"/>
        </w:rPr>
      </w:pPr>
    </w:p>
    <w:p>
      <w:pPr>
        <w:rPr>
          <w:rFonts w:hint="eastAsia"/>
        </w:rPr>
      </w:pPr>
    </w:p>
    <w:p>
      <w:pPr>
        <w:rPr>
          <w:rFonts w:hint="eastAsia"/>
        </w:rPr>
      </w:pPr>
    </w:p>
    <w:p>
      <w:pPr>
        <w:pStyle w:val="2"/>
        <w:spacing w:line="564" w:lineRule="exact"/>
        <w:ind w:right="57"/>
        <w:jc w:val="both"/>
      </w:pPr>
      <w:r>
        <w:rPr>
          <w:rFonts w:hint="eastAsia"/>
        </w:rPr>
        <w:t>第四章</w:t>
      </w:r>
      <w:r>
        <w:t xml:space="preserve">  </w:t>
      </w:r>
      <w:r>
        <w:rPr>
          <w:rFonts w:hint="eastAsia"/>
        </w:rPr>
        <w:t>合同条款及格式</w:t>
      </w:r>
      <w:bookmarkEnd w:id="31"/>
    </w:p>
    <w:p>
      <w:pPr>
        <w:spacing w:line="560" w:lineRule="exact"/>
        <w:jc w:val="both"/>
        <w:rPr>
          <w:rFonts w:hint="eastAsia" w:ascii="黑体" w:hAnsi="黑体" w:eastAsia="黑体" w:cs="黑体"/>
          <w:b/>
          <w:sz w:val="32"/>
          <w:szCs w:val="32"/>
          <w:lang w:eastAsia="zh-CN"/>
        </w:rPr>
      </w:pPr>
      <w:bookmarkStart w:id="32" w:name="_Toc19698501"/>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Cs/>
          <w:sz w:val="32"/>
          <w:szCs w:val="32"/>
          <w:lang w:eastAsia="zh-CN"/>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 xml:space="preserve"> </w:t>
      </w:r>
      <w:r>
        <w:rPr>
          <w:rFonts w:hint="eastAsia" w:ascii="黑体" w:hAnsi="黑体" w:eastAsia="黑体" w:cs="黑体"/>
          <w:bCs/>
          <w:sz w:val="32"/>
          <w:szCs w:val="32"/>
          <w:lang w:eastAsia="zh-CN"/>
        </w:rPr>
        <w:t>合同编号：</w:t>
      </w: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jc w:val="both"/>
        <w:rPr>
          <w:rFonts w:hint="eastAsia" w:ascii="黑体" w:hAnsi="黑体" w:eastAsia="黑体" w:cs="黑体"/>
          <w:b/>
          <w:sz w:val="32"/>
          <w:szCs w:val="32"/>
          <w:lang w:eastAsia="zh-CN"/>
        </w:rPr>
      </w:pPr>
    </w:p>
    <w:p>
      <w:pPr>
        <w:spacing w:line="560" w:lineRule="exact"/>
        <w:ind w:firstLine="643" w:firstLineChars="200"/>
        <w:jc w:val="center"/>
        <w:rPr>
          <w:rFonts w:hint="eastAsia" w:ascii="黑体" w:hAnsi="黑体" w:eastAsia="黑体" w:cs="黑体"/>
          <w:b/>
          <w:sz w:val="32"/>
          <w:szCs w:val="32"/>
          <w:lang w:eastAsia="zh-CN"/>
        </w:rPr>
      </w:pPr>
    </w:p>
    <w:p>
      <w:pPr>
        <w:spacing w:line="560" w:lineRule="exact"/>
        <w:ind w:firstLine="880" w:firstLineChars="200"/>
        <w:jc w:val="center"/>
        <w:rPr>
          <w:rFonts w:ascii="方正小标宋简体" w:hAnsi="仿宋" w:eastAsia="方正小标宋简体"/>
          <w:bCs/>
          <w:sz w:val="44"/>
          <w:szCs w:val="44"/>
          <w:lang w:eastAsia="zh-CN"/>
        </w:rPr>
      </w:pPr>
      <w:r>
        <w:rPr>
          <w:rFonts w:hint="eastAsia" w:ascii="方正小标宋简体" w:hAnsi="仿宋" w:eastAsia="方正小标宋简体"/>
          <w:bCs/>
          <w:sz w:val="44"/>
          <w:szCs w:val="44"/>
          <w:lang w:eastAsia="zh-CN"/>
        </w:rPr>
        <w:t>杭州萧山国际机场</w:t>
      </w:r>
      <w:r>
        <w:rPr>
          <w:rFonts w:hint="eastAsia" w:ascii="方正小标宋简体" w:hAnsi="仿宋" w:eastAsia="方正小标宋简体"/>
          <w:bCs/>
          <w:sz w:val="44"/>
          <w:szCs w:val="44"/>
          <w:lang w:val="en-US" w:eastAsia="zh-CN"/>
        </w:rPr>
        <w:t>隧道西一体化泵站潜污泵采购</w:t>
      </w:r>
      <w:r>
        <w:rPr>
          <w:rFonts w:hint="eastAsia" w:ascii="方正小标宋简体" w:hAnsi="仿宋" w:eastAsia="方正小标宋简体"/>
          <w:bCs/>
          <w:sz w:val="44"/>
          <w:szCs w:val="44"/>
          <w:lang w:eastAsia="zh-CN"/>
        </w:rPr>
        <w:t>项目合同</w:t>
      </w:r>
    </w:p>
    <w:p>
      <w:pPr>
        <w:spacing w:line="560" w:lineRule="exact"/>
        <w:ind w:firstLine="880" w:firstLineChars="200"/>
        <w:jc w:val="center"/>
        <w:rPr>
          <w:rFonts w:ascii="方正小标宋简体" w:hAnsi="仿宋" w:eastAsia="方正小标宋简体"/>
          <w:bCs/>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spacing w:line="560" w:lineRule="exact"/>
        <w:ind w:firstLine="883" w:firstLineChars="200"/>
        <w:jc w:val="center"/>
        <w:rPr>
          <w:rFonts w:ascii="方正小标宋简体" w:hAnsi="仿宋" w:eastAsia="方正小标宋简体"/>
          <w:b/>
          <w:sz w:val="44"/>
          <w:szCs w:val="44"/>
          <w:lang w:eastAsia="zh-CN"/>
        </w:rPr>
      </w:pPr>
    </w:p>
    <w:p>
      <w:pPr>
        <w:pStyle w:val="42"/>
        <w:keepNext w:val="0"/>
        <w:keepLines w:val="0"/>
        <w:pageBreakBefore w:val="0"/>
        <w:kinsoku/>
        <w:wordWrap/>
        <w:overflowPunct/>
        <w:topLinePunct w:val="0"/>
        <w:autoSpaceDE/>
        <w:autoSpaceDN/>
        <w:bidi w:val="0"/>
        <w:adjustRightInd w:val="0"/>
        <w:snapToGrid w:val="0"/>
        <w:spacing w:after="0" w:afterLines="100" w:line="240" w:lineRule="auto"/>
        <w:rPr>
          <w:rStyle w:val="16"/>
          <w:rFonts w:hint="eastAsia" w:ascii="宋体" w:hAnsi="宋体" w:cs="宋体" w:eastAsiaTheme="minorEastAsia"/>
          <w:b/>
          <w:color w:val="auto"/>
          <w:sz w:val="23"/>
          <w:szCs w:val="23"/>
          <w:highlight w:val="none"/>
        </w:rPr>
      </w:pPr>
    </w:p>
    <w:p>
      <w:pPr>
        <w:pStyle w:val="42"/>
        <w:keepNext w:val="0"/>
        <w:keepLines w:val="0"/>
        <w:pageBreakBefore w:val="0"/>
        <w:kinsoku/>
        <w:wordWrap/>
        <w:overflowPunct/>
        <w:topLinePunct w:val="0"/>
        <w:autoSpaceDE/>
        <w:autoSpaceDN/>
        <w:bidi w:val="0"/>
        <w:adjustRightInd w:val="0"/>
        <w:snapToGrid w:val="0"/>
        <w:spacing w:after="0" w:afterLines="100" w:line="240" w:lineRule="auto"/>
        <w:rPr>
          <w:rStyle w:val="16"/>
          <w:rFonts w:hint="eastAsia" w:ascii="宋体" w:hAnsi="宋体" w:cs="宋体" w:eastAsiaTheme="minorEastAsia"/>
          <w:b/>
          <w:color w:val="auto"/>
          <w:sz w:val="23"/>
          <w:szCs w:val="23"/>
          <w:highlight w:val="none"/>
        </w:rPr>
      </w:pPr>
    </w:p>
    <w:p>
      <w:pPr>
        <w:pStyle w:val="42"/>
        <w:keepNext w:val="0"/>
        <w:keepLines w:val="0"/>
        <w:pageBreakBefore w:val="0"/>
        <w:kinsoku/>
        <w:wordWrap/>
        <w:overflowPunct/>
        <w:topLinePunct w:val="0"/>
        <w:autoSpaceDE/>
        <w:autoSpaceDN/>
        <w:bidi w:val="0"/>
        <w:adjustRightInd w:val="0"/>
        <w:snapToGrid w:val="0"/>
        <w:spacing w:after="0" w:afterLines="100" w:line="240" w:lineRule="auto"/>
        <w:rPr>
          <w:rStyle w:val="16"/>
          <w:rFonts w:hint="eastAsia" w:ascii="宋体" w:hAnsi="宋体" w:cs="宋体" w:eastAsiaTheme="minorEastAsia"/>
          <w:b/>
          <w:color w:val="auto"/>
          <w:sz w:val="23"/>
          <w:szCs w:val="23"/>
          <w:highlight w:val="none"/>
        </w:rPr>
      </w:pPr>
    </w:p>
    <w:p>
      <w:pPr>
        <w:pStyle w:val="42"/>
        <w:keepNext w:val="0"/>
        <w:keepLines w:val="0"/>
        <w:pageBreakBefore w:val="0"/>
        <w:kinsoku/>
        <w:wordWrap/>
        <w:overflowPunct/>
        <w:topLinePunct w:val="0"/>
        <w:autoSpaceDE/>
        <w:autoSpaceDN/>
        <w:bidi w:val="0"/>
        <w:adjustRightInd w:val="0"/>
        <w:snapToGrid w:val="0"/>
        <w:spacing w:after="0" w:afterLines="100" w:line="240" w:lineRule="auto"/>
        <w:rPr>
          <w:rStyle w:val="16"/>
          <w:rFonts w:hint="eastAsia" w:ascii="宋体" w:hAnsi="宋体" w:cs="宋体" w:eastAsiaTheme="minorEastAsia"/>
          <w:b/>
          <w:color w:val="auto"/>
          <w:sz w:val="23"/>
          <w:szCs w:val="23"/>
          <w:highlight w:val="none"/>
        </w:rPr>
      </w:pPr>
    </w:p>
    <w:p>
      <w:pPr>
        <w:pStyle w:val="42"/>
        <w:keepNext w:val="0"/>
        <w:keepLines w:val="0"/>
        <w:pageBreakBefore w:val="0"/>
        <w:kinsoku/>
        <w:wordWrap/>
        <w:overflowPunct/>
        <w:topLinePunct w:val="0"/>
        <w:autoSpaceDE/>
        <w:autoSpaceDN/>
        <w:bidi w:val="0"/>
        <w:adjustRightInd w:val="0"/>
        <w:snapToGrid w:val="0"/>
        <w:spacing w:after="0" w:afterLines="100" w:line="240" w:lineRule="auto"/>
        <w:rPr>
          <w:rStyle w:val="16"/>
          <w:rFonts w:hint="eastAsia" w:ascii="宋体" w:hAnsi="宋体" w:cs="宋体" w:eastAsiaTheme="minorEastAsia"/>
          <w:b/>
          <w:color w:val="auto"/>
          <w:sz w:val="23"/>
          <w:szCs w:val="23"/>
          <w:highlight w:val="none"/>
        </w:rPr>
      </w:pPr>
    </w:p>
    <w:p>
      <w:pPr>
        <w:pStyle w:val="42"/>
        <w:keepNext w:val="0"/>
        <w:keepLines w:val="0"/>
        <w:pageBreakBefore w:val="0"/>
        <w:kinsoku/>
        <w:wordWrap/>
        <w:overflowPunct/>
        <w:topLinePunct w:val="0"/>
        <w:autoSpaceDE/>
        <w:autoSpaceDN/>
        <w:bidi w:val="0"/>
        <w:adjustRightInd w:val="0"/>
        <w:snapToGrid w:val="0"/>
        <w:spacing w:after="0" w:afterLines="100" w:line="240" w:lineRule="auto"/>
        <w:rPr>
          <w:rStyle w:val="16"/>
          <w:rFonts w:hint="eastAsia" w:ascii="宋体" w:hAnsi="宋体" w:cs="宋体" w:eastAsiaTheme="minorEastAsia"/>
          <w:b/>
          <w:color w:val="auto"/>
          <w:sz w:val="23"/>
          <w:szCs w:val="23"/>
          <w:highlight w:val="none"/>
        </w:rPr>
      </w:pPr>
      <w:r>
        <w:rPr>
          <w:rStyle w:val="16"/>
          <w:rFonts w:hint="eastAsia" w:ascii="宋体" w:hAnsi="宋体" w:cs="宋体" w:eastAsiaTheme="minorEastAsia"/>
          <w:b/>
          <w:color w:val="auto"/>
          <w:sz w:val="23"/>
          <w:szCs w:val="23"/>
          <w:highlight w:val="none"/>
        </w:rPr>
        <w:t>甲方：杭州萧山国际机场有限公司</w:t>
      </w:r>
    </w:p>
    <w:p>
      <w:pPr>
        <w:pStyle w:val="42"/>
        <w:keepNext w:val="0"/>
        <w:keepLines w:val="0"/>
        <w:pageBreakBefore w:val="0"/>
        <w:kinsoku/>
        <w:wordWrap/>
        <w:overflowPunct/>
        <w:topLinePunct w:val="0"/>
        <w:autoSpaceDE/>
        <w:autoSpaceDN/>
        <w:bidi w:val="0"/>
        <w:adjustRightInd w:val="0"/>
        <w:snapToGrid w:val="0"/>
        <w:spacing w:after="0" w:afterLines="100" w:line="240" w:lineRule="auto"/>
        <w:rPr>
          <w:rStyle w:val="16"/>
          <w:rFonts w:hint="eastAsia" w:ascii="宋体" w:hAnsi="宋体" w:cs="宋体" w:eastAsiaTheme="minorEastAsia"/>
          <w:b/>
          <w:color w:val="auto"/>
          <w:sz w:val="23"/>
          <w:szCs w:val="23"/>
          <w:highlight w:val="none"/>
        </w:rPr>
      </w:pPr>
      <w:r>
        <w:rPr>
          <w:rStyle w:val="16"/>
          <w:rFonts w:hint="eastAsia" w:ascii="宋体" w:hAnsi="宋体" w:cs="宋体" w:eastAsiaTheme="minorEastAsia"/>
          <w:b/>
          <w:color w:val="auto"/>
          <w:sz w:val="23"/>
          <w:szCs w:val="23"/>
          <w:highlight w:val="none"/>
        </w:rPr>
        <w:t>住所地：杭州萧山国际机场内</w:t>
      </w:r>
    </w:p>
    <w:p>
      <w:pPr>
        <w:pStyle w:val="42"/>
        <w:keepNext w:val="0"/>
        <w:keepLines w:val="0"/>
        <w:pageBreakBefore w:val="0"/>
        <w:kinsoku/>
        <w:wordWrap/>
        <w:overflowPunct/>
        <w:topLinePunct w:val="0"/>
        <w:autoSpaceDE/>
        <w:autoSpaceDN/>
        <w:bidi w:val="0"/>
        <w:adjustRightInd w:val="0"/>
        <w:snapToGrid w:val="0"/>
        <w:spacing w:after="0" w:afterLines="100" w:line="240" w:lineRule="auto"/>
        <w:rPr>
          <w:rStyle w:val="16"/>
          <w:rFonts w:hint="eastAsia" w:ascii="宋体" w:hAnsi="宋体" w:cs="宋体" w:eastAsiaTheme="minorEastAsia"/>
          <w:b/>
          <w:color w:val="auto"/>
          <w:sz w:val="23"/>
          <w:szCs w:val="23"/>
          <w:highlight w:val="none"/>
        </w:rPr>
      </w:pPr>
      <w:r>
        <w:rPr>
          <w:rStyle w:val="16"/>
          <w:rFonts w:hint="eastAsia" w:ascii="宋体" w:hAnsi="宋体" w:cs="宋体" w:eastAsiaTheme="minorEastAsia"/>
          <w:b/>
          <w:color w:val="auto"/>
          <w:sz w:val="23"/>
          <w:szCs w:val="23"/>
          <w:highlight w:val="none"/>
        </w:rPr>
        <w:t>乙方:</w:t>
      </w:r>
    </w:p>
    <w:p>
      <w:pPr>
        <w:pStyle w:val="42"/>
        <w:keepNext w:val="0"/>
        <w:keepLines w:val="0"/>
        <w:pageBreakBefore w:val="0"/>
        <w:kinsoku/>
        <w:wordWrap/>
        <w:overflowPunct/>
        <w:topLinePunct w:val="0"/>
        <w:autoSpaceDE/>
        <w:autoSpaceDN/>
        <w:bidi w:val="0"/>
        <w:adjustRightInd w:val="0"/>
        <w:snapToGrid w:val="0"/>
        <w:spacing w:after="0" w:afterLines="100" w:line="240" w:lineRule="auto"/>
      </w:pPr>
      <w:r>
        <w:rPr>
          <w:rStyle w:val="16"/>
          <w:rFonts w:hint="eastAsia" w:ascii="宋体" w:hAnsi="宋体" w:cs="宋体" w:eastAsiaTheme="minorEastAsia"/>
          <w:b/>
          <w:color w:val="auto"/>
          <w:sz w:val="23"/>
          <w:szCs w:val="23"/>
          <w:highlight w:val="none"/>
        </w:rPr>
        <w:t>住所地:</w:t>
      </w:r>
    </w:p>
    <w:p>
      <w:pPr>
        <w:pStyle w:val="42"/>
        <w:keepNext w:val="0"/>
        <w:keepLines w:val="0"/>
        <w:pageBreakBefore w:val="0"/>
        <w:kinsoku/>
        <w:wordWrap/>
        <w:overflowPunct/>
        <w:topLinePunct w:val="0"/>
        <w:autoSpaceDE/>
        <w:autoSpaceDN/>
        <w:bidi w:val="0"/>
        <w:adjustRightInd w:val="0"/>
        <w:snapToGrid w:val="0"/>
        <w:spacing w:after="0" w:afterLines="100" w:line="240" w:lineRule="auto"/>
        <w:ind w:firstLine="460" w:firstLineChars="200"/>
        <w:rPr>
          <w:rStyle w:val="16"/>
          <w:rFonts w:hint="eastAsia" w:ascii="宋体" w:hAnsi="宋体" w:cs="宋体" w:eastAsiaTheme="minorEastAsia"/>
          <w:color w:val="auto"/>
          <w:sz w:val="23"/>
          <w:szCs w:val="23"/>
          <w:highlight w:val="none"/>
        </w:rPr>
      </w:pPr>
      <w:r>
        <w:rPr>
          <w:rStyle w:val="16"/>
          <w:rFonts w:hint="eastAsia" w:ascii="宋体" w:hAnsi="宋体" w:cs="宋体" w:eastAsiaTheme="minorEastAsia"/>
          <w:color w:val="auto"/>
          <w:sz w:val="23"/>
          <w:szCs w:val="23"/>
          <w:highlight w:val="none"/>
        </w:rPr>
        <w:t>甲、乙双方根据《中华人民共和国</w:t>
      </w:r>
      <w:r>
        <w:rPr>
          <w:rStyle w:val="16"/>
          <w:rFonts w:hint="eastAsia" w:ascii="宋体" w:hAnsi="宋体" w:cs="宋体" w:eastAsiaTheme="minorEastAsia"/>
          <w:color w:val="auto"/>
          <w:sz w:val="23"/>
          <w:szCs w:val="23"/>
          <w:highlight w:val="none"/>
          <w:lang w:eastAsia="zh-CN"/>
        </w:rPr>
        <w:t>民法典</w:t>
      </w:r>
      <w:r>
        <w:rPr>
          <w:rStyle w:val="16"/>
          <w:rFonts w:hint="eastAsia" w:ascii="宋体" w:hAnsi="宋体" w:cs="宋体" w:eastAsiaTheme="minorEastAsia"/>
          <w:color w:val="auto"/>
          <w:sz w:val="23"/>
          <w:szCs w:val="23"/>
          <w:highlight w:val="none"/>
        </w:rPr>
        <w:t>》等相关法律法规，就相关货物采购事宜，在互利、平等的原则基础上，经协商一致，特签订本合同，以共同遵守。</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lang w:val="en-US" w:eastAsia="zh-CN"/>
        </w:rPr>
        <w:t>一、</w:t>
      </w:r>
      <w:r>
        <w:rPr>
          <w:rFonts w:hint="eastAsia" w:ascii="Times New Roman" w:hAnsi="Times New Roman" w:cs="Times New Roman" w:eastAsiaTheme="minorEastAsia"/>
          <w:b/>
          <w:color w:val="auto"/>
          <w:sz w:val="23"/>
          <w:szCs w:val="23"/>
          <w:highlight w:val="none"/>
        </w:rPr>
        <w:t>商品名称、种类、规格、单位、数量、金额</w:t>
      </w:r>
    </w:p>
    <w:tbl>
      <w:tblPr>
        <w:tblStyle w:val="14"/>
        <w:tblpPr w:leftFromText="180" w:rightFromText="180" w:vertAnchor="text" w:horzAnchor="page" w:tblpX="528" w:tblpY="540"/>
        <w:tblOverlap w:val="never"/>
        <w:tblW w:w="112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421"/>
        <w:gridCol w:w="1635"/>
        <w:gridCol w:w="855"/>
        <w:gridCol w:w="885"/>
        <w:gridCol w:w="1050"/>
        <w:gridCol w:w="1633"/>
        <w:gridCol w:w="1592"/>
        <w:gridCol w:w="1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41" w:type="dxa"/>
            <w:vAlign w:val="center"/>
          </w:tcPr>
          <w:p>
            <w:pPr>
              <w:pStyle w:val="21"/>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序号</w:t>
            </w:r>
          </w:p>
        </w:tc>
        <w:tc>
          <w:tcPr>
            <w:tcW w:w="1421" w:type="dxa"/>
            <w:vAlign w:val="center"/>
          </w:tcPr>
          <w:p>
            <w:pPr>
              <w:pStyle w:val="21"/>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品名</w:t>
            </w:r>
          </w:p>
        </w:tc>
        <w:tc>
          <w:tcPr>
            <w:tcW w:w="1635" w:type="dxa"/>
            <w:vAlign w:val="center"/>
          </w:tcPr>
          <w:p>
            <w:pPr>
              <w:pStyle w:val="21"/>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规格/型号</w:t>
            </w:r>
          </w:p>
        </w:tc>
        <w:tc>
          <w:tcPr>
            <w:tcW w:w="855" w:type="dxa"/>
            <w:vAlign w:val="center"/>
          </w:tcPr>
          <w:p>
            <w:pPr>
              <w:pStyle w:val="21"/>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单位</w:t>
            </w:r>
          </w:p>
        </w:tc>
        <w:tc>
          <w:tcPr>
            <w:tcW w:w="885" w:type="dxa"/>
            <w:vAlign w:val="center"/>
          </w:tcPr>
          <w:p>
            <w:pPr>
              <w:pStyle w:val="21"/>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lang w:eastAsia="zh-CN"/>
              </w:rPr>
            </w:pPr>
            <w:r>
              <w:rPr>
                <w:rFonts w:hint="eastAsia" w:ascii="仿宋_GB2312" w:hAnsi="仿宋_GB2312" w:eastAsia="仿宋_GB2312" w:cs="仿宋_GB2312"/>
                <w:b/>
                <w:color w:val="auto"/>
                <w:sz w:val="28"/>
                <w:szCs w:val="28"/>
              </w:rPr>
              <w:t>数量</w:t>
            </w:r>
          </w:p>
        </w:tc>
        <w:tc>
          <w:tcPr>
            <w:tcW w:w="1050" w:type="dxa"/>
            <w:vAlign w:val="center"/>
          </w:tcPr>
          <w:p>
            <w:pPr>
              <w:pStyle w:val="21"/>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品牌</w:t>
            </w:r>
          </w:p>
        </w:tc>
        <w:tc>
          <w:tcPr>
            <w:tcW w:w="1633" w:type="dxa"/>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w:t>
            </w:r>
            <w:r>
              <w:rPr>
                <w:rFonts w:hint="eastAsia" w:ascii="仿宋_GB2312" w:hAnsi="仿宋_GB2312" w:eastAsia="仿宋_GB2312" w:cs="仿宋_GB2312"/>
                <w:b/>
                <w:color w:val="auto"/>
                <w:sz w:val="28"/>
                <w:szCs w:val="28"/>
                <w:lang w:val="en-US" w:eastAsia="zh-CN"/>
              </w:rPr>
              <w:t>元，</w:t>
            </w:r>
            <w:r>
              <w:rPr>
                <w:rFonts w:hint="eastAsia" w:ascii="仿宋_GB2312" w:hAnsi="仿宋_GB2312" w:eastAsia="仿宋_GB2312" w:cs="仿宋_GB2312"/>
                <w:b/>
                <w:color w:val="auto"/>
                <w:sz w:val="28"/>
                <w:szCs w:val="28"/>
              </w:rPr>
              <w:t>不含税）</w:t>
            </w:r>
          </w:p>
        </w:tc>
        <w:tc>
          <w:tcPr>
            <w:tcW w:w="1592" w:type="dxa"/>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rPr>
              <w:t>单价（元，含税）</w:t>
            </w:r>
          </w:p>
        </w:tc>
        <w:tc>
          <w:tcPr>
            <w:tcW w:w="1481" w:type="dxa"/>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color w:val="auto"/>
                <w:sz w:val="28"/>
                <w:szCs w:val="28"/>
              </w:rPr>
            </w:pPr>
            <w:r>
              <w:rPr>
                <w:rFonts w:hint="eastAsia" w:ascii="仿宋_GB2312" w:hAnsi="仿宋_GB2312" w:eastAsia="仿宋_GB2312" w:cs="仿宋_GB2312"/>
                <w:b/>
                <w:color w:val="auto"/>
                <w:sz w:val="28"/>
                <w:szCs w:val="28"/>
                <w:lang w:eastAsia="zh-CN"/>
              </w:rPr>
              <w:t>合</w:t>
            </w:r>
            <w:r>
              <w:rPr>
                <w:rFonts w:hint="eastAsia" w:ascii="仿宋_GB2312" w:hAnsi="仿宋_GB2312" w:eastAsia="仿宋_GB2312" w:cs="仿宋_GB2312"/>
                <w:b/>
                <w:color w:val="auto"/>
                <w:sz w:val="28"/>
                <w:szCs w:val="28"/>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trPr>
        <w:tc>
          <w:tcPr>
            <w:tcW w:w="741" w:type="dxa"/>
            <w:vAlign w:val="center"/>
          </w:tcPr>
          <w:p>
            <w:pPr>
              <w:pStyle w:val="21"/>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1</w:t>
            </w:r>
          </w:p>
        </w:tc>
        <w:tc>
          <w:tcPr>
            <w:tcW w:w="1421" w:type="dxa"/>
            <w:vAlign w:val="center"/>
          </w:tcPr>
          <w:p>
            <w:pPr>
              <w:keepNext w:val="0"/>
              <w:keepLines w:val="0"/>
              <w:pageBreakBefore w:val="0"/>
              <w:kinsoku/>
              <w:wordWrap/>
              <w:overflowPunct/>
              <w:topLinePunct w:val="0"/>
              <w:autoSpaceDE/>
              <w:autoSpaceDN/>
              <w:bidi w:val="0"/>
              <w:adjustRightInd w:val="0"/>
              <w:snapToGrid w:val="0"/>
              <w:spacing w:after="0" w:afterLines="100" w:line="560" w:lineRule="exact"/>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潜污泵</w:t>
            </w:r>
          </w:p>
        </w:tc>
        <w:tc>
          <w:tcPr>
            <w:tcW w:w="1635" w:type="dxa"/>
            <w:vAlign w:val="center"/>
          </w:tcPr>
          <w:p>
            <w:pPr>
              <w:keepNext w:val="0"/>
              <w:keepLines w:val="0"/>
              <w:pageBreakBefore w:val="0"/>
              <w:widowControl/>
              <w:suppressLineNumbers w:val="0"/>
              <w:kinsoku/>
              <w:wordWrap/>
              <w:overflowPunct/>
              <w:topLinePunct w:val="0"/>
              <w:autoSpaceDE/>
              <w:autoSpaceDN/>
              <w:bidi w:val="0"/>
              <w:spacing w:after="0" w:afterLines="100"/>
              <w:jc w:val="center"/>
              <w:textAlignment w:val="center"/>
              <w:rPr>
                <w:rFonts w:hint="eastAsia" w:ascii="仿宋_GB2312" w:hAnsi="仿宋_GB2312" w:eastAsia="仿宋_GB2312" w:cs="仿宋_GB2312"/>
                <w:color w:val="auto"/>
                <w:kern w:val="2"/>
                <w:sz w:val="28"/>
                <w:szCs w:val="28"/>
                <w:lang w:val="en-US" w:eastAsia="zh-CN" w:bidi="ar-SA"/>
              </w:rPr>
            </w:pPr>
          </w:p>
        </w:tc>
        <w:tc>
          <w:tcPr>
            <w:tcW w:w="855" w:type="dxa"/>
            <w:vAlign w:val="center"/>
          </w:tcPr>
          <w:p>
            <w:pPr>
              <w:keepNext w:val="0"/>
              <w:keepLines w:val="0"/>
              <w:pageBreakBefore w:val="0"/>
              <w:widowControl/>
              <w:suppressLineNumbers w:val="0"/>
              <w:kinsoku/>
              <w:wordWrap/>
              <w:overflowPunct/>
              <w:topLinePunct w:val="0"/>
              <w:autoSpaceDE/>
              <w:autoSpaceDN/>
              <w:bidi w:val="0"/>
              <w:spacing w:after="0" w:afterLines="10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台</w:t>
            </w:r>
          </w:p>
        </w:tc>
        <w:tc>
          <w:tcPr>
            <w:tcW w:w="885" w:type="dxa"/>
            <w:vAlign w:val="center"/>
          </w:tcPr>
          <w:p>
            <w:pPr>
              <w:keepNext w:val="0"/>
              <w:keepLines w:val="0"/>
              <w:pageBreakBefore w:val="0"/>
              <w:widowControl/>
              <w:suppressLineNumbers w:val="0"/>
              <w:kinsoku/>
              <w:wordWrap/>
              <w:overflowPunct/>
              <w:topLinePunct w:val="0"/>
              <w:autoSpaceDE/>
              <w:autoSpaceDN/>
              <w:bidi w:val="0"/>
              <w:spacing w:after="0" w:afterLines="100"/>
              <w:jc w:val="center"/>
              <w:textAlignment w:val="center"/>
              <w:rPr>
                <w:rFonts w:hint="eastAsia" w:ascii="仿宋_GB2312" w:hAnsi="仿宋_GB2312" w:eastAsia="仿宋_GB2312" w:cs="仿宋_GB2312"/>
                <w:color w:val="auto"/>
                <w:kern w:val="2"/>
                <w:sz w:val="28"/>
                <w:szCs w:val="28"/>
                <w:lang w:val="en-US" w:eastAsia="zh-CN" w:bidi="ar-SA"/>
              </w:rPr>
            </w:pPr>
            <w:r>
              <w:rPr>
                <w:rFonts w:hint="eastAsia" w:ascii="仿宋_GB2312" w:hAnsi="仿宋_GB2312" w:eastAsia="仿宋_GB2312" w:cs="仿宋_GB2312"/>
                <w:color w:val="auto"/>
                <w:kern w:val="2"/>
                <w:sz w:val="28"/>
                <w:szCs w:val="28"/>
                <w:lang w:val="en-US" w:eastAsia="zh-CN" w:bidi="ar-SA"/>
              </w:rPr>
              <w:t>3</w:t>
            </w:r>
          </w:p>
        </w:tc>
        <w:tc>
          <w:tcPr>
            <w:tcW w:w="1050" w:type="dxa"/>
            <w:vAlign w:val="center"/>
          </w:tcPr>
          <w:p>
            <w:pPr>
              <w:keepNext w:val="0"/>
              <w:keepLines w:val="0"/>
              <w:pageBreakBefore w:val="0"/>
              <w:widowControl/>
              <w:suppressLineNumbers w:val="0"/>
              <w:kinsoku/>
              <w:wordWrap/>
              <w:overflowPunct/>
              <w:topLinePunct w:val="0"/>
              <w:autoSpaceDE/>
              <w:autoSpaceDN/>
              <w:bidi w:val="0"/>
              <w:spacing w:after="0" w:afterLines="100"/>
              <w:jc w:val="center"/>
              <w:textAlignment w:val="center"/>
              <w:rPr>
                <w:rFonts w:hint="eastAsia" w:ascii="仿宋_GB2312" w:hAnsi="仿宋_GB2312" w:eastAsia="仿宋_GB2312" w:cs="仿宋_GB2312"/>
                <w:color w:val="auto"/>
                <w:sz w:val="28"/>
                <w:szCs w:val="28"/>
              </w:rPr>
            </w:pPr>
          </w:p>
        </w:tc>
        <w:tc>
          <w:tcPr>
            <w:tcW w:w="1633" w:type="dxa"/>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color w:val="auto"/>
                <w:sz w:val="28"/>
                <w:szCs w:val="28"/>
              </w:rPr>
            </w:pPr>
          </w:p>
        </w:tc>
        <w:tc>
          <w:tcPr>
            <w:tcW w:w="1592" w:type="dxa"/>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color w:val="auto"/>
                <w:sz w:val="28"/>
                <w:szCs w:val="28"/>
              </w:rPr>
            </w:pPr>
          </w:p>
        </w:tc>
        <w:tc>
          <w:tcPr>
            <w:tcW w:w="1481" w:type="dxa"/>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不含税价格合计（元）</w:t>
            </w:r>
          </w:p>
        </w:tc>
        <w:tc>
          <w:tcPr>
            <w:tcW w:w="7496" w:type="dxa"/>
            <w:gridSpan w:val="6"/>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b/>
                <w:bCs w:val="0"/>
                <w:color w:val="auto"/>
                <w:kern w:val="2"/>
                <w:sz w:val="28"/>
                <w:szCs w:val="28"/>
              </w:rPr>
              <w:t>税金（元）</w:t>
            </w:r>
          </w:p>
        </w:tc>
        <w:tc>
          <w:tcPr>
            <w:tcW w:w="7496" w:type="dxa"/>
            <w:gridSpan w:val="6"/>
            <w:vAlign w:val="center"/>
          </w:tcPr>
          <w:p>
            <w:pPr>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bCs w:val="0"/>
                <w:color w:val="auto"/>
                <w:kern w:val="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797" w:type="dxa"/>
            <w:gridSpan w:val="3"/>
            <w:vAlign w:val="center"/>
          </w:tcPr>
          <w:p>
            <w:pPr>
              <w:pStyle w:val="22"/>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color w:val="auto"/>
                <w:sz w:val="28"/>
                <w:szCs w:val="28"/>
              </w:rPr>
            </w:pPr>
            <w:r>
              <w:rPr>
                <w:rFonts w:hint="eastAsia" w:ascii="仿宋_GB2312" w:hAnsi="仿宋_GB2312" w:eastAsia="仿宋_GB2312" w:cs="仿宋_GB2312"/>
                <w:b/>
                <w:bCs w:val="0"/>
                <w:color w:val="auto"/>
                <w:kern w:val="2"/>
                <w:sz w:val="28"/>
                <w:szCs w:val="28"/>
              </w:rPr>
              <w:t>价税合计（元）</w:t>
            </w:r>
          </w:p>
        </w:tc>
        <w:tc>
          <w:tcPr>
            <w:tcW w:w="7496" w:type="dxa"/>
            <w:gridSpan w:val="6"/>
            <w:vAlign w:val="center"/>
          </w:tcPr>
          <w:p>
            <w:pPr>
              <w:pStyle w:val="22"/>
              <w:keepNext w:val="0"/>
              <w:keepLines w:val="0"/>
              <w:pageBreakBefore w:val="0"/>
              <w:kinsoku/>
              <w:wordWrap/>
              <w:overflowPunct/>
              <w:topLinePunct w:val="0"/>
              <w:autoSpaceDE/>
              <w:autoSpaceDN/>
              <w:bidi w:val="0"/>
              <w:spacing w:after="0" w:afterLines="100" w:line="560" w:lineRule="exact"/>
              <w:jc w:val="center"/>
              <w:rPr>
                <w:rFonts w:hint="eastAsia" w:ascii="仿宋_GB2312" w:hAnsi="仿宋_GB2312" w:eastAsia="仿宋_GB2312" w:cs="仿宋_GB2312"/>
                <w:b/>
                <w:bCs w:val="0"/>
                <w:color w:val="auto"/>
                <w:sz w:val="28"/>
                <w:szCs w:val="28"/>
              </w:rPr>
            </w:pPr>
            <w:r>
              <w:rPr>
                <w:rFonts w:hint="eastAsia" w:ascii="仿宋_GB2312" w:hAnsi="仿宋_GB2312" w:eastAsia="仿宋_GB2312" w:cs="仿宋_GB2312"/>
                <w:b/>
                <w:bCs w:val="0"/>
                <w:color w:val="auto"/>
                <w:sz w:val="28"/>
                <w:szCs w:val="28"/>
              </w:rPr>
              <w:t>人民币大写     元，¥   .00</w:t>
            </w:r>
          </w:p>
        </w:tc>
      </w:tr>
    </w:tbl>
    <w:p>
      <w:pPr>
        <w:keepNext w:val="0"/>
        <w:keepLines w:val="0"/>
        <w:pageBreakBefore w:val="0"/>
        <w:kinsoku/>
        <w:wordWrap/>
        <w:overflowPunct/>
        <w:topLinePunct w:val="0"/>
        <w:autoSpaceDE/>
        <w:autoSpaceDN/>
        <w:bidi w:val="0"/>
        <w:spacing w:after="0" w:afterLines="100" w:line="560" w:lineRule="exact"/>
        <w:jc w:val="both"/>
        <w:rPr>
          <w:rFonts w:ascii="仿宋_GB2312" w:hAnsi="仿宋_GB2312" w:eastAsia="仿宋_GB2312" w:cs="仿宋_GB2312"/>
          <w:b/>
          <w:bCs/>
          <w:sz w:val="28"/>
          <w:szCs w:val="28"/>
        </w:rPr>
      </w:pP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二、合同总金额</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val="en-US" w:eastAsia="zh-CN"/>
        </w:rPr>
        <w:t>1、</w:t>
      </w:r>
      <w:r>
        <w:rPr>
          <w:rFonts w:hint="eastAsia" w:ascii="Times New Roman" w:hAnsi="Times New Roman" w:cs="Times New Roman" w:eastAsiaTheme="minorEastAsia"/>
          <w:color w:val="auto"/>
          <w:sz w:val="23"/>
          <w:szCs w:val="23"/>
          <w:highlight w:val="none"/>
          <w:lang w:eastAsia="zh-CN"/>
        </w:rPr>
        <w:t>本合同总金额为（大写）：人民币    ，（小写）¥       。</w:t>
      </w:r>
      <w:r>
        <w:rPr>
          <w:rFonts w:hint="eastAsia" w:ascii="Times New Roman" w:hAnsi="Times New Roman" w:cs="Times New Roman" w:eastAsiaTheme="minorEastAsia"/>
          <w:color w:val="auto"/>
          <w:sz w:val="23"/>
          <w:szCs w:val="23"/>
          <w:highlight w:val="none"/>
        </w:rPr>
        <w:t xml:space="preserve">增值税税率为    ，不含税总金额为人民币      ，税额为人民币  </w:t>
      </w:r>
      <w:r>
        <w:rPr>
          <w:rFonts w:hint="eastAsia" w:ascii="Times New Roman" w:hAnsi="Times New Roman" w:cs="Times New Roman" w:eastAsiaTheme="minorEastAsia"/>
          <w:color w:val="auto"/>
          <w:sz w:val="23"/>
          <w:szCs w:val="23"/>
          <w:highlight w:val="none"/>
          <w:lang w:val="en-US" w:eastAsia="zh-CN"/>
        </w:rPr>
        <w:t xml:space="preserve"> </w:t>
      </w:r>
      <w:r>
        <w:rPr>
          <w:rFonts w:hint="eastAsia" w:ascii="Times New Roman" w:hAnsi="Times New Roman" w:cs="Times New Roman" w:eastAsiaTheme="minorEastAsia"/>
          <w:color w:val="auto"/>
          <w:sz w:val="23"/>
          <w:szCs w:val="23"/>
          <w:highlight w:val="none"/>
          <w:lang w:eastAsia="zh-CN"/>
        </w:rPr>
        <w:t>。本合同总金额为杭州萧山国际机场内交货价，含货物价格、运输费、包装费、保险费、安装费（含安装所需耗材费用）、调试费、税费等所有费用。甲方不再承担其他任何费用。</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lang w:eastAsia="zh-CN"/>
        </w:rPr>
      </w:pPr>
      <w:r>
        <w:rPr>
          <w:rFonts w:hint="eastAsia" w:ascii="Times New Roman" w:hAnsi="Times New Roman" w:cs="Times New Roman" w:eastAsiaTheme="minorEastAsia"/>
          <w:color w:val="auto"/>
          <w:sz w:val="23"/>
          <w:szCs w:val="23"/>
          <w:highlight w:val="none"/>
          <w:lang w:val="en-US" w:eastAsia="zh-CN"/>
        </w:rPr>
        <w:t>2、</w:t>
      </w:r>
      <w:r>
        <w:rPr>
          <w:rFonts w:hint="eastAsia" w:ascii="Times New Roman" w:hAnsi="Times New Roman" w:cs="Times New Roman" w:eastAsiaTheme="minorEastAsia"/>
          <w:color w:val="auto"/>
          <w:sz w:val="23"/>
          <w:szCs w:val="23"/>
          <w:highlight w:val="none"/>
          <w:lang w:eastAsia="zh-CN"/>
        </w:rPr>
        <w:t>在合同有效期限内，若因国家税收政策调整而引起的增值税税率变化的，应按照国家税收政策调整，合同总金额变更为原合同不含增值税货物或劳务价格与调整后税率计算税额的合计金额。</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三、技术资料</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1、乙方应在交付合同货物时同时向甲方提供使用货物的有关技术资料。</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b/>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四、知识产权</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pPr>
      <w:r>
        <w:rPr>
          <w:rFonts w:hint="eastAsia" w:ascii="Times New Roman" w:hAnsi="Times New Roman" w:cs="Times New Roman" w:eastAsiaTheme="minorEastAsia"/>
          <w:color w:val="auto"/>
          <w:sz w:val="23"/>
          <w:szCs w:val="23"/>
          <w:highlight w:val="none"/>
          <w:lang w:val="en-US" w:eastAsia="zh-CN"/>
        </w:rPr>
        <w:t>1、</w:t>
      </w:r>
      <w:r>
        <w:rPr>
          <w:rFonts w:hint="eastAsia" w:ascii="Times New Roman" w:hAnsi="Times New Roman" w:cs="Times New Roman" w:eastAsiaTheme="minorEastAsia"/>
          <w:color w:val="auto"/>
          <w:sz w:val="23"/>
          <w:szCs w:val="23"/>
          <w:highlight w:val="none"/>
          <w:lang w:eastAsia="zh-CN"/>
        </w:rPr>
        <w:t>乙方应保证所提供的货物或其任何一部分均不会侵犯任何第三方的知识产权等合法权益。如因乙方违反本条保证并导致甲方遭受损失的，甲方有权解除本合同，乙方须向甲方承担赔偿责任。</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五、产权担保</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color w:val="auto"/>
          <w:sz w:val="23"/>
          <w:szCs w:val="23"/>
          <w:highlight w:val="none"/>
          <w:lang w:val="en-US" w:eastAsia="zh-CN"/>
        </w:rPr>
        <w:t>1、</w:t>
      </w:r>
      <w:r>
        <w:rPr>
          <w:rFonts w:hint="eastAsia" w:ascii="Times New Roman" w:hAnsi="Times New Roman" w:cs="Times New Roman" w:eastAsiaTheme="minorEastAsia"/>
          <w:color w:val="auto"/>
          <w:sz w:val="23"/>
          <w:szCs w:val="23"/>
          <w:highlight w:val="none"/>
          <w:lang w:eastAsia="zh-CN"/>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六、转包或转让</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val="en-US" w:eastAsia="zh-CN"/>
        </w:rPr>
        <w:t>1、</w:t>
      </w:r>
      <w:r>
        <w:rPr>
          <w:rFonts w:hint="eastAsia" w:ascii="Times New Roman" w:hAnsi="Times New Roman" w:cs="Times New Roman" w:eastAsiaTheme="minorEastAsia"/>
          <w:color w:val="auto"/>
          <w:sz w:val="23"/>
          <w:szCs w:val="23"/>
          <w:highlight w:val="none"/>
          <w:lang w:eastAsia="zh-CN"/>
        </w:rPr>
        <w:t>本合同项下甲方采购的货物，必须由乙方直接供应；除非得到甲方的书面同意，乙方不得将本合同项下的货物全部或部分转包给第三方供应，不得将本合同项下权利义务转让给第三方。</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pPr>
      <w:r>
        <w:rPr>
          <w:rFonts w:hint="eastAsia" w:ascii="Times New Roman" w:hAnsi="Times New Roman" w:cs="Times New Roman" w:eastAsiaTheme="minorEastAsia"/>
          <w:color w:val="auto"/>
          <w:sz w:val="23"/>
          <w:szCs w:val="23"/>
          <w:highlight w:val="none"/>
          <w:lang w:val="en-US" w:eastAsia="zh-CN"/>
        </w:rPr>
        <w:t>2、</w:t>
      </w:r>
      <w:r>
        <w:rPr>
          <w:rFonts w:hint="eastAsia" w:ascii="Times New Roman" w:hAnsi="Times New Roman" w:cs="Times New Roman" w:eastAsiaTheme="minorEastAsia"/>
          <w:color w:val="auto"/>
          <w:sz w:val="23"/>
          <w:szCs w:val="23"/>
          <w:highlight w:val="none"/>
          <w:lang w:eastAsia="zh-CN"/>
        </w:rPr>
        <w:t>如有未经甲方书面同意的转让和转包行为，甲方有权解除合同，并要求乙方承担合同总金额</w:t>
      </w:r>
      <w:r>
        <w:rPr>
          <w:rFonts w:hint="eastAsia" w:ascii="Times New Roman" w:hAnsi="Times New Roman" w:cs="Times New Roman" w:eastAsiaTheme="minorEastAsia"/>
          <w:color w:val="auto"/>
          <w:sz w:val="23"/>
          <w:szCs w:val="23"/>
          <w:highlight w:val="none"/>
          <w:u w:val="single"/>
          <w:lang w:eastAsia="zh-CN"/>
        </w:rPr>
        <w:t xml:space="preserve"> 5% </w:t>
      </w:r>
      <w:r>
        <w:rPr>
          <w:rFonts w:hint="eastAsia" w:ascii="Times New Roman" w:hAnsi="Times New Roman" w:cs="Times New Roman" w:eastAsiaTheme="minorEastAsia"/>
          <w:color w:val="auto"/>
          <w:sz w:val="23"/>
          <w:szCs w:val="23"/>
          <w:highlight w:val="none"/>
          <w:lang w:eastAsia="zh-CN"/>
        </w:rPr>
        <w:t>的违约金。</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七、货物包装、发运、运输及处理</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1、乙方应在货物发运前对其按满足运输距离、防潮、防震、防锈和防破损装卸等要求进行包装，以保证货物安全运达甲方指定地点。</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2、使用说明书、质量检验证明书、技术资料、随配附件和工具以及清单一并附于货物内同时向甲方交付。如资料不全的，视为乙方未完全履行交付义务。</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3、乙方在货物发运手续办理完毕后</w:t>
      </w:r>
      <w:r>
        <w:rPr>
          <w:rFonts w:hint="eastAsia" w:ascii="Times New Roman" w:hAnsi="Times New Roman" w:cs="Times New Roman" w:eastAsiaTheme="minorEastAsia"/>
          <w:color w:val="auto"/>
          <w:sz w:val="23"/>
          <w:szCs w:val="23"/>
          <w:highlight w:val="none"/>
          <w:u w:val="single"/>
          <w:lang w:val="en-US" w:eastAsia="zh-CN"/>
        </w:rPr>
        <w:t>24</w:t>
      </w:r>
      <w:r>
        <w:rPr>
          <w:rFonts w:hint="eastAsia" w:ascii="Times New Roman" w:hAnsi="Times New Roman" w:cs="Times New Roman" w:eastAsiaTheme="minorEastAsia"/>
          <w:color w:val="auto"/>
          <w:sz w:val="23"/>
          <w:szCs w:val="23"/>
          <w:highlight w:val="none"/>
          <w:lang w:eastAsia="zh-CN"/>
        </w:rPr>
        <w:t>小时内必须书面通知甲方，以便甲方准备接货。</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4、货物在本合同规定的交货地点交付甲方前发生的一切风险包括货物运输风险均由乙方负责。</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5、货物在规定的交付期限内由乙方送达甲方指定的交货地点并经甲方签收后视为交付，乙方同时必须在货物到达的当天立即通知甲方货物已送达。</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 xml:space="preserve">6、产品包装不符本合同规定时，乙方负责返修或者重新包装，并承担返修或者重新包装的费用。如甲方要求不返修或者不重新包装，乙方应按照不符本合同规定包装货物金额   </w:t>
      </w:r>
      <w:r>
        <w:rPr>
          <w:rFonts w:hint="eastAsia" w:ascii="Times New Roman" w:hAnsi="Times New Roman" w:cs="Times New Roman" w:eastAsiaTheme="minorEastAsia"/>
          <w:color w:val="auto"/>
          <w:sz w:val="23"/>
          <w:szCs w:val="23"/>
          <w:highlight w:val="none"/>
          <w:u w:val="single"/>
          <w:lang w:eastAsia="zh-CN"/>
        </w:rPr>
        <w:t xml:space="preserve">5 </w:t>
      </w:r>
      <w:r>
        <w:rPr>
          <w:rFonts w:hint="eastAsia" w:ascii="Times New Roman" w:hAnsi="Times New Roman" w:cs="Times New Roman" w:eastAsiaTheme="minorEastAsia"/>
          <w:color w:val="auto"/>
          <w:sz w:val="23"/>
          <w:szCs w:val="23"/>
          <w:highlight w:val="none"/>
          <w:lang w:eastAsia="zh-CN"/>
        </w:rPr>
        <w:t>%计算的违约金支付给甲方。</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八、交货期、交货方式及交货地点</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 交货期限：合同签订后</w:t>
      </w:r>
      <w:r>
        <w:rPr>
          <w:rFonts w:hint="eastAsia" w:ascii="Times New Roman" w:hAnsi="Times New Roman" w:cs="Times New Roman" w:eastAsiaTheme="minorEastAsia"/>
          <w:color w:val="auto"/>
          <w:sz w:val="23"/>
          <w:szCs w:val="23"/>
          <w:highlight w:val="none"/>
          <w:lang w:val="en-US" w:eastAsia="zh-CN"/>
        </w:rPr>
        <w:t>90</w:t>
      </w:r>
      <w:r>
        <w:rPr>
          <w:rFonts w:hint="eastAsia" w:ascii="Times New Roman" w:hAnsi="Times New Roman" w:cs="Times New Roman" w:eastAsiaTheme="minorEastAsia"/>
          <w:color w:val="auto"/>
          <w:sz w:val="23"/>
          <w:szCs w:val="23"/>
          <w:highlight w:val="none"/>
          <w:lang w:eastAsia="zh-CN"/>
        </w:rPr>
        <w:t>日历天内</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 交货方式：乙方送货上门</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lang w:eastAsia="zh-CN"/>
        </w:rPr>
      </w:pPr>
      <w:r>
        <w:rPr>
          <w:rFonts w:hint="eastAsia" w:ascii="Times New Roman" w:hAnsi="Times New Roman" w:cs="Times New Roman" w:eastAsiaTheme="minorEastAsia"/>
          <w:color w:val="auto"/>
          <w:sz w:val="23"/>
          <w:szCs w:val="23"/>
          <w:highlight w:val="none"/>
          <w:lang w:eastAsia="zh-CN"/>
        </w:rPr>
        <w:t>3. 交货地点：杭州萧山国际机场隧道西</w:t>
      </w:r>
      <w:r>
        <w:rPr>
          <w:rFonts w:hint="eastAsia" w:ascii="Times New Roman" w:hAnsi="Times New Roman" w:cs="Times New Roman" w:eastAsiaTheme="minorEastAsia"/>
          <w:color w:val="auto"/>
          <w:sz w:val="23"/>
          <w:szCs w:val="23"/>
          <w:highlight w:val="none"/>
          <w:lang w:val="en-US" w:eastAsia="zh-CN"/>
        </w:rPr>
        <w:t>一体化泵站</w:t>
      </w:r>
      <w:r>
        <w:rPr>
          <w:rFonts w:hint="eastAsia" w:ascii="Times New Roman" w:hAnsi="Times New Roman" w:cs="Times New Roman" w:eastAsiaTheme="minorEastAsia"/>
          <w:color w:val="auto"/>
          <w:sz w:val="23"/>
          <w:szCs w:val="23"/>
          <w:highlight w:val="none"/>
          <w:lang w:eastAsia="zh-CN"/>
        </w:rPr>
        <w:t>内</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九、货物验收</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在货物送达甲方指定地点的当天，甲方对乙方提交的货物依据甲方要求和国家有关质量标准进行现场外观检查，产品外观、说明书、产品合格证等资料符合甲方要求的，给予签收，外包装有破损、产品外观有损坏或者资料不全的，则不予签收，甲方有权拒绝接受货物。</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2、乙方交货前应对货物作出全面检查和对验收文件进行整理，并列出清单，作为甲方收货验收和使用的技术条件依据，乙方质量检验证书应随货物交甲方。</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3、甲方签收货物后如发现货物的品种、型号、规格、数量或质量不符合合同约定或相关质量要求，甲方应在签收之日起</w:t>
      </w:r>
      <w:r>
        <w:rPr>
          <w:rFonts w:hint="eastAsia" w:ascii="Times New Roman" w:hAnsi="Times New Roman" w:cs="Times New Roman" w:eastAsiaTheme="minorEastAsia"/>
          <w:color w:val="auto"/>
          <w:sz w:val="23"/>
          <w:szCs w:val="23"/>
          <w:highlight w:val="none"/>
          <w:u w:val="single"/>
          <w:lang w:eastAsia="zh-CN"/>
        </w:rPr>
        <w:t xml:space="preserve"> 七 </w:t>
      </w:r>
      <w:r>
        <w:rPr>
          <w:rFonts w:hint="eastAsia" w:ascii="Times New Roman" w:hAnsi="Times New Roman" w:cs="Times New Roman" w:eastAsiaTheme="minorEastAsia"/>
          <w:color w:val="auto"/>
          <w:sz w:val="23"/>
          <w:szCs w:val="23"/>
          <w:highlight w:val="none"/>
          <w:lang w:eastAsia="zh-CN"/>
        </w:rPr>
        <w:t>日内以书面或电话形式向乙方提出异议；乙方应当在收到甲方异议之日起</w:t>
      </w:r>
      <w:r>
        <w:rPr>
          <w:rFonts w:hint="eastAsia" w:ascii="Times New Roman" w:hAnsi="Times New Roman" w:cs="Times New Roman" w:eastAsiaTheme="minorEastAsia"/>
          <w:color w:val="auto"/>
          <w:sz w:val="23"/>
          <w:szCs w:val="23"/>
          <w:highlight w:val="none"/>
          <w:u w:val="single"/>
          <w:lang w:eastAsia="zh-CN"/>
        </w:rPr>
        <w:t xml:space="preserve"> 三 </w:t>
      </w:r>
      <w:r>
        <w:rPr>
          <w:rFonts w:hint="eastAsia" w:ascii="Times New Roman" w:hAnsi="Times New Roman" w:cs="Times New Roman" w:eastAsiaTheme="minorEastAsia"/>
          <w:color w:val="auto"/>
          <w:sz w:val="23"/>
          <w:szCs w:val="23"/>
          <w:highlight w:val="none"/>
          <w:lang w:eastAsia="zh-CN"/>
        </w:rPr>
        <w:t>日内作出答复或与甲方协商处理，或在</w:t>
      </w:r>
      <w:r>
        <w:rPr>
          <w:rFonts w:hint="eastAsia" w:ascii="Times New Roman" w:hAnsi="Times New Roman" w:cs="Times New Roman" w:eastAsiaTheme="minorEastAsia"/>
          <w:color w:val="auto"/>
          <w:sz w:val="23"/>
          <w:szCs w:val="23"/>
          <w:highlight w:val="none"/>
          <w:u w:val="single"/>
          <w:lang w:eastAsia="zh-CN"/>
        </w:rPr>
        <w:t xml:space="preserve"> 三 </w:t>
      </w:r>
      <w:r>
        <w:rPr>
          <w:rFonts w:hint="eastAsia" w:ascii="Times New Roman" w:hAnsi="Times New Roman" w:cs="Times New Roman" w:eastAsiaTheme="minorEastAsia"/>
          <w:color w:val="auto"/>
          <w:sz w:val="23"/>
          <w:szCs w:val="23"/>
          <w:highlight w:val="none"/>
          <w:lang w:eastAsia="zh-CN"/>
        </w:rPr>
        <w:t>日内直接按甲方要求进行无偿换货、补发短缺部分或降低合同总金额，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含安装、调试等）不符异议，则甲方在前述异议期限届满之日后  七  日内签署验收合格确认书。验收合格确认书并不免除乙方在本合同项下应当承担的质量保证责任以及售后服务的义务。</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十、货款支付</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乙方按照合同约定将货物安全运送到甲方指定交货地点,经甲方对所有合同规定货物（含安装、调试等）验收合格并收到乙方开具增值税专用发票后，【30】日内支付合同总额的95%，合同总金额的5%作为质保金，在质保期届满后【15】日内无息支付。</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2、乙方付款前，乙方应提供正规的符合本合同约定的发票，若乙方未按本合同约定提供发票的，甲方有权拒绝付款且不承担任何延期付款的责任。</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rPr>
      </w:pPr>
      <w:r>
        <w:rPr>
          <w:rFonts w:hint="eastAsia" w:ascii="Times New Roman" w:hAnsi="Times New Roman" w:cs="Times New Roman" w:eastAsiaTheme="minorEastAsia"/>
          <w:b/>
          <w:color w:val="auto"/>
          <w:sz w:val="23"/>
          <w:szCs w:val="23"/>
          <w:highlight w:val="none"/>
        </w:rPr>
        <w:t>十</w:t>
      </w:r>
      <w:r>
        <w:rPr>
          <w:rFonts w:hint="eastAsia" w:ascii="Times New Roman" w:hAnsi="Times New Roman" w:cs="Times New Roman" w:eastAsiaTheme="minorEastAsia"/>
          <w:b/>
          <w:color w:val="auto"/>
          <w:sz w:val="23"/>
          <w:szCs w:val="23"/>
          <w:highlight w:val="none"/>
          <w:lang w:eastAsia="zh-CN"/>
        </w:rPr>
        <w:t>一</w:t>
      </w:r>
      <w:r>
        <w:rPr>
          <w:rFonts w:hint="eastAsia" w:ascii="Times New Roman" w:hAnsi="Times New Roman" w:cs="Times New Roman" w:eastAsiaTheme="minorEastAsia"/>
          <w:b/>
          <w:color w:val="auto"/>
          <w:sz w:val="23"/>
          <w:szCs w:val="23"/>
          <w:highlight w:val="none"/>
        </w:rPr>
        <w:t>、免费质保期及服务内容</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1、乙方保证其所供应的货物符合相关货物质量标准，不存在任何质量瑕疵或因质量瑕疵而导致的安全隐患，且为未经使用的全新货物。</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2、乙方应为货物提供</w:t>
      </w:r>
      <w:r>
        <w:rPr>
          <w:rFonts w:hint="eastAsia" w:ascii="Times New Roman" w:hAnsi="Times New Roman" w:cs="Times New Roman" w:eastAsiaTheme="minorEastAsia"/>
          <w:color w:val="auto"/>
          <w:sz w:val="23"/>
          <w:szCs w:val="23"/>
          <w:highlight w:val="none"/>
          <w:u w:val="single"/>
          <w:lang w:eastAsia="zh-CN"/>
        </w:rPr>
        <w:t xml:space="preserve"> </w:t>
      </w:r>
      <w:r>
        <w:rPr>
          <w:rFonts w:hint="eastAsia" w:ascii="Times New Roman" w:hAnsi="Times New Roman" w:cs="Times New Roman" w:eastAsiaTheme="minorEastAsia"/>
          <w:color w:val="auto"/>
          <w:sz w:val="23"/>
          <w:szCs w:val="23"/>
          <w:highlight w:val="none"/>
          <w:u w:val="single"/>
          <w:lang w:val="en-US" w:eastAsia="zh-CN"/>
        </w:rPr>
        <w:t>12</w:t>
      </w:r>
      <w:r>
        <w:rPr>
          <w:rFonts w:hint="eastAsia" w:ascii="Times New Roman" w:hAnsi="Times New Roman" w:cs="Times New Roman" w:eastAsiaTheme="minorEastAsia"/>
          <w:color w:val="auto"/>
          <w:sz w:val="23"/>
          <w:szCs w:val="23"/>
          <w:highlight w:val="none"/>
          <w:lang w:eastAsia="zh-CN"/>
        </w:rPr>
        <w:t>个月的免费质保期(含工时费和零部件费)，时间自双方签收验收合格确认书之日起计算。</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default" w:ascii="Times New Roman" w:hAnsi="Times New Roman" w:cs="Times New Roman" w:eastAsiaTheme="minorEastAsia"/>
          <w:color w:val="auto"/>
          <w:sz w:val="23"/>
          <w:szCs w:val="23"/>
          <w:highlight w:val="none"/>
          <w:lang w:val="en-US" w:eastAsia="zh-CN"/>
        </w:rPr>
      </w:pPr>
      <w:r>
        <w:rPr>
          <w:rFonts w:hint="eastAsia" w:ascii="Times New Roman" w:hAnsi="Times New Roman" w:cs="Times New Roman" w:eastAsiaTheme="minorEastAsia"/>
          <w:color w:val="auto"/>
          <w:sz w:val="23"/>
          <w:szCs w:val="23"/>
          <w:highlight w:val="none"/>
          <w:lang w:val="en-US" w:eastAsia="zh-CN"/>
        </w:rPr>
        <w:t>3、乙方应为所供应产品的安装、调试及试运行提供免费服务，并对产品保修期内的质量及功能正常负责。</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val="en-US" w:eastAsia="zh-CN"/>
        </w:rPr>
        <w:t>4</w:t>
      </w:r>
      <w:r>
        <w:rPr>
          <w:rFonts w:hint="eastAsia" w:ascii="Times New Roman" w:hAnsi="Times New Roman" w:cs="Times New Roman" w:eastAsiaTheme="minorEastAsia"/>
          <w:color w:val="auto"/>
          <w:sz w:val="23"/>
          <w:szCs w:val="23"/>
          <w:highlight w:val="none"/>
          <w:lang w:eastAsia="zh-CN"/>
        </w:rPr>
        <w:t>、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val="en-US" w:eastAsia="zh-CN"/>
        </w:rPr>
        <w:t>5</w:t>
      </w:r>
      <w:r>
        <w:rPr>
          <w:rFonts w:hint="eastAsia" w:ascii="Times New Roman" w:hAnsi="Times New Roman" w:cs="Times New Roman" w:eastAsiaTheme="minorEastAsia"/>
          <w:color w:val="auto"/>
          <w:sz w:val="23"/>
          <w:szCs w:val="23"/>
          <w:highlight w:val="none"/>
          <w:lang w:eastAsia="zh-CN"/>
        </w:rPr>
        <w:t>、乙方负责对货物进行一次全面的返修，并由甲方验收认可。甲方验收认可并不免除乙方对于验收认可后发生的但尚在质保期限内的货物损坏的维修、退换货义务。</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val="en-US" w:eastAsia="zh-CN"/>
        </w:rPr>
        <w:t>6</w:t>
      </w:r>
      <w:r>
        <w:rPr>
          <w:rFonts w:hint="eastAsia" w:ascii="Times New Roman" w:hAnsi="Times New Roman" w:cs="Times New Roman" w:eastAsiaTheme="minorEastAsia"/>
          <w:color w:val="auto"/>
          <w:sz w:val="23"/>
          <w:szCs w:val="23"/>
          <w:highlight w:val="none"/>
          <w:lang w:eastAsia="zh-CN"/>
        </w:rPr>
        <w:t>、免费质保期结束的</w:t>
      </w:r>
      <w:r>
        <w:rPr>
          <w:rFonts w:hint="eastAsia" w:ascii="Times New Roman" w:hAnsi="Times New Roman" w:cs="Times New Roman" w:eastAsiaTheme="minorEastAsia"/>
          <w:color w:val="auto"/>
          <w:sz w:val="23"/>
          <w:szCs w:val="23"/>
          <w:highlight w:val="none"/>
          <w:u w:val="single"/>
          <w:lang w:eastAsia="zh-CN"/>
        </w:rPr>
        <w:t xml:space="preserve"> 15 </w:t>
      </w:r>
      <w:r>
        <w:rPr>
          <w:rFonts w:hint="eastAsia" w:ascii="Times New Roman" w:hAnsi="Times New Roman" w:cs="Times New Roman" w:eastAsiaTheme="minorEastAsia"/>
          <w:color w:val="auto"/>
          <w:sz w:val="23"/>
          <w:szCs w:val="23"/>
          <w:highlight w:val="none"/>
          <w:lang w:eastAsia="zh-CN"/>
        </w:rPr>
        <w:t>日前，乙方负责对货物进行一次全面的检修和维护，并由甲方验收认可。甲方验收认可并不免除乙方对于验收认可后发生的但尚在质保期限内的货物故障或损坏的维修、退换货义务。</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b/>
          <w:bCs w:val="0"/>
          <w:color w:val="auto"/>
          <w:kern w:val="2"/>
          <w:sz w:val="23"/>
          <w:szCs w:val="23"/>
          <w:highlight w:val="none"/>
          <w:lang w:val="en-US" w:eastAsia="zh-CN" w:bidi="ar-SA"/>
        </w:rPr>
      </w:pPr>
      <w:r>
        <w:rPr>
          <w:rFonts w:hint="eastAsia" w:ascii="Times New Roman" w:hAnsi="Times New Roman" w:cs="Times New Roman" w:eastAsiaTheme="minorEastAsia"/>
          <w:color w:val="auto"/>
          <w:sz w:val="23"/>
          <w:szCs w:val="23"/>
          <w:highlight w:val="none"/>
          <w:lang w:val="en-US" w:eastAsia="zh-CN"/>
        </w:rPr>
        <w:t>7</w:t>
      </w:r>
      <w:r>
        <w:rPr>
          <w:rFonts w:hint="eastAsia" w:ascii="Times New Roman" w:hAnsi="Times New Roman" w:cs="Times New Roman" w:eastAsiaTheme="minorEastAsia"/>
          <w:color w:val="auto"/>
          <w:sz w:val="23"/>
          <w:szCs w:val="23"/>
          <w:highlight w:val="none"/>
          <w:lang w:eastAsia="zh-CN"/>
        </w:rPr>
        <w:t>、若乙方提供的货物属于伪劣货物或者假冒货物或者欺诈甲方，使得甲方遭受损失，乙方应向甲方承担由此给甲方造成的损失，同时，甲方可依法寻求其他法律救济。</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lang w:val="en-US" w:eastAsia="zh-CN"/>
        </w:rPr>
      </w:pPr>
      <w:r>
        <w:rPr>
          <w:rFonts w:hint="eastAsia" w:ascii="Times New Roman" w:hAnsi="Times New Roman" w:cs="Times New Roman" w:eastAsiaTheme="minorEastAsia"/>
          <w:b/>
          <w:color w:val="auto"/>
          <w:sz w:val="23"/>
          <w:szCs w:val="23"/>
          <w:highlight w:val="none"/>
          <w:lang w:val="en-US" w:eastAsia="zh-CN"/>
        </w:rPr>
        <w:t>十二、违约责任</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1、甲方无故逾期支付货款的,甲方应按逾期付款总额每日 0.05 %向乙方支付违约金。</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2、乙方逾期交付货物和本合同规定的文件资料的，乙方应按合同总金额每日</w:t>
      </w:r>
      <w:r>
        <w:rPr>
          <w:rFonts w:hint="eastAsia" w:ascii="Times New Roman" w:hAnsi="Times New Roman" w:cs="Times New Roman" w:eastAsiaTheme="minorEastAsia"/>
          <w:color w:val="auto"/>
          <w:sz w:val="23"/>
          <w:szCs w:val="23"/>
          <w:highlight w:val="none"/>
          <w:u w:val="single"/>
          <w:lang w:eastAsia="zh-CN"/>
        </w:rPr>
        <w:t xml:space="preserve"> 0.6 </w:t>
      </w:r>
      <w:r>
        <w:rPr>
          <w:rFonts w:hint="eastAsia" w:ascii="Times New Roman" w:hAnsi="Times New Roman" w:cs="Times New Roman" w:eastAsiaTheme="minorEastAsia"/>
          <w:color w:val="auto"/>
          <w:sz w:val="23"/>
          <w:szCs w:val="23"/>
          <w:highlight w:val="none"/>
          <w:lang w:eastAsia="zh-CN"/>
        </w:rPr>
        <w:t xml:space="preserve">%向甲方支付违约金，由甲方从货款中扣除。逾期超过约定日期 10 日的，甲方可解除本合同。乙方因逾期交货或因其他违约行为导致甲方解除合同的，乙方应向甲方支付合同总金额   </w:t>
      </w:r>
      <w:r>
        <w:rPr>
          <w:rFonts w:hint="eastAsia" w:ascii="Times New Roman" w:hAnsi="Times New Roman" w:cs="Times New Roman" w:eastAsiaTheme="minorEastAsia"/>
          <w:color w:val="auto"/>
          <w:sz w:val="23"/>
          <w:szCs w:val="23"/>
          <w:highlight w:val="none"/>
          <w:lang w:val="en-US" w:eastAsia="zh-CN"/>
        </w:rPr>
        <w:t xml:space="preserve">  </w:t>
      </w:r>
      <w:r>
        <w:rPr>
          <w:rFonts w:hint="eastAsia" w:ascii="Times New Roman" w:hAnsi="Times New Roman" w:cs="Times New Roman" w:eastAsiaTheme="minorEastAsia"/>
          <w:color w:val="auto"/>
          <w:sz w:val="23"/>
          <w:szCs w:val="23"/>
          <w:highlight w:val="none"/>
          <w:u w:val="single"/>
          <w:lang w:eastAsia="zh-CN"/>
        </w:rPr>
        <w:t xml:space="preserve">5  </w:t>
      </w:r>
      <w:r>
        <w:rPr>
          <w:rFonts w:hint="eastAsia" w:ascii="Times New Roman" w:hAnsi="Times New Roman" w:cs="Times New Roman" w:eastAsiaTheme="minorEastAsia"/>
          <w:color w:val="auto"/>
          <w:sz w:val="23"/>
          <w:szCs w:val="23"/>
          <w:highlight w:val="none"/>
          <w:lang w:eastAsia="zh-CN"/>
        </w:rPr>
        <w:t xml:space="preserve">%的违约金，并如造成甲方损失超过违约金的，超出部分由乙方继续承担赔偿责任。 </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3、乙方所交的货物品种、型号、规格、技术参数、质量不符合合同规定及招标文件规定标准的，甲方有权拒收该货物，或要求乙方更换货物；乙方因更换货物而逾期交货的，按乙方逾期交货处理。乙方拒绝更换货物的，甲方可单方面解除合同，不予支付相应货款，并要求乙方承担违约金合同总金额</w:t>
      </w:r>
      <w:r>
        <w:rPr>
          <w:rFonts w:hint="eastAsia" w:ascii="Times New Roman" w:hAnsi="Times New Roman" w:cs="Times New Roman" w:eastAsiaTheme="minorEastAsia"/>
          <w:color w:val="auto"/>
          <w:sz w:val="23"/>
          <w:szCs w:val="23"/>
          <w:highlight w:val="none"/>
          <w:lang w:val="en-US" w:eastAsia="zh-CN"/>
        </w:rPr>
        <w:t xml:space="preserve"> </w:t>
      </w:r>
      <w:r>
        <w:rPr>
          <w:rFonts w:hint="eastAsia" w:ascii="Times New Roman" w:hAnsi="Times New Roman" w:cs="Times New Roman" w:eastAsiaTheme="minorEastAsia"/>
          <w:color w:val="auto"/>
          <w:sz w:val="23"/>
          <w:szCs w:val="23"/>
          <w:highlight w:val="none"/>
          <w:u w:val="single"/>
          <w:lang w:val="en-US" w:eastAsia="zh-CN"/>
        </w:rPr>
        <w:t>5 %</w:t>
      </w:r>
      <w:r>
        <w:rPr>
          <w:rFonts w:hint="eastAsia" w:ascii="Times New Roman" w:hAnsi="Times New Roman" w:cs="Times New Roman" w:eastAsiaTheme="minorEastAsia"/>
          <w:color w:val="auto"/>
          <w:sz w:val="23"/>
          <w:szCs w:val="23"/>
          <w:highlight w:val="none"/>
          <w:lang w:eastAsia="zh-CN"/>
        </w:rPr>
        <w:t>的违约金。</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5、乙方不在约定期限内派人维修或维修质量验收不合格的，甲方可以委托他人修理，费用由乙方承担，甲方与第三方确认后可直接从质保金中扣除；质保金不足以抵扣的，继续向乙方追偿。</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b/>
          <w:color w:val="auto"/>
          <w:sz w:val="23"/>
          <w:szCs w:val="23"/>
          <w:highlight w:val="none"/>
          <w:lang w:val="en-US" w:eastAsia="zh-CN"/>
        </w:rPr>
      </w:pPr>
      <w:r>
        <w:rPr>
          <w:rFonts w:hint="eastAsia" w:ascii="Times New Roman" w:hAnsi="Times New Roman" w:cs="Times New Roman" w:eastAsiaTheme="minorEastAsia"/>
          <w:color w:val="auto"/>
          <w:sz w:val="23"/>
          <w:szCs w:val="23"/>
          <w:highlight w:val="none"/>
          <w:lang w:eastAsia="zh-CN"/>
        </w:rPr>
        <w:t>7、对于本合同项下乙方应支付的赔偿款或违约金，甲方有权从应付乙方的货款质保金中直接扣除，仍不足的部分，继续向乙方追偿。</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lang w:val="en-US" w:eastAsia="zh-CN"/>
        </w:rPr>
      </w:pPr>
      <w:r>
        <w:rPr>
          <w:rFonts w:hint="eastAsia" w:ascii="Times New Roman" w:hAnsi="Times New Roman" w:cs="Times New Roman" w:eastAsiaTheme="minorEastAsia"/>
          <w:b/>
          <w:color w:val="auto"/>
          <w:sz w:val="23"/>
          <w:szCs w:val="23"/>
          <w:highlight w:val="none"/>
          <w:lang w:val="en-US" w:eastAsia="zh-CN"/>
        </w:rPr>
        <w:t>十三、不可抗力事件处理</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1、在合同有效期内，任何一方因不可抗力事件导致不能履行合同，则合同履行期可延长，其延长期与不可抗力影响期相同。</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2、不可抗力事件发生后，遭遇不可抗力的一方应立即通知对方，并寄送有关官方权威机构出具的证明。</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3、不可抗力事件延续</w:t>
      </w:r>
      <w:r>
        <w:rPr>
          <w:rFonts w:hint="eastAsia" w:ascii="Times New Roman" w:hAnsi="Times New Roman" w:cs="Times New Roman" w:eastAsiaTheme="minorEastAsia"/>
          <w:color w:val="auto"/>
          <w:sz w:val="23"/>
          <w:szCs w:val="23"/>
          <w:highlight w:val="none"/>
          <w:u w:val="single"/>
          <w:lang w:eastAsia="zh-CN"/>
        </w:rPr>
        <w:t xml:space="preserve"> 40 </w:t>
      </w:r>
      <w:r>
        <w:rPr>
          <w:rFonts w:hint="eastAsia" w:ascii="Times New Roman" w:hAnsi="Times New Roman" w:cs="Times New Roman" w:eastAsiaTheme="minorEastAsia"/>
          <w:color w:val="auto"/>
          <w:sz w:val="23"/>
          <w:szCs w:val="23"/>
          <w:highlight w:val="none"/>
          <w:lang w:eastAsia="zh-CN"/>
        </w:rPr>
        <w:t>日以上，双方应通过友好协商，确定是否继续履行合同；协商无法达成一致的，本合同自动终止，双方互不承担赔偿或违约责任。</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lang w:val="en-US" w:eastAsia="zh-CN"/>
        </w:rPr>
      </w:pPr>
      <w:r>
        <w:rPr>
          <w:rFonts w:hint="eastAsia" w:ascii="Times New Roman" w:hAnsi="Times New Roman" w:cs="Times New Roman" w:eastAsiaTheme="minorEastAsia"/>
          <w:b/>
          <w:color w:val="auto"/>
          <w:sz w:val="23"/>
          <w:szCs w:val="23"/>
          <w:highlight w:val="none"/>
          <w:lang w:val="en-US" w:eastAsia="zh-CN"/>
        </w:rPr>
        <w:t>十四、争议解决</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pPr>
      <w:r>
        <w:rPr>
          <w:rFonts w:hint="eastAsia" w:ascii="Times New Roman" w:hAnsi="Times New Roman" w:cs="Times New Roman" w:eastAsiaTheme="minorEastAsia"/>
          <w:color w:val="auto"/>
          <w:sz w:val="23"/>
          <w:szCs w:val="23"/>
          <w:highlight w:val="none"/>
          <w:lang w:val="en-US" w:eastAsia="zh-CN"/>
        </w:rPr>
        <w:t>1、</w:t>
      </w:r>
      <w:r>
        <w:rPr>
          <w:rFonts w:hint="eastAsia" w:ascii="Times New Roman" w:hAnsi="Times New Roman" w:cs="Times New Roman" w:eastAsiaTheme="minorEastAsia"/>
          <w:color w:val="auto"/>
          <w:sz w:val="23"/>
          <w:szCs w:val="23"/>
          <w:highlight w:val="none"/>
          <w:lang w:eastAsia="zh-CN"/>
        </w:rPr>
        <w:t>双方在执行合同中所发生的一切争议，应通过协商解决。如协商不成，由甲方所在地的人民法院管辖审理。</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lang w:val="en-US" w:eastAsia="zh-CN"/>
        </w:rPr>
      </w:pPr>
      <w:r>
        <w:rPr>
          <w:rFonts w:hint="eastAsia" w:ascii="Times New Roman" w:hAnsi="Times New Roman" w:cs="Times New Roman" w:eastAsiaTheme="minorEastAsia"/>
          <w:b/>
          <w:color w:val="auto"/>
          <w:sz w:val="23"/>
          <w:szCs w:val="23"/>
          <w:highlight w:val="none"/>
          <w:lang w:val="en-US" w:eastAsia="zh-CN"/>
        </w:rPr>
        <w:t>十五、合同组成文件包含下列内容，且解释顺序如下：</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1、本合同协议书</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2、中标通知书</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3、招标文件</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4、投标书及其附件</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b/>
          <w:color w:val="auto"/>
          <w:sz w:val="23"/>
          <w:szCs w:val="23"/>
          <w:highlight w:val="none"/>
          <w:lang w:val="en-US" w:eastAsia="zh-CN"/>
        </w:rPr>
      </w:pPr>
      <w:r>
        <w:rPr>
          <w:rFonts w:hint="eastAsia" w:ascii="Times New Roman" w:hAnsi="Times New Roman" w:cs="Times New Roman" w:eastAsiaTheme="minorEastAsia"/>
          <w:color w:val="auto"/>
          <w:sz w:val="23"/>
          <w:szCs w:val="23"/>
          <w:highlight w:val="none"/>
          <w:lang w:eastAsia="zh-CN"/>
        </w:rPr>
        <w:t>5、标准、规范及有关技术文件</w:t>
      </w:r>
    </w:p>
    <w:p>
      <w:pPr>
        <w:keepNext w:val="0"/>
        <w:keepLines w:val="0"/>
        <w:pageBreakBefore w:val="0"/>
        <w:kinsoku/>
        <w:wordWrap/>
        <w:overflowPunct/>
        <w:topLinePunct w:val="0"/>
        <w:autoSpaceDE/>
        <w:autoSpaceDN/>
        <w:bidi w:val="0"/>
        <w:adjustRightInd w:val="0"/>
        <w:snapToGrid w:val="0"/>
        <w:spacing w:beforeAutospacing="0" w:after="0" w:afterLines="100" w:afterAutospacing="0" w:line="360" w:lineRule="auto"/>
        <w:textAlignment w:val="auto"/>
        <w:outlineLvl w:val="0"/>
        <w:rPr>
          <w:rFonts w:hint="eastAsia" w:ascii="Times New Roman" w:hAnsi="Times New Roman" w:cs="Times New Roman" w:eastAsiaTheme="minorEastAsia"/>
          <w:b/>
          <w:color w:val="auto"/>
          <w:sz w:val="23"/>
          <w:szCs w:val="23"/>
          <w:highlight w:val="none"/>
          <w:lang w:val="en-US" w:eastAsia="zh-CN"/>
        </w:rPr>
      </w:pPr>
      <w:r>
        <w:rPr>
          <w:rFonts w:hint="eastAsia" w:ascii="Times New Roman" w:hAnsi="Times New Roman" w:cs="Times New Roman" w:eastAsiaTheme="minorEastAsia"/>
          <w:b/>
          <w:color w:val="auto"/>
          <w:sz w:val="23"/>
          <w:szCs w:val="23"/>
          <w:highlight w:val="none"/>
          <w:lang w:val="en-US" w:eastAsia="zh-CN"/>
        </w:rPr>
        <w:t>十六、合同生效及其它</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1. 合同经双方法定代表人或授权代表签字（包含签章）并加盖单位公章或者合同章之日起生效，到乙方将全部货物送齐经甲方验收合格，并按照本合同约定履行付款、质保服务等内容以后终止。</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2.本合同未尽事宜，双方可签订补充协议予以执行；未达成补充协议的，遵照《</w:t>
      </w:r>
      <w:r>
        <w:rPr>
          <w:rFonts w:hint="eastAsia" w:ascii="Times New Roman" w:hAnsi="Times New Roman" w:cs="Times New Roman" w:eastAsiaTheme="minorEastAsia"/>
          <w:color w:val="auto"/>
          <w:sz w:val="23"/>
          <w:szCs w:val="23"/>
          <w:highlight w:val="none"/>
          <w:lang w:eastAsia="zh-Hans"/>
        </w:rPr>
        <w:t>民法典</w:t>
      </w:r>
      <w:r>
        <w:rPr>
          <w:rFonts w:hint="eastAsia" w:ascii="Times New Roman" w:hAnsi="Times New Roman" w:cs="Times New Roman" w:eastAsiaTheme="minorEastAsia"/>
          <w:color w:val="auto"/>
          <w:sz w:val="23"/>
          <w:szCs w:val="23"/>
          <w:highlight w:val="none"/>
          <w:lang w:eastAsia="zh-CN"/>
        </w:rPr>
        <w:t>》及有关法律法规执行。</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3.本合同所订一切条款，任何一方不得擅自变更或者修改。如一方单独变更、修改本合同，对方有权拒绝发货、收货、付款，并要求单独变更、修改合同一方赔偿一切损失。</w:t>
      </w:r>
    </w:p>
    <w:p>
      <w:pPr>
        <w:keepNext w:val="0"/>
        <w:keepLines w:val="0"/>
        <w:pageBreakBefore w:val="0"/>
        <w:kinsoku/>
        <w:wordWrap/>
        <w:overflowPunct/>
        <w:topLinePunct w:val="0"/>
        <w:autoSpaceDE/>
        <w:autoSpaceDN/>
        <w:bidi w:val="0"/>
        <w:spacing w:beforeAutospacing="0" w:after="0" w:afterLines="100" w:afterAutospacing="0" w:line="360" w:lineRule="auto"/>
        <w:textAlignment w:val="auto"/>
        <w:rPr>
          <w:rFonts w:hint="eastAsia" w:ascii="Times New Roman" w:hAnsi="Times New Roman" w:cs="Times New Roman" w:eastAsiaTheme="minorEastAsia"/>
          <w:color w:val="auto"/>
          <w:sz w:val="23"/>
          <w:szCs w:val="23"/>
          <w:highlight w:val="none"/>
          <w:lang w:eastAsia="zh-CN"/>
        </w:rPr>
      </w:pPr>
      <w:r>
        <w:rPr>
          <w:rFonts w:hint="eastAsia" w:ascii="Times New Roman" w:hAnsi="Times New Roman" w:cs="Times New Roman" w:eastAsiaTheme="minorEastAsia"/>
          <w:color w:val="auto"/>
          <w:sz w:val="23"/>
          <w:szCs w:val="23"/>
          <w:highlight w:val="none"/>
          <w:lang w:eastAsia="zh-CN"/>
        </w:rPr>
        <w:t>4.本合同一式伍份，甲执叁份，乙方持贰份，具有同等法律效力。</w:t>
      </w: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tabs>
          <w:tab w:val="right" w:pos="8306"/>
        </w:tabs>
        <w:adjustRightInd w:val="0"/>
        <w:snapToGrid w:val="0"/>
        <w:spacing w:line="560" w:lineRule="exact"/>
        <w:rPr>
          <w:rFonts w:ascii="仿宋_GB2312" w:hAnsi="仿宋_GB2312" w:eastAsia="仿宋_GB2312" w:cs="仿宋_GB2312"/>
          <w:sz w:val="28"/>
          <w:szCs w:val="28"/>
        </w:rPr>
      </w:pPr>
    </w:p>
    <w:p>
      <w:pPr>
        <w:pStyle w:val="3"/>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3"/>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3"/>
        <w:rPr>
          <w:rFonts w:ascii="仿宋_GB2312" w:hAnsi="仿宋_GB2312" w:eastAsia="仿宋_GB2312" w:cs="仿宋_GB2312"/>
          <w:sz w:val="28"/>
          <w:szCs w:val="28"/>
        </w:rPr>
      </w:pPr>
    </w:p>
    <w:p>
      <w:pPr>
        <w:rPr>
          <w:rFonts w:ascii="仿宋_GB2312" w:hAnsi="仿宋_GB2312" w:eastAsia="仿宋_GB2312" w:cs="仿宋_GB2312"/>
          <w:sz w:val="28"/>
          <w:szCs w:val="28"/>
        </w:rPr>
      </w:pPr>
    </w:p>
    <w:p>
      <w:pPr>
        <w:pStyle w:val="3"/>
        <w:rPr>
          <w:rFonts w:ascii="仿宋_GB2312" w:hAnsi="仿宋_GB2312" w:eastAsia="仿宋_GB2312" w:cs="仿宋_GB2312"/>
          <w:sz w:val="28"/>
          <w:szCs w:val="28"/>
        </w:rPr>
      </w:pPr>
    </w:p>
    <w:p>
      <w:pPr>
        <w:rPr>
          <w:rFonts w:ascii="仿宋_GB2312" w:hAnsi="仿宋_GB2312" w:eastAsia="仿宋_GB2312" w:cs="仿宋_GB2312"/>
          <w:sz w:val="28"/>
          <w:szCs w:val="28"/>
        </w:rPr>
      </w:pPr>
    </w:p>
    <w:p>
      <w:pPr>
        <w:tabs>
          <w:tab w:val="right" w:pos="8306"/>
        </w:tabs>
        <w:adjustRightInd w:val="0"/>
        <w:snapToGrid w:val="0"/>
        <w:spacing w:line="560" w:lineRule="exact"/>
        <w:rPr>
          <w:rFonts w:hint="eastAsia" w:ascii="黑体" w:hAnsi="黑体" w:eastAsia="黑体" w:cs="黑体"/>
          <w:sz w:val="28"/>
          <w:szCs w:val="28"/>
        </w:rPr>
      </w:pPr>
    </w:p>
    <w:p>
      <w:pPr>
        <w:tabs>
          <w:tab w:val="right" w:pos="8306"/>
        </w:tabs>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（以下为签署页）</w:t>
      </w:r>
    </w:p>
    <w:p>
      <w:pPr>
        <w:tabs>
          <w:tab w:val="right" w:pos="8306"/>
        </w:tabs>
        <w:adjustRightInd w:val="0"/>
        <w:snapToGrid w:val="0"/>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ab/>
      </w:r>
    </w:p>
    <w:p>
      <w:pPr>
        <w:adjustRightInd w:val="0"/>
        <w:snapToGrid w:val="0"/>
        <w:spacing w:line="560" w:lineRule="exact"/>
        <w:ind w:left="4480" w:hanging="4480" w:hangingChars="1600"/>
        <w:rPr>
          <w:rFonts w:ascii="黑体" w:hAnsi="黑体" w:eastAsia="黑体" w:cs="黑体"/>
          <w:sz w:val="28"/>
          <w:szCs w:val="28"/>
        </w:rPr>
      </w:pPr>
      <w:r>
        <w:rPr>
          <w:rFonts w:hint="eastAsia" w:ascii="黑体" w:hAnsi="黑体" w:eastAsia="黑体" w:cs="黑体"/>
          <w:sz w:val="28"/>
          <w:szCs w:val="28"/>
        </w:rPr>
        <w:t>甲方：杭州萧山国际机场有限公司  乙方：</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ind w:left="6750" w:hanging="6750"/>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adjustRightInd w:val="0"/>
        <w:snapToGrid w:val="0"/>
        <w:spacing w:line="560" w:lineRule="exact"/>
        <w:rPr>
          <w:rFonts w:ascii="黑体" w:hAnsi="黑体" w:eastAsia="黑体" w:cs="黑体"/>
          <w:sz w:val="28"/>
          <w:szCs w:val="28"/>
        </w:rPr>
      </w:pP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 xml:space="preserve">签字日期：                       签字日期： </w:t>
      </w:r>
    </w:p>
    <w:p>
      <w:pPr>
        <w:adjustRightInd w:val="0"/>
        <w:snapToGrid w:val="0"/>
        <w:spacing w:line="560" w:lineRule="exact"/>
        <w:rPr>
          <w:rFonts w:ascii="黑体" w:hAnsi="黑体" w:eastAsia="黑体" w:cs="黑体"/>
          <w:b/>
          <w:sz w:val="28"/>
          <w:szCs w:val="28"/>
        </w:rPr>
      </w:pPr>
    </w:p>
    <w:p>
      <w:pPr>
        <w:adjustRightInd w:val="0"/>
        <w:snapToGrid w:val="0"/>
        <w:spacing w:line="560" w:lineRule="exact"/>
        <w:rPr>
          <w:rFonts w:ascii="黑体" w:hAnsi="黑体" w:eastAsia="黑体" w:cs="黑体"/>
          <w:b/>
          <w:sz w:val="28"/>
          <w:szCs w:val="28"/>
        </w:rPr>
      </w:pPr>
    </w:p>
    <w:p>
      <w:pPr>
        <w:adjustRightInd w:val="0"/>
        <w:snapToGrid w:val="0"/>
        <w:spacing w:line="560" w:lineRule="exact"/>
        <w:ind w:firstLine="560" w:firstLineChars="200"/>
        <w:rPr>
          <w:rFonts w:ascii="黑体" w:hAnsi="黑体" w:eastAsia="黑体" w:cs="黑体"/>
          <w:b/>
          <w:sz w:val="28"/>
          <w:szCs w:val="28"/>
        </w:rPr>
      </w:pPr>
      <w:r>
        <w:rPr>
          <w:rFonts w:hint="eastAsia" w:ascii="黑体" w:hAnsi="黑体" w:eastAsia="黑体" w:cs="黑体"/>
          <w:sz w:val="28"/>
          <w:szCs w:val="28"/>
        </w:rPr>
        <w:t>年  月  日                      年  月  日</w:t>
      </w:r>
    </w:p>
    <w:p>
      <w:pPr>
        <w:spacing w:line="560" w:lineRule="exact"/>
        <w:ind w:firstLine="600" w:firstLineChars="200"/>
        <w:rPr>
          <w:rFonts w:ascii="仿宋_GB2312" w:eastAsia="仿宋_GB2312"/>
          <w:sz w:val="30"/>
          <w:szCs w:val="30"/>
        </w:rPr>
      </w:pPr>
    </w:p>
    <w:p>
      <w:pPr>
        <w:spacing w:line="560" w:lineRule="exact"/>
      </w:pPr>
    </w:p>
    <w:p>
      <w:pPr>
        <w:spacing w:line="560" w:lineRule="exact"/>
        <w:rPr>
          <w:rFonts w:ascii="黑体" w:hAnsi="黑体" w:eastAsia="黑体" w:cs="黑体"/>
          <w:sz w:val="30"/>
          <w:szCs w:val="30"/>
        </w:rPr>
      </w:pPr>
      <w:r>
        <w:rPr>
          <w:rFonts w:hint="eastAsia" w:ascii="黑体" w:hAnsi="黑体" w:eastAsia="黑体" w:cs="黑体"/>
          <w:sz w:val="30"/>
          <w:szCs w:val="30"/>
        </w:rPr>
        <w:br w:type="page"/>
      </w:r>
    </w:p>
    <w:p>
      <w:pPr>
        <w:spacing w:line="560" w:lineRule="exact"/>
        <w:rPr>
          <w:rFonts w:ascii="黑体" w:hAnsi="黑体" w:eastAsia="黑体" w:cs="黑体"/>
          <w:sz w:val="32"/>
          <w:szCs w:val="32"/>
        </w:rPr>
      </w:pPr>
      <w:r>
        <w:rPr>
          <w:rFonts w:hint="eastAsia" w:ascii="黑体" w:hAnsi="黑体" w:eastAsia="黑体" w:cs="黑体"/>
          <w:sz w:val="32"/>
          <w:szCs w:val="32"/>
        </w:rPr>
        <w:t>附件1：</w:t>
      </w:r>
    </w:p>
    <w:p>
      <w:pPr>
        <w:spacing w:line="560" w:lineRule="exact"/>
      </w:pPr>
    </w:p>
    <w:p>
      <w:pPr>
        <w:adjustRightInd w:val="0"/>
        <w:snapToGrid w:val="0"/>
        <w:spacing w:line="560" w:lineRule="exact"/>
        <w:ind w:firstLine="562" w:firstLineChars="200"/>
        <w:jc w:val="center"/>
        <w:rPr>
          <w:rFonts w:ascii="黑体" w:hAnsi="黑体" w:eastAsia="黑体" w:cs="黑体"/>
          <w:b/>
          <w:sz w:val="28"/>
          <w:szCs w:val="28"/>
        </w:rPr>
      </w:pPr>
      <w:r>
        <w:rPr>
          <w:rFonts w:hint="eastAsia" w:ascii="黑体" w:hAnsi="黑体" w:eastAsia="黑体" w:cs="黑体"/>
          <w:b/>
          <w:sz w:val="28"/>
          <w:szCs w:val="28"/>
        </w:rPr>
        <w:t>杭州萧山国际机场有限公司廉洁自律承诺书</w:t>
      </w:r>
    </w:p>
    <w:p>
      <w:pPr>
        <w:adjustRightInd w:val="0"/>
        <w:snapToGrid w:val="0"/>
        <w:spacing w:line="560" w:lineRule="exact"/>
        <w:ind w:firstLine="442" w:firstLineChars="200"/>
        <w:rPr>
          <w:rFonts w:ascii="宋体" w:hAnsi="宋体"/>
          <w:b/>
          <w:sz w:val="22"/>
        </w:rPr>
      </w:pPr>
    </w:p>
    <w:p>
      <w:pPr>
        <w:adjustRightInd w:val="0"/>
        <w:snapToGrid w:val="0"/>
        <w:spacing w:line="560" w:lineRule="exact"/>
        <w:rPr>
          <w:rFonts w:ascii="仿宋_GB2312" w:hAnsi="仿宋_GB2312" w:eastAsia="仿宋_GB2312" w:cs="仿宋_GB2312"/>
          <w:b/>
          <w:sz w:val="28"/>
          <w:szCs w:val="28"/>
        </w:rPr>
      </w:pPr>
      <w:r>
        <w:rPr>
          <w:rFonts w:hint="eastAsia" w:ascii="仿宋_GB2312" w:hAnsi="仿宋_GB2312" w:eastAsia="仿宋_GB2312" w:cs="仿宋_GB2312"/>
          <w:b/>
          <w:sz w:val="28"/>
          <w:szCs w:val="28"/>
        </w:rPr>
        <w:t>杭州萧山国际机场有限公司：</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我单位响应贵公司项目招标要求，参加项目投标。在投标过程中及中标后，我们将严格遵守国家法律法规和贵司招标文件要求，并郑重作出如下承诺和保证：</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二、不以任何名义为贵公司有关人员或项目第三方人员报销应由贵公司或个人支付的费用；</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三、不向贵公司有关人员或项目第三方人员提供宴请、旅游、和健身娱乐等活动；</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四、不为贵公司有关人员或项目第三方人员出国（境）、旅游等提供方便；</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五、不为贵公司有关人员或项目第三方人员个人装修住房、婚丧嫁娶、配偶子女工作安排等提供好处或便利条件；</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六、严格遵守国家招标投标法、合同法等法律规定，诚实守信，合法经营，坚决杜绝各种违法违纪行为。</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3"/>
        <w:adjustRightInd w:val="0"/>
        <w:snapToGrid w:val="0"/>
        <w:spacing w:line="560" w:lineRule="exact"/>
        <w:ind w:firstLine="56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八、如违反上述廉洁自律承诺，贵公司有权：</w:t>
      </w:r>
    </w:p>
    <w:p>
      <w:pPr>
        <w:pStyle w:val="23"/>
        <w:numPr>
          <w:ilvl w:val="0"/>
          <w:numId w:val="3"/>
        </w:numPr>
        <w:adjustRightInd w:val="0"/>
        <w:snapToGrid w:val="0"/>
        <w:spacing w:line="560" w:lineRule="exact"/>
        <w:ind w:firstLineChars="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立即取消我单位投标、中标或在建项目的实施资格；</w:t>
      </w:r>
    </w:p>
    <w:p>
      <w:pPr>
        <w:pStyle w:val="23"/>
        <w:numPr>
          <w:ilvl w:val="0"/>
          <w:numId w:val="3"/>
        </w:numPr>
        <w:adjustRightInd w:val="0"/>
        <w:snapToGrid w:val="0"/>
        <w:spacing w:line="560" w:lineRule="exact"/>
        <w:ind w:firstLineChars="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拒绝我单位在一定时期内进入贵公司进行项目建设或其它经营活动；</w:t>
      </w:r>
    </w:p>
    <w:p>
      <w:pPr>
        <w:pStyle w:val="23"/>
        <w:numPr>
          <w:ilvl w:val="0"/>
          <w:numId w:val="3"/>
        </w:numPr>
        <w:adjustRightInd w:val="0"/>
        <w:snapToGrid w:val="0"/>
        <w:spacing w:line="560" w:lineRule="exact"/>
        <w:ind w:firstLineChars="0"/>
        <w:jc w:val="lef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由此引起的相应损失均由我单位承担。</w:t>
      </w:r>
    </w:p>
    <w:p>
      <w:pPr>
        <w:pStyle w:val="23"/>
        <w:adjustRightInd w:val="0"/>
        <w:snapToGrid w:val="0"/>
        <w:spacing w:line="560" w:lineRule="exact"/>
        <w:ind w:left="0" w:leftChars="0" w:firstLine="0" w:firstLineChars="0"/>
        <w:jc w:val="left"/>
        <w:rPr>
          <w:rFonts w:ascii="仿宋_GB2312" w:hAnsi="仿宋_GB2312" w:eastAsia="仿宋_GB2312" w:cs="仿宋_GB2312"/>
          <w:sz w:val="28"/>
          <w:szCs w:val="28"/>
        </w:rPr>
      </w:pP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承诺人单位名称（盖章）：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法定代表人 ：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或                            </w:t>
      </w:r>
    </w:p>
    <w:p>
      <w:pPr>
        <w:pStyle w:val="23"/>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           委托代理人：                   </w:t>
      </w:r>
    </w:p>
    <w:p>
      <w:pPr>
        <w:pStyle w:val="23"/>
        <w:adjustRightInd w:val="0"/>
        <w:snapToGrid w:val="0"/>
        <w:spacing w:line="560" w:lineRule="exact"/>
        <w:ind w:firstLine="562"/>
        <w:jc w:val="left"/>
        <w:rPr>
          <w:rFonts w:ascii="黑体" w:hAnsi="黑体" w:eastAsia="黑体" w:cs="黑体"/>
          <w:b/>
          <w:sz w:val="28"/>
          <w:szCs w:val="28"/>
        </w:rPr>
      </w:pPr>
    </w:p>
    <w:p>
      <w:pPr>
        <w:pStyle w:val="13"/>
        <w:spacing w:before="0" w:after="0" w:line="560" w:lineRule="exact"/>
        <w:rPr>
          <w:rFonts w:ascii="黑体" w:hAnsi="黑体" w:eastAsia="黑体" w:cs="黑体"/>
          <w:b w:val="0"/>
          <w:sz w:val="28"/>
          <w:szCs w:val="28"/>
        </w:rPr>
      </w:pPr>
      <w:r>
        <w:rPr>
          <w:rFonts w:hint="eastAsia" w:ascii="黑体" w:hAnsi="黑体" w:eastAsia="黑体" w:cs="黑体"/>
          <w:b w:val="0"/>
          <w:sz w:val="28"/>
          <w:szCs w:val="28"/>
        </w:rPr>
        <w:t xml:space="preserve">                           年     月     日</w:t>
      </w:r>
    </w:p>
    <w:p>
      <w:pPr>
        <w:rPr>
          <w:sz w:val="30"/>
          <w:szCs w:val="30"/>
        </w:rPr>
      </w:pPr>
    </w:p>
    <w:p>
      <w:pPr>
        <w:spacing w:line="560" w:lineRule="exact"/>
        <w:rPr>
          <w:rFonts w:ascii="黑体" w:hAnsi="黑体" w:eastAsia="黑体"/>
          <w:sz w:val="30"/>
          <w:szCs w:val="30"/>
        </w:rPr>
      </w:pPr>
    </w:p>
    <w:p>
      <w:pPr>
        <w:spacing w:line="560" w:lineRule="exact"/>
        <w:rPr>
          <w:rFonts w:ascii="黑体" w:hAnsi="黑体" w:eastAsia="黑体"/>
          <w:sz w:val="30"/>
          <w:szCs w:val="30"/>
        </w:rPr>
      </w:pPr>
      <w:r>
        <w:rPr>
          <w:rFonts w:hint="eastAsia" w:ascii="黑体" w:hAnsi="黑体" w:eastAsia="黑体"/>
          <w:sz w:val="30"/>
          <w:szCs w:val="30"/>
        </w:rPr>
        <w:br w:type="page"/>
      </w:r>
    </w:p>
    <w:p>
      <w:pPr>
        <w:spacing w:line="560" w:lineRule="exact"/>
        <w:rPr>
          <w:rFonts w:ascii="黑体" w:hAnsi="黑体" w:eastAsia="黑体"/>
          <w:sz w:val="32"/>
          <w:szCs w:val="32"/>
        </w:rPr>
      </w:pPr>
      <w:r>
        <w:rPr>
          <w:rFonts w:hint="eastAsia" w:ascii="黑体" w:hAnsi="黑体" w:eastAsia="黑体"/>
          <w:sz w:val="32"/>
          <w:szCs w:val="32"/>
        </w:rPr>
        <w:t>附件2：保密承诺书</w:t>
      </w:r>
    </w:p>
    <w:p>
      <w:pPr>
        <w:pStyle w:val="3"/>
      </w:pPr>
    </w:p>
    <w:p>
      <w:pPr>
        <w:spacing w:line="560" w:lineRule="exact"/>
        <w:jc w:val="center"/>
        <w:rPr>
          <w:rFonts w:ascii="黑体" w:hAnsi="黑体" w:eastAsia="黑体" w:cs="黑体"/>
          <w:b/>
          <w:bCs/>
          <w:sz w:val="28"/>
          <w:szCs w:val="28"/>
        </w:rPr>
      </w:pPr>
      <w:r>
        <w:rPr>
          <w:rFonts w:hint="eastAsia" w:ascii="黑体" w:hAnsi="黑体" w:eastAsia="黑体" w:cs="黑体"/>
          <w:b/>
          <w:bCs/>
          <w:sz w:val="28"/>
          <w:szCs w:val="28"/>
        </w:rPr>
        <w:t>保密承诺书</w:t>
      </w:r>
    </w:p>
    <w:p/>
    <w:p>
      <w:pPr>
        <w:snapToGrid w:val="0"/>
        <w:spacing w:line="560" w:lineRule="exact"/>
        <w:ind w:firstLine="460" w:firstLineChars="200"/>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 xml:space="preserve">鉴于我方愿成为杭州萧山国际机场有限公司（以下简称“机场公司”）的供应商或潜在供应商候选人，为机场公司提供 </w:t>
      </w:r>
      <w:r>
        <w:rPr>
          <w:rFonts w:hint="eastAsia" w:ascii="Times New Roman" w:hAnsi="Times New Roman" w:cs="Times New Roman" w:eastAsiaTheme="minorEastAsia"/>
          <w:b/>
          <w:bCs w:val="0"/>
          <w:color w:val="auto"/>
          <w:kern w:val="2"/>
          <w:sz w:val="23"/>
          <w:szCs w:val="23"/>
          <w:highlight w:val="none"/>
          <w:u w:val="single"/>
          <w:lang w:val="en-US" w:eastAsia="zh-CN" w:bidi="ar-SA"/>
        </w:rPr>
        <w:t>杭州萧山国际机场隧道西一体化泵站潜污泵采购项目</w:t>
      </w:r>
      <w:r>
        <w:rPr>
          <w:rFonts w:hint="eastAsia" w:ascii="Times New Roman" w:hAnsi="Times New Roman" w:cs="Times New Roman" w:eastAsiaTheme="minorEastAsia"/>
          <w:b w:val="0"/>
          <w:bCs/>
          <w:color w:val="auto"/>
          <w:kern w:val="2"/>
          <w:sz w:val="23"/>
          <w:szCs w:val="23"/>
          <w:highlight w:val="none"/>
          <w:lang w:val="en-US" w:eastAsia="zh-CN" w:bidi="ar-SA"/>
        </w:rPr>
        <w:t>的采购服务。在上述业务来往过程中，机场公司可能向我方提供经营、业务、服务等有关的文件、资料、软件等信息，为维护机场公司的利益，我方就保密事宜做出如下承诺：</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1.商业秘密</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1.1商业秘密是指机场公司（包括机场公司关联公司）一切专有、不对外公开的资料和信息。包括但不限于以下方面：</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（1）经营信息（发展规划、运营状况、客户资源、货源情报、投融资计划、开发计划、标书等）；</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（2）管理信息（管理方法、管理制度、员工管理、合同管理、纠纷管理等）；</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（3）产品及技术信息（设计及图纸、样品及服务、技术方案、质量标准、技术标准、计算机程序等）；</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（4）财务信息（财务收支、固定资产、流动资金、成本核算等）；</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（5）我方单独或机场公司（包括机场公司关联公司）和我方共同为机场公司开发、设计、生产的产品、资料及相关信息；</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（6）其他机场公司未对外公开的有关营运、计划、航班数据、标准、开发、生产、经营、质量管理控制和租赁的资料和数据等信息以及对供应商的管理文件。</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1.3、对于上述提及的商业秘密，不能仅因为公开发表的文章或资讯中包含其内容，就认为是可对外公开的特殊情况。</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1.4、以下资料不属于本承诺所指的商业秘密：</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（1）我方从机场公司拟获悉之前已持有的我方无需承担保密义务的机场公司有关资料(但通过其它违约或侵权行为而获得的资料除外)；</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（2）已经公开或已成为常识性的资料，且该等公开并非因违反本承诺所致。</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（1）披露、使用或者允许他人以不正当手段获取的商业秘密；</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（2）为机场公司以外的第三人窃取、刺探、收买、非法提供商业秘密。</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（3）在电子公告系统、聊天系统、电子邮箱、论坛等计算机网络系统上传递、转发、抄送、发布、谈论和传播商业秘密；</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 xml:space="preserve">（4）在私人交往和通信中，向亲属、朋友以及与工作无关人员泄露商业秘密，或在公共场所谈论商业秘密； </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（5）擅自将属于商业秘密的文件、资料和其他物品携带、传递、寄运出机场公司办公场所或国（境）外。</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（6）未经机场公司同意就以任何方式私自保存、截留含有机场公司商业秘密的任何形式资料、文件和物品的复印件、复制品、副本。</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（7）将含有机场公司商业秘密的产品、技术或其他资料、信息向第三人销售、使用或以任何方式提供。</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8、违约责任</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8.1因我方违反保密义务的行为造成机场公司的一切损失，我方应当全部予以赔偿。</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8.2如我方违反本承诺书下保密义务，应当承担违约责任，除赔偿损失外，还应依据合同向机场公司支付相应的违约金；</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9、本承诺书适用中华人民共和国法律，如因履行本承诺书发生争议，则双方均有权向机场公司所在地法院提起诉讼。</w:t>
      </w:r>
    </w:p>
    <w:p>
      <w:pPr>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p>
    <w:p>
      <w:pPr>
        <w:tabs>
          <w:tab w:val="left" w:pos="5723"/>
        </w:tabs>
        <w:spacing w:line="560" w:lineRule="exact"/>
        <w:rPr>
          <w:rFonts w:ascii="黑体" w:hAnsi="黑体" w:eastAsia="黑体" w:cs="黑体"/>
          <w:sz w:val="28"/>
          <w:szCs w:val="28"/>
        </w:rPr>
      </w:pPr>
      <w:r>
        <w:rPr>
          <w:rFonts w:hint="eastAsia" w:ascii="仿宋" w:hAnsi="仿宋" w:eastAsia="仿宋" w:cs="仿宋"/>
          <w:sz w:val="28"/>
          <w:szCs w:val="28"/>
        </w:rPr>
        <w:t xml:space="preserve">                        </w:t>
      </w:r>
      <w:r>
        <w:rPr>
          <w:rFonts w:hint="eastAsia" w:ascii="黑体" w:hAnsi="黑体" w:eastAsia="黑体" w:cs="黑体"/>
          <w:sz w:val="28"/>
          <w:szCs w:val="28"/>
        </w:rPr>
        <w:t>供应商(盖章):</w:t>
      </w:r>
      <w:r>
        <w:rPr>
          <w:rFonts w:hint="eastAsia" w:ascii="黑体" w:hAnsi="黑体" w:eastAsia="黑体" w:cs="黑体"/>
          <w:sz w:val="28"/>
          <w:szCs w:val="28"/>
        </w:rPr>
        <w:tab/>
      </w:r>
    </w:p>
    <w:p>
      <w:pPr>
        <w:tabs>
          <w:tab w:val="left" w:pos="5723"/>
        </w:tabs>
        <w:spacing w:line="560" w:lineRule="exact"/>
        <w:rPr>
          <w:rFonts w:ascii="黑体" w:hAnsi="黑体" w:eastAsia="黑体" w:cs="黑体"/>
          <w:sz w:val="28"/>
          <w:szCs w:val="28"/>
        </w:rPr>
      </w:pPr>
    </w:p>
    <w:p>
      <w:pPr>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法定代表人或授权代表：</w:t>
      </w:r>
    </w:p>
    <w:p>
      <w:pPr>
        <w:spacing w:line="560" w:lineRule="exact"/>
        <w:jc w:val="both"/>
        <w:rPr>
          <w:rFonts w:ascii="黑体" w:hAnsi="黑体" w:eastAsia="黑体" w:cs="黑体"/>
          <w:sz w:val="28"/>
          <w:szCs w:val="28"/>
        </w:rPr>
      </w:pPr>
    </w:p>
    <w:p>
      <w:pPr>
        <w:spacing w:line="560" w:lineRule="exact"/>
        <w:rPr>
          <w:rFonts w:ascii="黑体" w:hAnsi="黑体" w:eastAsia="黑体" w:cs="黑体"/>
          <w:sz w:val="28"/>
          <w:szCs w:val="28"/>
        </w:rPr>
      </w:pPr>
      <w:r>
        <w:rPr>
          <w:rFonts w:hint="eastAsia" w:ascii="黑体" w:hAnsi="黑体" w:eastAsia="黑体" w:cs="黑体"/>
          <w:sz w:val="28"/>
          <w:szCs w:val="28"/>
        </w:rPr>
        <w:t xml:space="preserve">                        地址：</w:t>
      </w:r>
    </w:p>
    <w:p>
      <w:pPr>
        <w:spacing w:line="560" w:lineRule="exact"/>
        <w:rPr>
          <w:rFonts w:ascii="黑体" w:hAnsi="黑体" w:eastAsia="黑体" w:cs="黑体"/>
          <w:sz w:val="28"/>
          <w:szCs w:val="28"/>
        </w:rPr>
      </w:pPr>
    </w:p>
    <w:p>
      <w:pPr>
        <w:snapToGrid w:val="0"/>
        <w:spacing w:line="560" w:lineRule="exact"/>
        <w:jc w:val="center"/>
        <w:rPr>
          <w:rFonts w:ascii="黑体" w:hAnsi="黑体" w:eastAsia="黑体" w:cs="黑体"/>
          <w:sz w:val="28"/>
          <w:szCs w:val="28"/>
        </w:rPr>
      </w:pPr>
      <w:r>
        <w:rPr>
          <w:rFonts w:hint="eastAsia" w:ascii="黑体" w:hAnsi="黑体" w:eastAsia="黑体" w:cs="黑体"/>
          <w:sz w:val="28"/>
          <w:szCs w:val="28"/>
        </w:rPr>
        <w:t xml:space="preserve">        日期：     年   月   日</w:t>
      </w:r>
    </w:p>
    <w:bookmarkEnd w:id="32"/>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center"/>
        <w:rPr>
          <w:rFonts w:hint="eastAsia"/>
        </w:rPr>
      </w:pPr>
    </w:p>
    <w:p>
      <w:pPr>
        <w:pStyle w:val="2"/>
        <w:spacing w:line="564" w:lineRule="exact"/>
        <w:ind w:right="57"/>
        <w:jc w:val="both"/>
        <w:rPr>
          <w:rFonts w:hint="eastAsia"/>
        </w:rPr>
      </w:pPr>
    </w:p>
    <w:p>
      <w:pPr>
        <w:pStyle w:val="2"/>
        <w:spacing w:line="564" w:lineRule="exact"/>
        <w:ind w:right="57" w:firstLine="1767" w:firstLineChars="400"/>
        <w:jc w:val="both"/>
        <w:rPr>
          <w:rFonts w:hint="eastAsia"/>
        </w:rPr>
      </w:pPr>
    </w:p>
    <w:p>
      <w:pPr>
        <w:pStyle w:val="2"/>
        <w:spacing w:line="564" w:lineRule="exact"/>
        <w:ind w:right="57" w:firstLine="1767" w:firstLineChars="400"/>
        <w:jc w:val="both"/>
      </w:pPr>
      <w:r>
        <w:rPr>
          <w:rFonts w:hint="eastAsia"/>
        </w:rPr>
        <w:t>第五章</w:t>
      </w:r>
      <w:r>
        <w:t xml:space="preserve">  </w:t>
      </w:r>
      <w:r>
        <w:rPr>
          <w:rFonts w:hint="eastAsia"/>
        </w:rPr>
        <w:t>用户需求书</w:t>
      </w:r>
    </w:p>
    <w:p>
      <w:pPr>
        <w:rPr>
          <w:rFonts w:hint="eastAsia" w:ascii="仿宋_GB2312" w:hAnsi="仿宋_GB2312" w:eastAsia="仿宋_GB2312" w:cs="仿宋_GB2312"/>
          <w:color w:val="auto"/>
          <w:kern w:val="0"/>
          <w:sz w:val="28"/>
          <w:szCs w:val="28"/>
        </w:rPr>
      </w:pPr>
      <w:bookmarkStart w:id="33" w:name="_bookmark150"/>
      <w:bookmarkEnd w:id="33"/>
      <w:r>
        <w:rPr>
          <w:rFonts w:hint="eastAsia" w:ascii="仿宋_GB2312" w:hAnsi="仿宋_GB2312" w:eastAsia="仿宋_GB2312" w:cs="仿宋_GB2312"/>
          <w:color w:val="auto"/>
          <w:kern w:val="0"/>
          <w:sz w:val="28"/>
          <w:szCs w:val="28"/>
        </w:rPr>
        <w:t xml:space="preserve"> </w:t>
      </w:r>
      <w:r>
        <w:rPr>
          <w:rFonts w:hint="eastAsia" w:ascii="仿宋_GB2312" w:hAnsi="仿宋_GB2312" w:eastAsia="仿宋_GB2312" w:cs="仿宋_GB2312"/>
          <w:b/>
          <w:bCs/>
          <w:color w:val="auto"/>
          <w:kern w:val="0"/>
          <w:sz w:val="28"/>
          <w:szCs w:val="28"/>
        </w:rPr>
        <w:t>一、项目概况：</w:t>
      </w:r>
    </w:p>
    <w:p>
      <w:pPr>
        <w:adjustRightInd w:val="0"/>
        <w:snapToGrid w:val="0"/>
        <w:spacing w:line="560" w:lineRule="exact"/>
        <w:ind w:firstLine="460" w:firstLineChars="200"/>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本项目为杭州萧山国际机场隧道西一体化泵站潜污泵采购项目，位于杭州萧山国际机场内，主要包括：（一）拆除隧道西一体化泵站原有潜污泵。（二）购置3台新潜污泵均安装在泵站原有潜污泵位置（三）完成所购设备及辅助装置安装、调试，从潜污泵至上端阀门处出水管进行更新，使用厚度8mm的不锈钢管等。</w:t>
      </w:r>
    </w:p>
    <w:p>
      <w:pPr>
        <w:spacing w:line="360" w:lineRule="exact"/>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二、货物</w:t>
      </w:r>
      <w:r>
        <w:rPr>
          <w:rFonts w:hint="eastAsia" w:ascii="仿宋_GB2312" w:hAnsi="仿宋_GB2312" w:eastAsia="仿宋_GB2312" w:cs="仿宋_GB2312"/>
          <w:b/>
          <w:bCs/>
          <w:color w:val="auto"/>
          <w:sz w:val="28"/>
          <w:szCs w:val="28"/>
          <w:lang w:val="en-US" w:eastAsia="zh-CN"/>
        </w:rPr>
        <w:t>范围</w:t>
      </w:r>
      <w:r>
        <w:rPr>
          <w:rFonts w:hint="eastAsia" w:ascii="仿宋_GB2312" w:hAnsi="仿宋_GB2312" w:eastAsia="仿宋_GB2312" w:cs="仿宋_GB2312"/>
          <w:b/>
          <w:bCs/>
          <w:color w:val="auto"/>
          <w:sz w:val="28"/>
          <w:szCs w:val="28"/>
        </w:rPr>
        <w:t>及技术规格：</w:t>
      </w:r>
    </w:p>
    <w:tbl>
      <w:tblPr>
        <w:tblStyle w:val="14"/>
        <w:tblW w:w="94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854"/>
        <w:gridCol w:w="4105"/>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24" w:type="dxa"/>
            <w:vAlign w:val="center"/>
          </w:tcPr>
          <w:p>
            <w:pPr>
              <w:adjustRightInd w:val="0"/>
              <w:snapToGrid w:val="0"/>
              <w:spacing w:line="560" w:lineRule="exact"/>
              <w:jc w:val="center"/>
              <w:rPr>
                <w:rFonts w:hint="eastAsia" w:ascii="Times New Roman" w:hAnsi="Times New Roman" w:cs="Times New Roman" w:eastAsiaTheme="minorEastAsia"/>
                <w:b/>
                <w:bCs w:val="0"/>
                <w:color w:val="auto"/>
                <w:kern w:val="2"/>
                <w:sz w:val="23"/>
                <w:szCs w:val="23"/>
                <w:highlight w:val="none"/>
                <w:lang w:val="en-US" w:eastAsia="zh-CN" w:bidi="ar-SA"/>
              </w:rPr>
            </w:pPr>
            <w:r>
              <w:rPr>
                <w:rFonts w:hint="eastAsia" w:ascii="Times New Roman" w:hAnsi="Times New Roman" w:cs="Times New Roman" w:eastAsiaTheme="minorEastAsia"/>
                <w:b/>
                <w:bCs w:val="0"/>
                <w:color w:val="auto"/>
                <w:kern w:val="2"/>
                <w:sz w:val="23"/>
                <w:szCs w:val="23"/>
                <w:highlight w:val="none"/>
                <w:lang w:val="en-US" w:eastAsia="zh-CN" w:bidi="ar-SA"/>
              </w:rPr>
              <w:t>货物名称</w:t>
            </w:r>
          </w:p>
        </w:tc>
        <w:tc>
          <w:tcPr>
            <w:tcW w:w="854" w:type="dxa"/>
            <w:vAlign w:val="center"/>
          </w:tcPr>
          <w:p>
            <w:pPr>
              <w:adjustRightInd w:val="0"/>
              <w:snapToGrid w:val="0"/>
              <w:spacing w:line="560" w:lineRule="exact"/>
              <w:jc w:val="center"/>
              <w:rPr>
                <w:rFonts w:hint="eastAsia" w:ascii="Times New Roman" w:hAnsi="Times New Roman" w:cs="Times New Roman" w:eastAsiaTheme="minorEastAsia"/>
                <w:b/>
                <w:bCs w:val="0"/>
                <w:color w:val="auto"/>
                <w:kern w:val="2"/>
                <w:sz w:val="23"/>
                <w:szCs w:val="23"/>
                <w:highlight w:val="none"/>
                <w:lang w:val="en-US" w:eastAsia="zh-CN" w:bidi="ar-SA"/>
              </w:rPr>
            </w:pPr>
            <w:r>
              <w:rPr>
                <w:rFonts w:hint="eastAsia" w:ascii="Times New Roman" w:hAnsi="Times New Roman" w:cs="Times New Roman" w:eastAsiaTheme="minorEastAsia"/>
                <w:b/>
                <w:bCs w:val="0"/>
                <w:color w:val="auto"/>
                <w:kern w:val="2"/>
                <w:sz w:val="23"/>
                <w:szCs w:val="23"/>
                <w:highlight w:val="none"/>
                <w:lang w:val="en-US" w:eastAsia="zh-CN" w:bidi="ar-SA"/>
              </w:rPr>
              <w:t>数 量</w:t>
            </w:r>
          </w:p>
        </w:tc>
        <w:tc>
          <w:tcPr>
            <w:tcW w:w="4105" w:type="dxa"/>
            <w:vAlign w:val="center"/>
          </w:tcPr>
          <w:p>
            <w:pPr>
              <w:adjustRightInd w:val="0"/>
              <w:snapToGrid w:val="0"/>
              <w:spacing w:line="560" w:lineRule="exact"/>
              <w:jc w:val="center"/>
              <w:rPr>
                <w:rFonts w:hint="eastAsia" w:ascii="Times New Roman" w:hAnsi="Times New Roman" w:cs="Times New Roman" w:eastAsiaTheme="minorEastAsia"/>
                <w:b/>
                <w:bCs w:val="0"/>
                <w:color w:val="auto"/>
                <w:kern w:val="2"/>
                <w:sz w:val="23"/>
                <w:szCs w:val="23"/>
                <w:highlight w:val="none"/>
                <w:lang w:val="en-US" w:eastAsia="zh-CN" w:bidi="ar-SA"/>
              </w:rPr>
            </w:pPr>
            <w:r>
              <w:rPr>
                <w:rFonts w:hint="eastAsia" w:ascii="Times New Roman" w:hAnsi="Times New Roman" w:cs="Times New Roman" w:eastAsiaTheme="minorEastAsia"/>
                <w:b/>
                <w:bCs w:val="0"/>
                <w:color w:val="auto"/>
                <w:kern w:val="2"/>
                <w:sz w:val="23"/>
                <w:szCs w:val="23"/>
                <w:highlight w:val="none"/>
                <w:lang w:val="en-US" w:eastAsia="zh-CN" w:bidi="ar-SA"/>
              </w:rPr>
              <w:t>主要技术规格</w:t>
            </w:r>
          </w:p>
        </w:tc>
        <w:tc>
          <w:tcPr>
            <w:tcW w:w="2895" w:type="dxa"/>
            <w:vAlign w:val="center"/>
          </w:tcPr>
          <w:p>
            <w:pPr>
              <w:adjustRightInd w:val="0"/>
              <w:snapToGrid w:val="0"/>
              <w:spacing w:line="560" w:lineRule="exact"/>
              <w:jc w:val="center"/>
              <w:rPr>
                <w:rFonts w:hint="eastAsia" w:ascii="Times New Roman" w:hAnsi="Times New Roman" w:cs="Times New Roman" w:eastAsiaTheme="minorEastAsia"/>
                <w:b/>
                <w:bCs w:val="0"/>
                <w:color w:val="auto"/>
                <w:kern w:val="2"/>
                <w:sz w:val="23"/>
                <w:szCs w:val="23"/>
                <w:highlight w:val="none"/>
                <w:lang w:val="en-US" w:eastAsia="zh-CN" w:bidi="ar-SA"/>
              </w:rPr>
            </w:pPr>
            <w:r>
              <w:rPr>
                <w:rFonts w:hint="eastAsia" w:ascii="Times New Roman" w:hAnsi="Times New Roman" w:cs="Times New Roman" w:eastAsiaTheme="minorEastAsia"/>
                <w:b/>
                <w:bCs w:val="0"/>
                <w:color w:val="auto"/>
                <w:kern w:val="2"/>
                <w:sz w:val="23"/>
                <w:szCs w:val="23"/>
                <w:highlight w:val="none"/>
                <w:lang w:val="en-US" w:eastAsia="zh-CN" w:bidi="ar-SA"/>
              </w:rPr>
              <w:t>品牌推荐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2" w:hRule="atLeast"/>
          <w:jc w:val="center"/>
        </w:trPr>
        <w:tc>
          <w:tcPr>
            <w:tcW w:w="1624" w:type="dxa"/>
            <w:vAlign w:val="center"/>
          </w:tcPr>
          <w:p>
            <w:pPr>
              <w:adjustRightInd w:val="0"/>
              <w:snapToGrid w:val="0"/>
              <w:spacing w:line="560" w:lineRule="exact"/>
              <w:ind w:firstLine="460" w:firstLineChars="200"/>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潜污泵</w:t>
            </w:r>
          </w:p>
        </w:tc>
        <w:tc>
          <w:tcPr>
            <w:tcW w:w="854" w:type="dxa"/>
            <w:vAlign w:val="center"/>
          </w:tcPr>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 xml:space="preserve">3台  </w:t>
            </w:r>
          </w:p>
        </w:tc>
        <w:tc>
          <w:tcPr>
            <w:tcW w:w="4105" w:type="dxa"/>
            <w:vAlign w:val="center"/>
          </w:tcPr>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额定功率：15-30KW</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流量：400-500 m³/h</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扬程：10米</w:t>
            </w:r>
          </w:p>
          <w:p>
            <w:pPr>
              <w:adjustRightInd w:val="0"/>
              <w:snapToGrid w:val="0"/>
              <w:spacing w:line="560" w:lineRule="exact"/>
              <w:rPr>
                <w:rFonts w:hint="default"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口径：DN200</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 xml:space="preserve">电缆线：10米(确保能有足够的电缆接入控制箱) </w:t>
            </w:r>
          </w:p>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自耦装置：3套</w:t>
            </w:r>
          </w:p>
        </w:tc>
        <w:tc>
          <w:tcPr>
            <w:tcW w:w="2895" w:type="dxa"/>
            <w:vAlign w:val="center"/>
          </w:tcPr>
          <w:p>
            <w:pPr>
              <w:adjustRightInd w:val="0"/>
              <w:snapToGrid w:val="0"/>
              <w:spacing w:line="560" w:lineRule="exact"/>
              <w:rPr>
                <w:rFonts w:hint="eastAsia" w:ascii="Times New Roman" w:hAnsi="Times New Roman" w:cs="Times New Roman" w:eastAsiaTheme="minorEastAsia"/>
                <w:b w:val="0"/>
                <w:bCs/>
                <w:color w:val="auto"/>
                <w:kern w:val="2"/>
                <w:sz w:val="23"/>
                <w:szCs w:val="23"/>
                <w:highlight w:val="none"/>
                <w:lang w:val="en-US" w:eastAsia="zh-CN" w:bidi="ar-SA"/>
              </w:rPr>
            </w:pPr>
            <w:r>
              <w:rPr>
                <w:rFonts w:hint="eastAsia" w:ascii="Times New Roman" w:hAnsi="Times New Roman" w:cs="Times New Roman" w:eastAsiaTheme="minorEastAsia"/>
                <w:b w:val="0"/>
                <w:bCs/>
                <w:color w:val="auto"/>
                <w:kern w:val="2"/>
                <w:sz w:val="23"/>
                <w:szCs w:val="23"/>
                <w:highlight w:val="none"/>
                <w:lang w:val="en-US" w:eastAsia="zh-CN" w:bidi="ar-SA"/>
              </w:rPr>
              <w:t>赛莱默、格兰富、苏尔寿或同等档次及以上</w:t>
            </w:r>
          </w:p>
        </w:tc>
      </w:tr>
    </w:tbl>
    <w:p>
      <w:pPr>
        <w:pStyle w:val="46"/>
        <w:keepNext w:val="0"/>
        <w:widowControl w:val="0"/>
        <w:spacing w:before="312" w:beforeLines="100"/>
        <w:ind w:left="0" w:leftChars="0" w:right="0" w:firstLine="480" w:firstLineChars="200"/>
        <w:rPr>
          <w:rFonts w:ascii="Times New Roman"/>
          <w:b/>
          <w:color w:val="FF0000"/>
          <w:sz w:val="24"/>
          <w:szCs w:val="24"/>
        </w:rPr>
      </w:pPr>
      <w:r>
        <w:rPr>
          <w:rFonts w:ascii="Times New Roman"/>
          <w:sz w:val="24"/>
          <w:szCs w:val="24"/>
        </w:rPr>
        <w:t>1）</w:t>
      </w:r>
      <w:r>
        <w:rPr>
          <w:rFonts w:hint="eastAsia" w:ascii="Times New Roman"/>
          <w:sz w:val="24"/>
          <w:szCs w:val="24"/>
          <w:lang w:eastAsia="zh-CN"/>
        </w:rPr>
        <w:t>投标人</w:t>
      </w:r>
      <w:r>
        <w:rPr>
          <w:rFonts w:ascii="Times New Roman"/>
          <w:sz w:val="24"/>
          <w:szCs w:val="24"/>
        </w:rPr>
        <w:t>提供</w:t>
      </w:r>
      <w:r>
        <w:rPr>
          <w:rFonts w:hint="eastAsia" w:ascii="Times New Roman"/>
          <w:sz w:val="24"/>
          <w:szCs w:val="24"/>
          <w:lang w:eastAsia="zh-CN"/>
        </w:rPr>
        <w:t>潜污泵</w:t>
      </w:r>
      <w:r>
        <w:rPr>
          <w:rFonts w:ascii="Times New Roman"/>
          <w:sz w:val="24"/>
          <w:szCs w:val="24"/>
        </w:rPr>
        <w:t>应为成套装置，并需配备出水弯座、耦合装置、提升导杆、提升链、水下电缆（10m）、电缆网兜等有效和安全运行所必需的附件。</w:t>
      </w:r>
    </w:p>
    <w:p>
      <w:pPr>
        <w:pStyle w:val="46"/>
        <w:keepNext w:val="0"/>
        <w:widowControl w:val="0"/>
        <w:ind w:right="0" w:firstLine="480" w:firstLineChars="200"/>
        <w:rPr>
          <w:rFonts w:ascii="Times New Roman"/>
          <w:b/>
          <w:color w:val="FF0000"/>
          <w:sz w:val="24"/>
          <w:szCs w:val="24"/>
        </w:rPr>
      </w:pPr>
      <w:r>
        <w:rPr>
          <w:rFonts w:hint="eastAsia" w:ascii="Times New Roman"/>
          <w:sz w:val="24"/>
          <w:szCs w:val="24"/>
          <w:lang w:val="en-US" w:eastAsia="zh-CN"/>
        </w:rPr>
        <w:t>2）</w:t>
      </w:r>
      <w:r>
        <w:rPr>
          <w:rFonts w:hint="eastAsia" w:ascii="Times New Roman"/>
          <w:sz w:val="24"/>
          <w:szCs w:val="24"/>
          <w:lang w:eastAsia="zh-CN"/>
        </w:rPr>
        <w:t>投标人</w:t>
      </w:r>
      <w:r>
        <w:rPr>
          <w:rFonts w:ascii="Times New Roman"/>
          <w:sz w:val="24"/>
          <w:szCs w:val="24"/>
        </w:rPr>
        <w:t>提供的</w:t>
      </w:r>
      <w:r>
        <w:rPr>
          <w:rFonts w:hint="eastAsia" w:ascii="Times New Roman"/>
          <w:sz w:val="24"/>
          <w:szCs w:val="24"/>
        </w:rPr>
        <w:t>主机</w:t>
      </w:r>
      <w:r>
        <w:rPr>
          <w:rFonts w:ascii="Times New Roman"/>
          <w:sz w:val="24"/>
          <w:szCs w:val="24"/>
        </w:rPr>
        <w:t>设备为国际知名品牌产品。</w:t>
      </w:r>
    </w:p>
    <w:p>
      <w:pPr>
        <w:pStyle w:val="46"/>
        <w:keepNext w:val="0"/>
        <w:widowControl w:val="0"/>
        <w:ind w:right="0" w:firstLine="480" w:firstLineChars="200"/>
        <w:rPr>
          <w:rFonts w:ascii="Times New Roman"/>
          <w:sz w:val="24"/>
          <w:szCs w:val="24"/>
        </w:rPr>
      </w:pPr>
      <w:r>
        <w:rPr>
          <w:rFonts w:hint="eastAsia" w:ascii="Times New Roman"/>
          <w:sz w:val="24"/>
          <w:szCs w:val="24"/>
          <w:lang w:val="en-US" w:eastAsia="zh-CN"/>
        </w:rPr>
        <w:t>3</w:t>
      </w:r>
      <w:r>
        <w:rPr>
          <w:rFonts w:ascii="Times New Roman"/>
          <w:sz w:val="24"/>
          <w:szCs w:val="24"/>
        </w:rPr>
        <w:t>）</w:t>
      </w:r>
      <w:r>
        <w:rPr>
          <w:rFonts w:hint="eastAsia" w:ascii="Times New Roman"/>
          <w:sz w:val="24"/>
          <w:szCs w:val="24"/>
          <w:lang w:eastAsia="zh-CN"/>
        </w:rPr>
        <w:t>投标人</w:t>
      </w:r>
      <w:r>
        <w:rPr>
          <w:rFonts w:ascii="Times New Roman"/>
          <w:sz w:val="24"/>
          <w:szCs w:val="24"/>
        </w:rPr>
        <w:t>应提供安装用的所有紧固件(包括膨胀地脚螺栓、螺母、垫圈等)，并应符合相关的技术要求。</w:t>
      </w:r>
    </w:p>
    <w:p>
      <w:pPr>
        <w:pStyle w:val="46"/>
        <w:keepNext w:val="0"/>
        <w:widowControl w:val="0"/>
        <w:ind w:right="0" w:firstLine="480" w:firstLineChars="200"/>
        <w:rPr>
          <w:rFonts w:ascii="Times New Roman"/>
          <w:sz w:val="24"/>
          <w:szCs w:val="24"/>
        </w:rPr>
      </w:pPr>
      <w:r>
        <w:rPr>
          <w:rFonts w:hint="eastAsia" w:ascii="Times New Roman"/>
          <w:sz w:val="24"/>
          <w:szCs w:val="24"/>
          <w:lang w:val="en-US" w:eastAsia="zh-CN"/>
        </w:rPr>
        <w:t>4</w:t>
      </w:r>
      <w:r>
        <w:rPr>
          <w:rFonts w:ascii="Times New Roman"/>
          <w:sz w:val="24"/>
          <w:szCs w:val="24"/>
        </w:rPr>
        <w:t>）</w:t>
      </w:r>
      <w:r>
        <w:rPr>
          <w:rFonts w:hint="eastAsia" w:ascii="Times New Roman"/>
          <w:sz w:val="24"/>
          <w:szCs w:val="24"/>
          <w:lang w:eastAsia="zh-CN"/>
        </w:rPr>
        <w:t>投标人</w:t>
      </w:r>
      <w:r>
        <w:rPr>
          <w:rFonts w:ascii="Times New Roman"/>
          <w:sz w:val="24"/>
          <w:szCs w:val="24"/>
        </w:rPr>
        <w:t>提供的</w:t>
      </w:r>
      <w:r>
        <w:rPr>
          <w:rFonts w:hint="eastAsia" w:ascii="Times New Roman"/>
          <w:sz w:val="24"/>
          <w:szCs w:val="24"/>
          <w:lang w:eastAsia="zh-CN"/>
        </w:rPr>
        <w:t>潜污泵</w:t>
      </w:r>
      <w:r>
        <w:rPr>
          <w:rFonts w:ascii="Times New Roman"/>
          <w:sz w:val="24"/>
          <w:szCs w:val="24"/>
        </w:rPr>
        <w:t>应采用技术先进的成熟产品。</w:t>
      </w:r>
    </w:p>
    <w:p>
      <w:pPr>
        <w:pStyle w:val="46"/>
        <w:keepNext w:val="0"/>
        <w:widowControl w:val="0"/>
        <w:ind w:right="0" w:firstLine="480" w:firstLineChars="200"/>
        <w:rPr>
          <w:rFonts w:ascii="Times New Roman"/>
          <w:sz w:val="24"/>
          <w:szCs w:val="24"/>
        </w:rPr>
      </w:pPr>
      <w:r>
        <w:rPr>
          <w:rFonts w:hint="eastAsia" w:ascii="Times New Roman"/>
          <w:sz w:val="24"/>
          <w:szCs w:val="24"/>
          <w:lang w:val="en-US" w:eastAsia="zh-CN"/>
        </w:rPr>
        <w:t>5</w:t>
      </w:r>
      <w:r>
        <w:rPr>
          <w:rFonts w:ascii="Times New Roman"/>
          <w:sz w:val="24"/>
          <w:szCs w:val="24"/>
        </w:rPr>
        <w:t>）</w:t>
      </w:r>
      <w:r>
        <w:rPr>
          <w:rFonts w:hint="eastAsia" w:ascii="Times New Roman"/>
          <w:sz w:val="24"/>
          <w:szCs w:val="24"/>
        </w:rPr>
        <w:t>水</w:t>
      </w:r>
      <w:r>
        <w:rPr>
          <w:rFonts w:ascii="Times New Roman"/>
          <w:sz w:val="24"/>
          <w:szCs w:val="24"/>
        </w:rPr>
        <w:t>泵交货时需提供按ISO9906 G</w:t>
      </w:r>
      <w:r>
        <w:rPr>
          <w:rFonts w:hint="eastAsia" w:ascii="Times New Roman"/>
          <w:sz w:val="24"/>
          <w:szCs w:val="24"/>
        </w:rPr>
        <w:t xml:space="preserve">r </w:t>
      </w:r>
      <w:r>
        <w:rPr>
          <w:rFonts w:ascii="Times New Roman"/>
          <w:sz w:val="24"/>
          <w:szCs w:val="24"/>
        </w:rPr>
        <w:t>2</w:t>
      </w:r>
      <w:r>
        <w:rPr>
          <w:rFonts w:hint="eastAsia" w:ascii="Times New Roman"/>
          <w:sz w:val="24"/>
          <w:szCs w:val="24"/>
        </w:rPr>
        <w:t>B</w:t>
      </w:r>
      <w:r>
        <w:rPr>
          <w:rFonts w:ascii="Times New Roman"/>
          <w:sz w:val="24"/>
          <w:szCs w:val="24"/>
        </w:rPr>
        <w:t>标准</w:t>
      </w:r>
      <w:r>
        <w:rPr>
          <w:rFonts w:hint="eastAsia" w:ascii="Times New Roman"/>
          <w:sz w:val="24"/>
          <w:szCs w:val="24"/>
        </w:rPr>
        <w:t>测试的性能报告</w:t>
      </w:r>
      <w:r>
        <w:rPr>
          <w:rFonts w:ascii="Times New Roman"/>
          <w:sz w:val="24"/>
          <w:szCs w:val="24"/>
        </w:rPr>
        <w:t>。</w:t>
      </w:r>
    </w:p>
    <w:p>
      <w:pPr>
        <w:pStyle w:val="46"/>
        <w:keepNext w:val="0"/>
        <w:widowControl w:val="0"/>
        <w:ind w:right="0" w:firstLine="480" w:firstLineChars="200"/>
        <w:rPr>
          <w:rFonts w:ascii="Times New Roman"/>
          <w:sz w:val="24"/>
          <w:szCs w:val="24"/>
        </w:rPr>
      </w:pPr>
    </w:p>
    <w:p>
      <w:pPr>
        <w:spacing w:line="360" w:lineRule="exact"/>
        <w:ind w:firstLine="562" w:firstLineChars="200"/>
        <w:rPr>
          <w:rFonts w:hint="eastAsia" w:ascii="Times New Roman"/>
          <w:b/>
          <w:bCs/>
          <w:sz w:val="24"/>
          <w:szCs w:val="24"/>
        </w:rPr>
      </w:pPr>
      <w:r>
        <w:rPr>
          <w:rFonts w:hint="eastAsia" w:ascii="仿宋_GB2312" w:hAnsi="仿宋_GB2312" w:eastAsia="仿宋_GB2312" w:cs="仿宋_GB2312"/>
          <w:b/>
          <w:bCs/>
          <w:color w:val="auto"/>
          <w:sz w:val="28"/>
          <w:szCs w:val="28"/>
        </w:rPr>
        <w:t>三、</w:t>
      </w:r>
      <w:r>
        <w:rPr>
          <w:rFonts w:hint="eastAsia" w:ascii="仿宋_GB2312" w:hAnsi="仿宋_GB2312" w:eastAsia="仿宋_GB2312" w:cs="仿宋_GB2312"/>
          <w:b/>
          <w:bCs/>
          <w:color w:val="auto"/>
          <w:sz w:val="28"/>
          <w:szCs w:val="28"/>
          <w:lang w:eastAsia="zh-CN"/>
        </w:rPr>
        <w:t>潜污</w:t>
      </w:r>
      <w:r>
        <w:rPr>
          <w:rFonts w:hint="eastAsia" w:ascii="仿宋_GB2312" w:hAnsi="仿宋_GB2312" w:eastAsia="仿宋_GB2312" w:cs="仿宋_GB2312"/>
          <w:b/>
          <w:bCs/>
          <w:color w:val="auto"/>
          <w:sz w:val="28"/>
          <w:szCs w:val="28"/>
        </w:rPr>
        <w:t>泵技术性能指标</w:t>
      </w:r>
    </w:p>
    <w:p>
      <w:pPr>
        <w:pStyle w:val="4"/>
        <w:keepNext w:val="0"/>
        <w:keepLines w:val="0"/>
        <w:widowControl w:val="0"/>
        <w:spacing w:before="120"/>
        <w:jc w:val="both"/>
        <w:rPr>
          <w:sz w:val="24"/>
          <w:szCs w:val="24"/>
        </w:rPr>
      </w:pPr>
      <w:bookmarkStart w:id="34" w:name="_Toc185941872"/>
      <w:r>
        <w:rPr>
          <w:sz w:val="24"/>
          <w:szCs w:val="24"/>
        </w:rPr>
        <w:t>3</w:t>
      </w:r>
      <w:r>
        <w:rPr>
          <w:rFonts w:hint="eastAsia"/>
          <w:sz w:val="24"/>
          <w:szCs w:val="24"/>
          <w:lang w:eastAsia="zh-CN"/>
        </w:rPr>
        <w:t>.</w:t>
      </w:r>
      <w:r>
        <w:rPr>
          <w:rFonts w:hint="eastAsia"/>
          <w:sz w:val="24"/>
          <w:szCs w:val="24"/>
          <w:lang w:val="en-US" w:eastAsia="zh-CN"/>
        </w:rPr>
        <w:t>1</w:t>
      </w:r>
      <w:r>
        <w:rPr>
          <w:sz w:val="24"/>
          <w:szCs w:val="24"/>
        </w:rPr>
        <w:t xml:space="preserve"> </w:t>
      </w:r>
      <w:r>
        <w:rPr>
          <w:rFonts w:hint="eastAsia"/>
          <w:sz w:val="24"/>
          <w:szCs w:val="24"/>
          <w:lang w:eastAsia="zh-CN"/>
        </w:rPr>
        <w:t>潜污泵</w:t>
      </w:r>
      <w:r>
        <w:rPr>
          <w:sz w:val="24"/>
          <w:szCs w:val="24"/>
        </w:rPr>
        <w:t>的详细规定</w:t>
      </w:r>
      <w:bookmarkEnd w:id="34"/>
    </w:p>
    <w:p>
      <w:pPr>
        <w:pStyle w:val="4"/>
        <w:keepNext w:val="0"/>
        <w:keepLines w:val="0"/>
        <w:widowControl w:val="0"/>
        <w:spacing w:before="120"/>
        <w:jc w:val="both"/>
        <w:rPr>
          <w:sz w:val="24"/>
          <w:szCs w:val="24"/>
        </w:rPr>
      </w:pPr>
      <w:bookmarkStart w:id="35" w:name="_Toc185941873"/>
      <w:bookmarkStart w:id="36" w:name="_Toc10000154"/>
      <w:r>
        <w:rPr>
          <w:sz w:val="24"/>
          <w:szCs w:val="24"/>
        </w:rPr>
        <w:t>3.1</w:t>
      </w:r>
      <w:r>
        <w:rPr>
          <w:rFonts w:hint="eastAsia"/>
          <w:sz w:val="24"/>
          <w:szCs w:val="24"/>
          <w:lang w:val="en-US" w:eastAsia="zh-CN"/>
        </w:rPr>
        <w:t>.1</w:t>
      </w:r>
      <w:r>
        <w:rPr>
          <w:sz w:val="24"/>
          <w:szCs w:val="24"/>
        </w:rPr>
        <w:t xml:space="preserve"> </w:t>
      </w:r>
      <w:bookmarkEnd w:id="35"/>
      <w:r>
        <w:rPr>
          <w:sz w:val="24"/>
          <w:szCs w:val="24"/>
        </w:rPr>
        <w:t>性能与结构</w:t>
      </w:r>
    </w:p>
    <w:p>
      <w:pPr>
        <w:pStyle w:val="46"/>
        <w:keepNext w:val="0"/>
        <w:widowControl w:val="0"/>
        <w:ind w:right="0" w:firstLine="480" w:firstLineChars="200"/>
        <w:rPr>
          <w:rFonts w:ascii="Times New Roman"/>
          <w:sz w:val="24"/>
          <w:szCs w:val="24"/>
        </w:rPr>
      </w:pPr>
      <w:r>
        <w:rPr>
          <w:rFonts w:hint="eastAsia" w:ascii="Times New Roman"/>
          <w:sz w:val="24"/>
          <w:szCs w:val="24"/>
          <w:lang w:eastAsia="zh-CN"/>
        </w:rPr>
        <w:t>潜污泵</w:t>
      </w:r>
      <w:r>
        <w:rPr>
          <w:rFonts w:ascii="Times New Roman"/>
          <w:sz w:val="24"/>
          <w:szCs w:val="24"/>
        </w:rPr>
        <w:t>为立式、单级和可脱卸的</w:t>
      </w:r>
      <w:r>
        <w:rPr>
          <w:rFonts w:hint="eastAsia" w:ascii="Times New Roman"/>
          <w:sz w:val="24"/>
          <w:szCs w:val="24"/>
          <w:lang w:eastAsia="zh-CN"/>
        </w:rPr>
        <w:t>潜污泵</w:t>
      </w:r>
      <w:r>
        <w:rPr>
          <w:rFonts w:ascii="Times New Roman"/>
          <w:sz w:val="24"/>
          <w:szCs w:val="24"/>
        </w:rPr>
        <w:t>，</w:t>
      </w:r>
      <w:r>
        <w:rPr>
          <w:rFonts w:hint="eastAsia" w:ascii="Times New Roman"/>
          <w:sz w:val="24"/>
          <w:szCs w:val="24"/>
        </w:rPr>
        <w:t>泵</w:t>
      </w:r>
      <w:r>
        <w:rPr>
          <w:rFonts w:ascii="Times New Roman"/>
          <w:sz w:val="24"/>
          <w:szCs w:val="24"/>
        </w:rPr>
        <w:t>与潜水电机为一个整体，</w:t>
      </w:r>
      <w:r>
        <w:rPr>
          <w:rFonts w:hint="eastAsia" w:ascii="Times New Roman"/>
          <w:sz w:val="24"/>
          <w:szCs w:val="24"/>
          <w:lang w:eastAsia="zh-CN"/>
        </w:rPr>
        <w:t>潜污泵</w:t>
      </w:r>
      <w:r>
        <w:rPr>
          <w:rFonts w:ascii="Times New Roman"/>
          <w:sz w:val="24"/>
          <w:szCs w:val="24"/>
        </w:rPr>
        <w:t>能泵送</w:t>
      </w:r>
      <w:r>
        <w:rPr>
          <w:rFonts w:hint="eastAsia" w:ascii="Times New Roman"/>
          <w:sz w:val="24"/>
          <w:szCs w:val="24"/>
        </w:rPr>
        <w:t>常规市政</w:t>
      </w:r>
      <w:r>
        <w:rPr>
          <w:rFonts w:ascii="Times New Roman"/>
          <w:sz w:val="24"/>
          <w:szCs w:val="24"/>
        </w:rPr>
        <w:t>污水。</w:t>
      </w:r>
    </w:p>
    <w:p>
      <w:pPr>
        <w:pStyle w:val="46"/>
        <w:keepNext w:val="0"/>
        <w:widowControl w:val="0"/>
        <w:ind w:right="0" w:firstLine="480" w:firstLineChars="200"/>
        <w:rPr>
          <w:rFonts w:ascii="Times New Roman"/>
          <w:sz w:val="24"/>
          <w:szCs w:val="24"/>
        </w:rPr>
      </w:pPr>
      <w:r>
        <w:rPr>
          <w:rFonts w:ascii="Times New Roman"/>
          <w:sz w:val="24"/>
          <w:szCs w:val="24"/>
        </w:rPr>
        <w:t>潜水电机直接与泵叶轮同轴相连，水力部件由水泵</w:t>
      </w:r>
      <w:r>
        <w:rPr>
          <w:rFonts w:hint="eastAsia" w:ascii="Times New Roman"/>
          <w:sz w:val="24"/>
          <w:szCs w:val="24"/>
        </w:rPr>
        <w:t>蜗壳</w:t>
      </w:r>
      <w:r>
        <w:rPr>
          <w:rFonts w:ascii="Times New Roman"/>
          <w:sz w:val="24"/>
          <w:szCs w:val="24"/>
        </w:rPr>
        <w:t>、叶轮组成。泵能够在20m水深下持续长期运行。为了确保流量稳定且没有过多涡旋，水力部件设计和制造成没有锐利的棱角。泵出水配管法兰按</w:t>
      </w:r>
      <w:r>
        <w:rPr>
          <w:rFonts w:ascii="Times New Roman"/>
          <w:bCs/>
          <w:sz w:val="24"/>
          <w:szCs w:val="24"/>
        </w:rPr>
        <w:t>DIN EN 1092-2，PN10或DIN2633 PN16</w:t>
      </w:r>
      <w:r>
        <w:rPr>
          <w:rFonts w:ascii="Times New Roman"/>
          <w:sz w:val="24"/>
          <w:szCs w:val="24"/>
        </w:rPr>
        <w:t>标准。</w:t>
      </w:r>
    </w:p>
    <w:p>
      <w:pPr>
        <w:pStyle w:val="46"/>
        <w:keepNext w:val="0"/>
        <w:widowControl w:val="0"/>
        <w:ind w:right="0" w:firstLine="480" w:firstLineChars="200"/>
        <w:rPr>
          <w:rFonts w:ascii="Times New Roman"/>
          <w:sz w:val="24"/>
          <w:szCs w:val="24"/>
        </w:rPr>
      </w:pPr>
      <w:r>
        <w:rPr>
          <w:rFonts w:hint="eastAsia" w:ascii="Times New Roman"/>
          <w:sz w:val="24"/>
          <w:szCs w:val="24"/>
          <w:lang w:eastAsia="zh-CN"/>
        </w:rPr>
        <w:t>投标人</w:t>
      </w:r>
      <w:r>
        <w:rPr>
          <w:rFonts w:ascii="Times New Roman"/>
          <w:sz w:val="24"/>
          <w:szCs w:val="24"/>
        </w:rPr>
        <w:t>提供的</w:t>
      </w:r>
      <w:r>
        <w:rPr>
          <w:rFonts w:hint="eastAsia" w:ascii="Times New Roman"/>
          <w:sz w:val="24"/>
          <w:szCs w:val="24"/>
          <w:lang w:eastAsia="zh-CN"/>
        </w:rPr>
        <w:t>潜污泵</w:t>
      </w:r>
      <w:r>
        <w:rPr>
          <w:rFonts w:ascii="Times New Roman"/>
          <w:sz w:val="24"/>
          <w:szCs w:val="24"/>
        </w:rPr>
        <w:t>应为成套装置，并需配备出水弯座、耦合装置、提升用导杆、提升链、水下电缆（10m）、电缆网兜及固定件等有效和安全运行所必需的附件。</w:t>
      </w:r>
    </w:p>
    <w:p>
      <w:pPr>
        <w:pStyle w:val="46"/>
        <w:keepNext w:val="0"/>
        <w:widowControl w:val="0"/>
        <w:ind w:right="0" w:firstLine="480" w:firstLineChars="200"/>
        <w:rPr>
          <w:rFonts w:ascii="Times New Roman"/>
          <w:sz w:val="24"/>
          <w:szCs w:val="24"/>
        </w:rPr>
      </w:pPr>
      <w:r>
        <w:rPr>
          <w:rFonts w:ascii="Times New Roman"/>
          <w:sz w:val="24"/>
          <w:szCs w:val="24"/>
        </w:rPr>
        <w:t>除非有其他规定，</w:t>
      </w:r>
      <w:r>
        <w:rPr>
          <w:rFonts w:hint="eastAsia" w:ascii="Times New Roman"/>
          <w:sz w:val="24"/>
          <w:szCs w:val="24"/>
          <w:lang w:eastAsia="zh-CN"/>
        </w:rPr>
        <w:t>潜污泵</w:t>
      </w:r>
      <w:r>
        <w:rPr>
          <w:rFonts w:ascii="Times New Roman"/>
          <w:sz w:val="24"/>
          <w:szCs w:val="24"/>
        </w:rPr>
        <w:t>输送的介质为含有固体颗粒的城市污水，在不需看护的情况下，无故障运行至少10,000小时。</w:t>
      </w:r>
      <w:r>
        <w:rPr>
          <w:rFonts w:hint="eastAsia" w:ascii="Times New Roman"/>
          <w:sz w:val="24"/>
          <w:szCs w:val="24"/>
          <w:lang w:eastAsia="zh-CN"/>
        </w:rPr>
        <w:t>潜污泵</w:t>
      </w:r>
      <w:r>
        <w:rPr>
          <w:rFonts w:ascii="Times New Roman"/>
          <w:sz w:val="24"/>
          <w:szCs w:val="24"/>
        </w:rPr>
        <w:t>应能通过粘性材料、破布、废纸和塑料等而不发生堵塞现象，可靠和无故障的运行以及低成本的维修费用将成为选择水泵的首要因素。</w:t>
      </w:r>
    </w:p>
    <w:p>
      <w:pPr>
        <w:pStyle w:val="46"/>
        <w:keepNext w:val="0"/>
        <w:widowControl w:val="0"/>
        <w:ind w:right="0" w:firstLine="480" w:firstLineChars="200"/>
        <w:rPr>
          <w:rFonts w:hint="eastAsia" w:ascii="Times New Roman"/>
          <w:sz w:val="24"/>
          <w:szCs w:val="24"/>
        </w:rPr>
      </w:pPr>
      <w:r>
        <w:rPr>
          <w:rFonts w:hint="eastAsia" w:ascii="Times New Roman"/>
          <w:sz w:val="24"/>
          <w:szCs w:val="24"/>
          <w:lang w:eastAsia="zh-CN"/>
        </w:rPr>
        <w:t>潜污泵</w:t>
      </w:r>
      <w:r>
        <w:rPr>
          <w:rFonts w:ascii="Times New Roman"/>
          <w:sz w:val="24"/>
          <w:szCs w:val="24"/>
        </w:rPr>
        <w:t>出水法兰与出水耦合弯座为重力自动耦合，泵的出水端面与出水管弯座的耦合面密封可靠。</w:t>
      </w:r>
      <w:r>
        <w:rPr>
          <w:rFonts w:hint="eastAsia" w:ascii="Times New Roman"/>
          <w:color w:val="000000"/>
          <w:sz w:val="24"/>
          <w:szCs w:val="24"/>
        </w:rPr>
        <w:t>密封面</w:t>
      </w:r>
      <w:r>
        <w:rPr>
          <w:rFonts w:hint="eastAsia" w:ascii="Times New Roman"/>
          <w:sz w:val="24"/>
          <w:szCs w:val="24"/>
        </w:rPr>
        <w:t>采用O型圈或环进行</w:t>
      </w:r>
      <w:r>
        <w:rPr>
          <w:rFonts w:hint="eastAsia" w:ascii="Times New Roman"/>
          <w:color w:val="000000"/>
          <w:sz w:val="24"/>
          <w:szCs w:val="24"/>
        </w:rPr>
        <w:t>密封，确保出口没有泄露。</w:t>
      </w:r>
    </w:p>
    <w:p>
      <w:pPr>
        <w:pStyle w:val="46"/>
        <w:keepNext w:val="0"/>
        <w:widowControl w:val="0"/>
        <w:ind w:right="0" w:firstLine="480" w:firstLineChars="200"/>
        <w:rPr>
          <w:rStyle w:val="47"/>
          <w:rFonts w:ascii="Times New Roman"/>
        </w:rPr>
      </w:pPr>
      <w:r>
        <w:rPr>
          <w:rFonts w:ascii="Times New Roman"/>
          <w:sz w:val="24"/>
          <w:szCs w:val="24"/>
        </w:rPr>
        <w:t>泵的所有旋</w:t>
      </w:r>
      <w:r>
        <w:rPr>
          <w:rStyle w:val="47"/>
          <w:rFonts w:ascii="Times New Roman"/>
        </w:rPr>
        <w:t>转零件（包括电动机）应在制造时进行静平衡试验，装配后进行动平衡试验，精度应至少达到</w:t>
      </w:r>
      <w:r>
        <w:rPr>
          <w:rStyle w:val="47"/>
          <w:rFonts w:ascii="Times New Roman"/>
          <w:bCs/>
        </w:rPr>
        <w:t>ISO1940 G6.3级</w:t>
      </w:r>
      <w:r>
        <w:rPr>
          <w:rStyle w:val="47"/>
          <w:rFonts w:ascii="Times New Roman"/>
        </w:rPr>
        <w:t>的要求。</w:t>
      </w:r>
    </w:p>
    <w:p>
      <w:pPr>
        <w:pStyle w:val="46"/>
        <w:keepNext w:val="0"/>
        <w:widowControl w:val="0"/>
        <w:ind w:right="0" w:firstLine="480" w:firstLineChars="200"/>
        <w:rPr>
          <w:rFonts w:ascii="Times New Roman"/>
          <w:sz w:val="24"/>
          <w:szCs w:val="24"/>
        </w:rPr>
      </w:pPr>
      <w:r>
        <w:rPr>
          <w:rFonts w:ascii="Times New Roman"/>
          <w:sz w:val="24"/>
          <w:szCs w:val="24"/>
        </w:rPr>
        <w:t>1）泵壳</w:t>
      </w:r>
    </w:p>
    <w:p>
      <w:pPr>
        <w:pStyle w:val="46"/>
        <w:keepNext w:val="0"/>
        <w:widowControl w:val="0"/>
        <w:ind w:right="0" w:firstLine="480" w:firstLineChars="200"/>
        <w:rPr>
          <w:rFonts w:ascii="Times New Roman"/>
          <w:sz w:val="24"/>
          <w:szCs w:val="24"/>
        </w:rPr>
      </w:pPr>
      <w:r>
        <w:rPr>
          <w:rFonts w:ascii="Times New Roman"/>
          <w:sz w:val="24"/>
          <w:szCs w:val="24"/>
        </w:rPr>
        <w:t>泵壳采用灰铸铁整体浇铸，其材料至少为GG25铸铁，泵壳内表面经加工后为光滑、无疵瑕形式，所有水流通过部分设计成无锐角形式，以使流速和流向变化趋于平稳。通道的断面足够大，以使相应粒径的杂物能通过叶轮。泵壳有足够的厚度来承受所有的载荷，包括要求的静水试验压力以及连续工作的最大压力。</w:t>
      </w:r>
    </w:p>
    <w:p>
      <w:pPr>
        <w:pStyle w:val="46"/>
        <w:keepNext w:val="0"/>
        <w:widowControl w:val="0"/>
        <w:ind w:right="0" w:firstLine="480" w:firstLineChars="200"/>
        <w:rPr>
          <w:rFonts w:ascii="Times New Roman"/>
          <w:sz w:val="24"/>
          <w:szCs w:val="24"/>
        </w:rPr>
      </w:pPr>
      <w:r>
        <w:rPr>
          <w:rFonts w:ascii="Times New Roman"/>
          <w:sz w:val="24"/>
          <w:szCs w:val="24"/>
        </w:rPr>
        <w:t>泵壳设计时考虑到能够把叶轮从顶部或底部抽出。离心式</w:t>
      </w:r>
      <w:r>
        <w:rPr>
          <w:rFonts w:hint="eastAsia" w:ascii="Times New Roman"/>
          <w:sz w:val="24"/>
          <w:szCs w:val="24"/>
          <w:lang w:eastAsia="zh-CN"/>
        </w:rPr>
        <w:t>潜污泵</w:t>
      </w:r>
      <w:r>
        <w:rPr>
          <w:rFonts w:ascii="Times New Roman"/>
          <w:sz w:val="24"/>
          <w:szCs w:val="24"/>
        </w:rPr>
        <w:t>提供出水联接底座和定位挡板以便水泵安装时能自动入座锁紧。</w:t>
      </w:r>
    </w:p>
    <w:p>
      <w:pPr>
        <w:pStyle w:val="48"/>
        <w:ind w:firstLine="480"/>
      </w:pPr>
      <w:r>
        <w:t>每台泵壳都在制造车间进行静压试验，试验压力不小于关闭水头的</w:t>
      </w:r>
      <w:r>
        <w:rPr>
          <w:rFonts w:hint="eastAsia"/>
        </w:rPr>
        <w:t>1.5</w:t>
      </w:r>
      <w:r>
        <w:t>倍（如特性曲线所示），试验时间至少持续10min。在这一试验压力下，泵的任一部分均没有变形现象发生，或出现变形的迹象及其它缺陷。</w:t>
      </w:r>
    </w:p>
    <w:p>
      <w:pPr>
        <w:pStyle w:val="46"/>
        <w:keepNext w:val="0"/>
        <w:widowControl w:val="0"/>
        <w:ind w:right="0" w:firstLine="480" w:firstLineChars="200"/>
        <w:rPr>
          <w:rFonts w:ascii="Times New Roman"/>
          <w:sz w:val="24"/>
          <w:szCs w:val="24"/>
        </w:rPr>
      </w:pPr>
      <w:r>
        <w:rPr>
          <w:rFonts w:ascii="Times New Roman"/>
          <w:sz w:val="24"/>
          <w:szCs w:val="24"/>
        </w:rPr>
        <w:t>2）泵叶轮</w:t>
      </w:r>
    </w:p>
    <w:p>
      <w:pPr>
        <w:pStyle w:val="46"/>
        <w:keepNext w:val="0"/>
        <w:widowControl w:val="0"/>
        <w:ind w:right="0" w:firstLine="480" w:firstLineChars="200"/>
        <w:rPr>
          <w:rFonts w:ascii="Times New Roman"/>
          <w:kern w:val="2"/>
          <w:sz w:val="24"/>
          <w:szCs w:val="24"/>
        </w:rPr>
      </w:pPr>
      <w:r>
        <w:rPr>
          <w:rFonts w:hint="eastAsia" w:ascii="Times New Roman"/>
          <w:kern w:val="2"/>
          <w:sz w:val="24"/>
          <w:szCs w:val="24"/>
          <w:lang w:eastAsia="zh-CN"/>
        </w:rPr>
        <w:t>潜污泵</w:t>
      </w:r>
      <w:r>
        <w:rPr>
          <w:rFonts w:hint="eastAsia" w:ascii="Times New Roman"/>
          <w:kern w:val="2"/>
          <w:sz w:val="24"/>
          <w:szCs w:val="24"/>
        </w:rPr>
        <w:t>叶轮为无堵塞式叶轮，采用多叶片无堵塞设计，固体通道至少可达</w:t>
      </w:r>
      <w:r>
        <w:rPr>
          <w:rFonts w:ascii="Times New Roman"/>
          <w:kern w:val="2"/>
          <w:sz w:val="24"/>
          <w:szCs w:val="24"/>
        </w:rPr>
        <w:t>75</w:t>
      </w:r>
      <w:r>
        <w:rPr>
          <w:rFonts w:hint="eastAsia" w:ascii="Times New Roman"/>
          <w:kern w:val="2"/>
          <w:sz w:val="24"/>
          <w:szCs w:val="24"/>
        </w:rPr>
        <w:t>毫米。叶片采用特殊角度和大半径设计，确保叶片上不积累固体杂物，预防纤维物质缠绕。叶轮设计采用倒锥形上底板，引导固体颗粒离开叶轮。蜗壳吸入口采用耐磨底盘结构，耐磨底盘通过螺栓与蜗壳紧固，不接受耐磨口环结构。可通过调节紧固螺栓调节耐磨底盘与叶轮间隙，恢复水泵原始效率，确保水泵始终保持高效运行。耐磨底盘带开槽设计，可以有效对长纤维物质研磨切割，保证长纤维物质的通过能力。叶轮背面设计成带锯齿形，以阻止污物进入密封腔中损坏机械密封。</w:t>
      </w:r>
    </w:p>
    <w:p>
      <w:pPr>
        <w:pStyle w:val="46"/>
        <w:keepNext w:val="0"/>
        <w:widowControl w:val="0"/>
        <w:ind w:right="0" w:firstLine="480" w:firstLineChars="200"/>
        <w:rPr>
          <w:rFonts w:ascii="Times New Roman"/>
          <w:bCs/>
          <w:sz w:val="24"/>
          <w:szCs w:val="24"/>
        </w:rPr>
      </w:pPr>
      <w:r>
        <w:rPr>
          <w:rFonts w:hint="eastAsia" w:ascii="Times New Roman"/>
          <w:bCs/>
          <w:sz w:val="24"/>
          <w:szCs w:val="24"/>
        </w:rPr>
        <w:t>叶轮采用长流道无剧烈拐角的设计，具有较大的抽吸能力，并精心地进行加工和表面处理。叶轮材质至少为铸铁</w:t>
      </w:r>
      <w:r>
        <w:rPr>
          <w:rFonts w:ascii="Times New Roman"/>
          <w:bCs/>
          <w:sz w:val="24"/>
          <w:szCs w:val="24"/>
        </w:rPr>
        <w:t>GG25</w:t>
      </w:r>
      <w:r>
        <w:rPr>
          <w:rFonts w:hint="eastAsia" w:ascii="Times New Roman"/>
          <w:bCs/>
          <w:sz w:val="24"/>
          <w:szCs w:val="24"/>
        </w:rPr>
        <w:t>，叶轮均进行动平衡试验，动平衡精度不低于</w:t>
      </w:r>
      <w:r>
        <w:rPr>
          <w:rFonts w:ascii="Times New Roman"/>
          <w:bCs/>
          <w:sz w:val="24"/>
          <w:szCs w:val="24"/>
        </w:rPr>
        <w:t>G6.3</w:t>
      </w:r>
      <w:r>
        <w:rPr>
          <w:rFonts w:hint="eastAsia" w:ascii="Times New Roman"/>
          <w:bCs/>
          <w:sz w:val="24"/>
          <w:szCs w:val="24"/>
        </w:rPr>
        <w:t>级。</w:t>
      </w:r>
    </w:p>
    <w:p>
      <w:pPr>
        <w:pStyle w:val="46"/>
        <w:keepNext w:val="0"/>
        <w:widowControl w:val="0"/>
        <w:ind w:right="0" w:firstLine="480" w:firstLineChars="200"/>
        <w:rPr>
          <w:rFonts w:ascii="Times New Roman"/>
          <w:sz w:val="24"/>
          <w:szCs w:val="24"/>
        </w:rPr>
      </w:pPr>
      <w:r>
        <w:rPr>
          <w:rFonts w:ascii="Times New Roman"/>
          <w:sz w:val="24"/>
          <w:szCs w:val="24"/>
        </w:rPr>
        <w:t>3）泵轴</w:t>
      </w:r>
    </w:p>
    <w:p>
      <w:pPr>
        <w:pStyle w:val="46"/>
        <w:keepNext w:val="0"/>
        <w:widowControl w:val="0"/>
        <w:ind w:right="0" w:firstLine="480" w:firstLineChars="200"/>
        <w:rPr>
          <w:rFonts w:ascii="Times New Roman"/>
          <w:bCs/>
          <w:sz w:val="24"/>
          <w:szCs w:val="24"/>
        </w:rPr>
      </w:pPr>
      <w:r>
        <w:rPr>
          <w:rFonts w:ascii="Times New Roman"/>
          <w:bCs/>
          <w:sz w:val="24"/>
          <w:szCs w:val="24"/>
        </w:rPr>
        <w:t>泵轴和电机轴必须为整体结构，并与泵送的水流完全分开。轴材料采用高强度耐腐蚀不锈钢</w:t>
      </w:r>
      <w:r>
        <w:rPr>
          <w:rFonts w:hint="eastAsia" w:ascii="Times New Roman"/>
          <w:bCs/>
          <w:sz w:val="24"/>
          <w:szCs w:val="24"/>
        </w:rPr>
        <w:t>AISI</w:t>
      </w:r>
      <w:r>
        <w:rPr>
          <w:rFonts w:ascii="Times New Roman"/>
          <w:bCs/>
          <w:sz w:val="24"/>
          <w:szCs w:val="24"/>
        </w:rPr>
        <w:t>420制造。</w:t>
      </w:r>
      <w:r>
        <w:rPr>
          <w:rFonts w:hint="eastAsia" w:ascii="Times New Roman"/>
          <w:bCs/>
          <w:sz w:val="24"/>
          <w:szCs w:val="24"/>
        </w:rPr>
        <w:t>不接受碳钢主轴加轴套的结构。</w:t>
      </w:r>
    </w:p>
    <w:p>
      <w:pPr>
        <w:pStyle w:val="46"/>
        <w:keepNext w:val="0"/>
        <w:widowControl w:val="0"/>
        <w:ind w:right="0" w:firstLine="480" w:firstLineChars="200"/>
        <w:rPr>
          <w:rFonts w:ascii="Times New Roman"/>
          <w:sz w:val="24"/>
          <w:szCs w:val="24"/>
        </w:rPr>
      </w:pPr>
      <w:r>
        <w:rPr>
          <w:rFonts w:ascii="Times New Roman"/>
          <w:sz w:val="24"/>
          <w:szCs w:val="24"/>
        </w:rPr>
        <w:t>4）泵轴承</w:t>
      </w:r>
    </w:p>
    <w:p>
      <w:pPr>
        <w:pStyle w:val="48"/>
        <w:ind w:firstLine="480"/>
        <w:rPr>
          <w:bCs/>
          <w:kern w:val="16"/>
        </w:rPr>
      </w:pPr>
      <w:r>
        <w:t>应采用高质量的终身润滑轴承，轴承的设计使用寿命应大于</w:t>
      </w:r>
      <w:r>
        <w:rPr>
          <w:bCs/>
        </w:rPr>
        <w:t>100,000小时</w:t>
      </w:r>
      <w:r>
        <w:t>。设计</w:t>
      </w:r>
      <w:r>
        <w:rPr>
          <w:bCs/>
          <w:kern w:val="16"/>
        </w:rPr>
        <w:t>的轴承必须能够承受所有轴向和径向负荷，并完全与泵送的水流分开。</w:t>
      </w:r>
    </w:p>
    <w:p>
      <w:pPr>
        <w:pStyle w:val="48"/>
        <w:ind w:firstLine="480"/>
        <w:rPr>
          <w:bCs/>
          <w:kern w:val="16"/>
        </w:rPr>
      </w:pPr>
      <w:r>
        <w:rPr>
          <w:rFonts w:hint="eastAsia"/>
          <w:bCs/>
          <w:kern w:val="16"/>
        </w:rPr>
        <w:t>上轴承是一个圆柱滚子轴承用于承担径向力。下轴承至少包括一个圆柱滚子轴承承担径向力及一对角接触球轴承承担轴向力。上、下轴承分别设有温度传感器，当轴承温度过热时将发出报警信号并自动切断电源。</w:t>
      </w:r>
    </w:p>
    <w:p>
      <w:pPr>
        <w:pStyle w:val="46"/>
        <w:keepNext w:val="0"/>
        <w:widowControl w:val="0"/>
        <w:ind w:right="0" w:firstLine="480" w:firstLineChars="200"/>
        <w:rPr>
          <w:rFonts w:ascii="Times New Roman"/>
          <w:sz w:val="24"/>
          <w:szCs w:val="24"/>
        </w:rPr>
      </w:pPr>
      <w:r>
        <w:rPr>
          <w:rFonts w:ascii="Times New Roman"/>
          <w:sz w:val="24"/>
          <w:szCs w:val="24"/>
        </w:rPr>
        <w:t>5）耐磨环</w:t>
      </w:r>
    </w:p>
    <w:p>
      <w:pPr>
        <w:pStyle w:val="48"/>
        <w:ind w:firstLine="480"/>
      </w:pPr>
      <w:r>
        <w:t>采用叶轮间隙可调的形式，叶轮间隙调节能保证蜗壳和叶轮吸口之间有效的间隙性，并且叶轮间隙多次可调，当泵由于磨损而效率降低时，可通过调整叶轮的间隙来恢复水泵的效率。叶轮间隙调节时以轴向调节为准，并在泵的外部调节和测量。</w:t>
      </w:r>
    </w:p>
    <w:p>
      <w:pPr>
        <w:pStyle w:val="46"/>
        <w:keepNext w:val="0"/>
        <w:widowControl w:val="0"/>
        <w:ind w:right="0" w:firstLine="480" w:firstLineChars="200"/>
        <w:rPr>
          <w:rFonts w:ascii="Times New Roman"/>
          <w:sz w:val="24"/>
          <w:szCs w:val="24"/>
        </w:rPr>
      </w:pPr>
      <w:r>
        <w:rPr>
          <w:rFonts w:ascii="Times New Roman"/>
          <w:sz w:val="24"/>
          <w:szCs w:val="24"/>
        </w:rPr>
        <w:t>6）泵的密封</w:t>
      </w:r>
    </w:p>
    <w:p>
      <w:pPr>
        <w:pStyle w:val="48"/>
        <w:ind w:firstLine="480"/>
        <w:rPr>
          <w:rFonts w:hint="eastAsia"/>
          <w:kern w:val="16"/>
        </w:rPr>
      </w:pPr>
      <w:r>
        <w:rPr>
          <w:rFonts w:hint="eastAsia"/>
          <w:kern w:val="16"/>
        </w:rPr>
        <w:t>每台泵配有一个上下双重独立的机械密封和一个唇封的三重密封系统。唇封位于上密封与下轴承之间，材质为丁腈橡胶。唇封和上密封在油腔内运行，由油脂润滑。下密封与叶轮毂分开，由泵送介质进行润滑。每个密封组分别包括一个静密封环和一个旋转的动密封环，材料为碳化硅。每个密封的分界面由其自身的弹簧系统连接。密封不需要维护和调整，并且在不影响或失去密封功能的情况下，可以顺时针或逆时针转动。不接受无唇封的密封结构。</w:t>
      </w:r>
    </w:p>
    <w:p>
      <w:pPr>
        <w:pStyle w:val="48"/>
        <w:ind w:firstLine="480"/>
        <w:rPr>
          <w:rFonts w:ascii="宋体" w:hAnsi="宋体" w:cs="仿宋体"/>
          <w:color w:val="000000"/>
        </w:rPr>
      </w:pPr>
      <w:r>
        <w:rPr>
          <w:rFonts w:hint="eastAsia" w:ascii="宋体" w:hAnsi="宋体" w:cs="仿宋体"/>
          <w:color w:val="000000"/>
        </w:rPr>
        <w:t>每台泵的轴密封系统有一个油室，油室在设计上能防止过满和留有油膨胀的空间。带有防漏密封的注油孔能很容易从外部进行检查维修。</w:t>
      </w:r>
    </w:p>
    <w:p>
      <w:pPr>
        <w:pStyle w:val="48"/>
        <w:ind w:firstLine="480"/>
        <w:rPr>
          <w:rFonts w:hint="eastAsia"/>
        </w:rPr>
      </w:pPr>
      <w:r>
        <w:rPr>
          <w:rFonts w:hint="eastAsia" w:ascii="宋体" w:hAnsi="宋体" w:cs="宋体"/>
        </w:rPr>
        <w:t>★</w:t>
      </w:r>
      <w:r>
        <w:rPr>
          <w:rFonts w:hint="eastAsia"/>
          <w:b/>
          <w:bCs/>
        </w:rPr>
        <w:t>机械密封需采用相当于国际通用知名品牌博格曼的通用产品，具有互换性，厂家自制的机械密封不被接受。</w:t>
      </w:r>
    </w:p>
    <w:p>
      <w:pPr>
        <w:pStyle w:val="46"/>
        <w:keepNext w:val="0"/>
        <w:widowControl w:val="0"/>
        <w:ind w:right="0" w:firstLine="480" w:firstLineChars="200"/>
        <w:rPr>
          <w:rFonts w:ascii="Times New Roman"/>
          <w:sz w:val="24"/>
          <w:szCs w:val="24"/>
        </w:rPr>
      </w:pPr>
      <w:r>
        <w:rPr>
          <w:rFonts w:ascii="Times New Roman"/>
          <w:sz w:val="24"/>
          <w:szCs w:val="24"/>
        </w:rPr>
        <w:t>7）电机</w:t>
      </w:r>
    </w:p>
    <w:p>
      <w:pPr>
        <w:pStyle w:val="48"/>
        <w:ind w:firstLine="480"/>
        <w:rPr>
          <w:rFonts w:hint="eastAsia"/>
          <w:b/>
          <w:bCs/>
        </w:rPr>
      </w:pPr>
      <w:r>
        <w:rPr>
          <w:rFonts w:hint="eastAsia" w:ascii="宋体" w:hAnsi="宋体" w:cs="宋体"/>
        </w:rPr>
        <w:t>★</w:t>
      </w:r>
      <w:r>
        <w:rPr>
          <w:b/>
          <w:bCs/>
        </w:rPr>
        <w:t>电机采用符合IEC60034-30标准的符合IE3能效级别的高效电机， 3相380V、50Hz、防护等级为IP68、电机均按照</w:t>
      </w:r>
      <w:r>
        <w:rPr>
          <w:rFonts w:hint="eastAsia"/>
          <w:b/>
          <w:bCs/>
        </w:rPr>
        <w:t>H</w:t>
      </w:r>
      <w:r>
        <w:rPr>
          <w:b/>
          <w:bCs/>
        </w:rPr>
        <w:t>级绝缘标准制造，</w:t>
      </w:r>
      <w:r>
        <w:rPr>
          <w:b/>
          <w:bCs/>
          <w:spacing w:val="8"/>
        </w:rPr>
        <w:t>能连续泵送温度最高为40</w:t>
      </w:r>
      <w:r>
        <w:rPr>
          <w:rFonts w:hint="eastAsia" w:ascii="宋体" w:hAnsi="宋体" w:cs="宋体"/>
          <w:b/>
          <w:bCs/>
          <w:spacing w:val="8"/>
        </w:rPr>
        <w:t>℃</w:t>
      </w:r>
      <w:r>
        <w:rPr>
          <w:b/>
          <w:bCs/>
          <w:spacing w:val="8"/>
        </w:rPr>
        <w:t>的介质，</w:t>
      </w:r>
      <w:r>
        <w:rPr>
          <w:b/>
          <w:bCs/>
        </w:rPr>
        <w:t>并</w:t>
      </w:r>
      <w:r>
        <w:rPr>
          <w:rFonts w:hint="eastAsia"/>
          <w:b/>
          <w:bCs/>
        </w:rPr>
        <w:t>且定子绕组平均温升不超过</w:t>
      </w:r>
      <w:r>
        <w:rPr>
          <w:rFonts w:hint="eastAsia"/>
          <w:b/>
          <w:bCs/>
          <w:color w:val="000000"/>
        </w:rPr>
        <w:t>A级</w:t>
      </w:r>
      <w:r>
        <w:rPr>
          <w:rFonts w:hint="eastAsia"/>
          <w:b/>
          <w:bCs/>
        </w:rPr>
        <w:t>60</w:t>
      </w:r>
      <w:r>
        <w:rPr>
          <w:rFonts w:hint="eastAsia" w:ascii="宋体" w:hAnsi="宋体" w:cs="宋体"/>
          <w:b/>
          <w:bCs/>
          <w:spacing w:val="8"/>
        </w:rPr>
        <w:t>℃</w:t>
      </w:r>
      <w:r>
        <w:rPr>
          <w:rFonts w:hint="eastAsia" w:ascii="宋体" w:hAnsi="宋体" w:cs="宋体"/>
          <w:spacing w:val="8"/>
        </w:rPr>
        <w:t>。</w:t>
      </w:r>
      <w:r>
        <w:rPr>
          <w:rFonts w:hint="eastAsia"/>
          <w:b/>
          <w:bCs/>
        </w:rPr>
        <w:t>投标时提供盖章承诺。</w:t>
      </w:r>
    </w:p>
    <w:p>
      <w:pPr>
        <w:pStyle w:val="48"/>
        <w:ind w:firstLine="480"/>
        <w:rPr>
          <w:bCs/>
        </w:rPr>
      </w:pPr>
      <w:bookmarkStart w:id="37" w:name="OLE_LINK9"/>
      <w:bookmarkStart w:id="38" w:name="OLE_LINK10"/>
      <w:bookmarkStart w:id="39" w:name="OLE_LINK11"/>
      <w:r>
        <w:t>电机能每小时启动</w:t>
      </w:r>
      <w:bookmarkEnd w:id="37"/>
      <w:r>
        <w:rPr>
          <w:color w:val="000000"/>
        </w:rPr>
        <w:t>10</w:t>
      </w:r>
      <w:r>
        <w:rPr>
          <w:rFonts w:hint="eastAsia"/>
        </w:rPr>
        <w:t>次</w:t>
      </w:r>
      <w:r>
        <w:t>，</w:t>
      </w:r>
      <w:bookmarkEnd w:id="38"/>
      <w:bookmarkEnd w:id="39"/>
      <w:r>
        <w:t>同时满足24h连续运转的使用要求</w:t>
      </w:r>
      <w:r>
        <w:rPr>
          <w:bCs/>
        </w:rPr>
        <w:t>。</w:t>
      </w:r>
    </w:p>
    <w:p>
      <w:pPr>
        <w:pStyle w:val="48"/>
        <w:ind w:firstLine="480"/>
      </w:pPr>
      <w:r>
        <w:t>电机与泵是同一厂家制造。</w:t>
      </w:r>
    </w:p>
    <w:p>
      <w:pPr>
        <w:pStyle w:val="46"/>
        <w:keepNext w:val="0"/>
        <w:widowControl w:val="0"/>
        <w:ind w:right="0" w:firstLine="480" w:firstLineChars="200"/>
        <w:rPr>
          <w:rFonts w:ascii="Times New Roman"/>
          <w:sz w:val="24"/>
          <w:szCs w:val="24"/>
        </w:rPr>
      </w:pPr>
      <w:r>
        <w:rPr>
          <w:rFonts w:ascii="Times New Roman"/>
          <w:sz w:val="24"/>
          <w:szCs w:val="24"/>
        </w:rPr>
        <w:t>8）电缆进线的水密封</w:t>
      </w:r>
    </w:p>
    <w:p>
      <w:pPr>
        <w:pStyle w:val="48"/>
        <w:ind w:firstLine="480"/>
        <w:rPr>
          <w:rFonts w:hint="eastAsia"/>
        </w:rPr>
      </w:pPr>
      <w:r>
        <w:t>电机在电缆入口处有弹性衬套，用密封盖进行挤压，保证防水和水密封。弹性衬套有精密的公差，以适应电缆的外径和入口的内径。防水电缆进线有防拉紧、防缠绕保护及每根走线密封。</w:t>
      </w:r>
      <w:r>
        <w:rPr>
          <w:rFonts w:hint="eastAsia"/>
          <w:b/>
          <w:bCs/>
        </w:rPr>
        <w:t>不接受采用环氧，硅胶或其他二次密封系统进行密封</w:t>
      </w:r>
    </w:p>
    <w:p>
      <w:pPr>
        <w:pStyle w:val="48"/>
        <w:ind w:firstLine="480"/>
      </w:pPr>
      <w:r>
        <w:t>9）接线室</w:t>
      </w:r>
    </w:p>
    <w:p>
      <w:pPr>
        <w:pStyle w:val="48"/>
        <w:ind w:firstLine="480"/>
      </w:pPr>
      <w:r>
        <w:rPr>
          <w:rFonts w:hint="eastAsia"/>
        </w:rPr>
        <w:t>动力和控制</w:t>
      </w:r>
      <w:r>
        <w:t>电缆</w:t>
      </w:r>
      <w:r>
        <w:rPr>
          <w:rFonts w:hint="eastAsia"/>
        </w:rPr>
        <w:t>与</w:t>
      </w:r>
      <w:r>
        <w:t>定子接线的连接通过接线室内的接线板</w:t>
      </w:r>
      <w:r>
        <w:rPr>
          <w:rFonts w:hint="eastAsia"/>
        </w:rPr>
        <w:t>或接线端子</w:t>
      </w:r>
      <w:r>
        <w:t>进行</w:t>
      </w:r>
      <w:r>
        <w:rPr>
          <w:rFonts w:hint="eastAsia"/>
        </w:rPr>
        <w:t>连接</w:t>
      </w:r>
      <w:r>
        <w:t>，接线室通过橡胶件与定子室隔离密封，保护电机，避免物质进入电机腔。</w:t>
      </w:r>
    </w:p>
    <w:p>
      <w:pPr>
        <w:pStyle w:val="48"/>
        <w:ind w:firstLine="480"/>
      </w:pPr>
      <w:r>
        <w:t>10）供电及控制电缆</w:t>
      </w:r>
    </w:p>
    <w:p>
      <w:pPr>
        <w:pStyle w:val="48"/>
        <w:ind w:firstLine="480"/>
      </w:pPr>
      <w:r>
        <w:t>电机电缆线为适用于污水环境的潜水电缆，电缆设计温度最高可达到80</w:t>
      </w:r>
      <w:r>
        <w:rPr>
          <w:rFonts w:hint="eastAsia" w:ascii="宋体" w:hAnsi="宋体" w:cs="宋体"/>
        </w:rPr>
        <w:t>℃</w:t>
      </w:r>
      <w:r>
        <w:t>。</w:t>
      </w:r>
    </w:p>
    <w:p>
      <w:pPr>
        <w:pStyle w:val="48"/>
        <w:ind w:firstLine="480"/>
      </w:pPr>
      <w:r>
        <w:t>11）电机保护装置</w:t>
      </w:r>
    </w:p>
    <w:p>
      <w:pPr>
        <w:pStyle w:val="48"/>
        <w:ind w:firstLine="480"/>
      </w:pPr>
      <w:r>
        <w:t>电机的每一相均设有温度传感器，当电机过热时将发出报警信号并自动切断电源。</w:t>
      </w:r>
    </w:p>
    <w:p>
      <w:pPr>
        <w:pStyle w:val="48"/>
        <w:ind w:firstLine="480"/>
      </w:pPr>
      <w:r>
        <w:t>泵的上下轴承也设有温度传感器，当轴承温度过热时将发出报警信号并自动切断电源。</w:t>
      </w:r>
    </w:p>
    <w:p>
      <w:pPr>
        <w:pStyle w:val="48"/>
        <w:ind w:firstLine="480"/>
      </w:pPr>
      <w:r>
        <w:t>这些传感器都在摄氏140</w:t>
      </w:r>
      <w:r>
        <w:rPr>
          <w:rFonts w:hint="eastAsia"/>
        </w:rPr>
        <w:t>℃</w:t>
      </w:r>
      <w:r>
        <w:t>时断开，可以与电机过载保护相连接，并接至控制柜。</w:t>
      </w:r>
      <w:r>
        <w:rPr>
          <w:rFonts w:hint="eastAsia"/>
        </w:rPr>
        <w:t>所有常闭热敏传感器都采用双金属片式传感器，输出信号为开关量信号。</w:t>
      </w:r>
    </w:p>
    <w:p>
      <w:pPr>
        <w:pStyle w:val="48"/>
        <w:ind w:firstLine="480"/>
      </w:pPr>
      <w:r>
        <w:rPr>
          <w:rFonts w:hint="eastAsia"/>
        </w:rPr>
        <w:t>油室中</w:t>
      </w:r>
      <w:r>
        <w:t>装有密封泄露传感器，监测是否有水从轴封处浸入油室。当泄漏发生时，传感器能够早期预警，及时检修可以避免机组受到更大的破坏。</w:t>
      </w:r>
    </w:p>
    <w:p>
      <w:pPr>
        <w:pStyle w:val="48"/>
        <w:ind w:firstLine="480"/>
      </w:pPr>
      <w:r>
        <w:rPr>
          <w:rFonts w:hint="eastAsia"/>
        </w:rPr>
        <w:t>所有泄漏传感器都为电极式传感器，不采用浮动开关式泄漏传感器。每个泄露传感器配套一个泄露保护模块，安装于就地控制柜内。</w:t>
      </w:r>
    </w:p>
    <w:p>
      <w:pPr>
        <w:pStyle w:val="48"/>
        <w:ind w:firstLine="480"/>
        <w:rPr>
          <w:rFonts w:hint="eastAsia"/>
        </w:rPr>
      </w:pPr>
      <w:r>
        <w:rPr>
          <w:rFonts w:hint="eastAsia"/>
        </w:rPr>
        <w:t>为了将错误报警的风险降到最低，泄露保护模块可在</w:t>
      </w:r>
      <w:r>
        <w:t>10</w:t>
      </w:r>
      <w:r>
        <w:rPr>
          <w:rFonts w:hint="eastAsia"/>
        </w:rPr>
        <w:t>秒内检测到故障。为了简化安装，该模块配有插入式轨道连接器，通过轨道安装在就地控制柜内。</w:t>
      </w:r>
    </w:p>
    <w:p>
      <w:pPr>
        <w:pStyle w:val="48"/>
        <w:ind w:firstLine="480"/>
      </w:pPr>
      <w:r>
        <w:rPr>
          <w:rFonts w:hint="eastAsia"/>
        </w:rPr>
        <w:t>泄露保护模块参数：</w:t>
      </w:r>
    </w:p>
    <w:p>
      <w:pPr>
        <w:pStyle w:val="48"/>
        <w:ind w:firstLine="480"/>
      </w:pPr>
      <w:r>
        <w:rPr>
          <w:rFonts w:hint="eastAsia"/>
        </w:rPr>
        <w:t>输入：</w:t>
      </w:r>
      <w:r>
        <w:t>220VAC</w:t>
      </w:r>
    </w:p>
    <w:p>
      <w:pPr>
        <w:pStyle w:val="48"/>
        <w:ind w:firstLine="480"/>
      </w:pPr>
      <w:r>
        <w:rPr>
          <w:rFonts w:hint="eastAsia"/>
        </w:rPr>
        <w:t>输出：无源干接点信号</w:t>
      </w:r>
    </w:p>
    <w:p>
      <w:pPr>
        <w:pStyle w:val="48"/>
        <w:ind w:firstLine="480"/>
      </w:pPr>
      <w:r>
        <w:rPr>
          <w:rFonts w:hint="eastAsia"/>
        </w:rPr>
        <w:t>泄露监测：</w:t>
      </w:r>
      <w:r>
        <w:t>10</w:t>
      </w:r>
      <w:r>
        <w:rPr>
          <w:rFonts w:hint="eastAsia"/>
        </w:rPr>
        <w:t>秒报警延迟</w:t>
      </w:r>
    </w:p>
    <w:p>
      <w:pPr>
        <w:pStyle w:val="48"/>
        <w:ind w:firstLine="480"/>
      </w:pPr>
      <w:r>
        <w:rPr>
          <w:rFonts w:hint="eastAsia"/>
        </w:rPr>
        <w:t>电阻范围：</w:t>
      </w:r>
      <w:r>
        <w:t>0-100</w:t>
      </w:r>
      <w:r>
        <w:rPr>
          <w:rFonts w:hint="eastAsia"/>
        </w:rPr>
        <w:t>千欧</w:t>
      </w:r>
    </w:p>
    <w:p>
      <w:pPr>
        <w:pStyle w:val="48"/>
        <w:ind w:firstLine="480"/>
      </w:pPr>
      <w:r>
        <w:rPr>
          <w:rFonts w:hint="eastAsia"/>
        </w:rPr>
        <w:t>继电器输出：</w:t>
      </w:r>
      <w:r>
        <w:t>250 VAC 3A</w:t>
      </w:r>
    </w:p>
    <w:p>
      <w:pPr>
        <w:pStyle w:val="48"/>
        <w:ind w:firstLine="480"/>
      </w:pPr>
      <w:r>
        <w:rPr>
          <w:rFonts w:hint="eastAsia"/>
        </w:rPr>
        <w:t>防护等级：</w:t>
      </w:r>
      <w:r>
        <w:t>IP20</w:t>
      </w:r>
    </w:p>
    <w:p>
      <w:pPr>
        <w:pStyle w:val="48"/>
        <w:ind w:firstLine="480"/>
      </w:pPr>
      <w:r>
        <w:rPr>
          <w:rFonts w:hint="eastAsia"/>
        </w:rPr>
        <w:t>安装方式：导轨安装</w:t>
      </w:r>
    </w:p>
    <w:p>
      <w:pPr>
        <w:pStyle w:val="48"/>
        <w:ind w:firstLine="480"/>
      </w:pPr>
      <w:r>
        <w:rPr>
          <w:rFonts w:hint="eastAsia"/>
        </w:rPr>
        <w:t>外壳材质：工程塑料</w:t>
      </w:r>
    </w:p>
    <w:p>
      <w:pPr>
        <w:pStyle w:val="4"/>
        <w:keepNext w:val="0"/>
        <w:keepLines w:val="0"/>
        <w:widowControl w:val="0"/>
        <w:spacing w:before="120"/>
        <w:jc w:val="both"/>
        <w:rPr>
          <w:sz w:val="24"/>
          <w:szCs w:val="24"/>
        </w:rPr>
      </w:pPr>
      <w:bookmarkStart w:id="40" w:name="_Toc10000155"/>
      <w:bookmarkStart w:id="41" w:name="_Toc185941877"/>
      <w:r>
        <w:rPr>
          <w:sz w:val="24"/>
          <w:szCs w:val="24"/>
        </w:rPr>
        <w:t>3.</w:t>
      </w:r>
      <w:r>
        <w:rPr>
          <w:rFonts w:hint="eastAsia"/>
          <w:sz w:val="24"/>
          <w:szCs w:val="24"/>
          <w:lang w:val="en-US" w:eastAsia="zh-CN"/>
        </w:rPr>
        <w:t>1.</w:t>
      </w:r>
      <w:r>
        <w:rPr>
          <w:sz w:val="24"/>
          <w:szCs w:val="24"/>
        </w:rPr>
        <w:t>2 防腐蚀</w:t>
      </w:r>
      <w:bookmarkEnd w:id="40"/>
      <w:bookmarkEnd w:id="41"/>
    </w:p>
    <w:p>
      <w:pPr>
        <w:pStyle w:val="48"/>
        <w:ind w:firstLine="480"/>
      </w:pPr>
      <w:r>
        <w:t>制造</w:t>
      </w:r>
      <w:r>
        <w:rPr>
          <w:rFonts w:hint="eastAsia"/>
          <w:lang w:eastAsia="zh-CN"/>
        </w:rPr>
        <w:t>潜污泵</w:t>
      </w:r>
      <w:r>
        <w:t>的全部材料应考虑但不仅适用于污水的腐蚀环境，非不锈钢材质应喷涂环氧涂层保护。</w:t>
      </w:r>
    </w:p>
    <w:p>
      <w:pPr>
        <w:pStyle w:val="4"/>
        <w:keepNext w:val="0"/>
        <w:keepLines w:val="0"/>
        <w:widowControl w:val="0"/>
        <w:spacing w:before="156" w:beforeLines="50" w:after="156" w:afterLines="50" w:line="415" w:lineRule="auto"/>
        <w:jc w:val="both"/>
        <w:rPr>
          <w:sz w:val="24"/>
          <w:szCs w:val="24"/>
        </w:rPr>
      </w:pPr>
      <w:r>
        <w:rPr>
          <w:rFonts w:hint="eastAsia"/>
          <w:sz w:val="24"/>
          <w:szCs w:val="24"/>
          <w:lang w:val="en-US" w:eastAsia="zh-CN"/>
        </w:rPr>
        <w:t>3.1.3</w:t>
      </w:r>
      <w:r>
        <w:rPr>
          <w:sz w:val="24"/>
          <w:szCs w:val="24"/>
        </w:rPr>
        <w:t xml:space="preserve"> 泵附件</w:t>
      </w:r>
    </w:p>
    <w:p>
      <w:pPr>
        <w:pStyle w:val="48"/>
        <w:ind w:firstLine="480"/>
      </w:pPr>
      <w:r>
        <w:t>泵附件包括自动耦合装置、</w:t>
      </w:r>
      <w:r>
        <w:rPr>
          <w:bCs/>
          <w:color w:val="000000"/>
        </w:rPr>
        <w:t>导杆</w:t>
      </w:r>
      <w:r>
        <w:rPr>
          <w:color w:val="000000"/>
        </w:rPr>
        <w:t>、</w:t>
      </w:r>
      <w:r>
        <w:t>导杆固定支架、吊链等。不接受采用不锈钢导索进行导向。</w:t>
      </w:r>
    </w:p>
    <w:p>
      <w:pPr>
        <w:pStyle w:val="48"/>
        <w:ind w:firstLine="480"/>
      </w:pPr>
      <w:r>
        <w:t>泵底座在泵站施工时安装在池底基础上，并连接在出口管线上。导杆底部与固定在池底的底座相连，顶部与导杆定位器相联。</w:t>
      </w:r>
      <w:r>
        <w:rPr>
          <w:rFonts w:hint="eastAsia"/>
          <w:lang w:eastAsia="zh-CN"/>
        </w:rPr>
        <w:t>潜污泵</w:t>
      </w:r>
      <w:r>
        <w:t>被吊装到导杆定位器上，沿着导杆下降，自动与底座耦合，水泵靠自身的重量与水泵底座联接并贴紧保证无泄漏。</w:t>
      </w:r>
    </w:p>
    <w:p>
      <w:pPr>
        <w:pStyle w:val="48"/>
        <w:ind w:firstLine="480"/>
      </w:pPr>
      <w:r>
        <w:t>每台泵须配置起吊用的吊耳，其位置应该位于泵的重心附近，并配置不锈钢吊链。</w:t>
      </w:r>
    </w:p>
    <w:p>
      <w:pPr>
        <w:pStyle w:val="4"/>
        <w:keepNext w:val="0"/>
        <w:keepLines w:val="0"/>
        <w:widowControl w:val="0"/>
        <w:spacing w:before="120"/>
        <w:jc w:val="both"/>
        <w:rPr>
          <w:sz w:val="24"/>
          <w:szCs w:val="24"/>
        </w:rPr>
      </w:pPr>
      <w:bookmarkStart w:id="42" w:name="_Toc185941875"/>
      <w:r>
        <w:rPr>
          <w:rFonts w:hint="eastAsia"/>
          <w:sz w:val="24"/>
          <w:szCs w:val="24"/>
        </w:rPr>
        <w:t>★</w:t>
      </w:r>
      <w:r>
        <w:rPr>
          <w:rFonts w:hint="eastAsia"/>
          <w:sz w:val="24"/>
          <w:szCs w:val="24"/>
          <w:lang w:val="en-US" w:eastAsia="zh-CN"/>
        </w:rPr>
        <w:t>3.1.4</w:t>
      </w:r>
      <w:r>
        <w:rPr>
          <w:sz w:val="24"/>
          <w:szCs w:val="24"/>
        </w:rPr>
        <w:t xml:space="preserve"> 主要材料</w:t>
      </w:r>
      <w:bookmarkEnd w:id="42"/>
    </w:p>
    <w:bookmarkEnd w:id="36"/>
    <w:p>
      <w:pPr>
        <w:pStyle w:val="49"/>
        <w:tabs>
          <w:tab w:val="left" w:pos="2880"/>
        </w:tabs>
        <w:ind w:left="368" w:leftChars="175" w:firstLine="76" w:firstLineChars="32"/>
        <w:rPr>
          <w:szCs w:val="24"/>
        </w:rPr>
      </w:pPr>
      <w:bookmarkStart w:id="43" w:name="_Toc185941878"/>
      <w:r>
        <w:rPr>
          <w:szCs w:val="24"/>
        </w:rPr>
        <w:t>叶轮</w:t>
      </w:r>
      <w:r>
        <w:rPr>
          <w:szCs w:val="24"/>
        </w:rPr>
        <w:tab/>
      </w:r>
      <w:r>
        <w:rPr>
          <w:szCs w:val="24"/>
        </w:rPr>
        <w:t>铸铁GG25</w:t>
      </w:r>
      <w:r>
        <w:rPr>
          <w:rFonts w:hint="eastAsia"/>
          <w:szCs w:val="24"/>
        </w:rPr>
        <w:t>或以上</w:t>
      </w:r>
      <w:r>
        <w:rPr>
          <w:szCs w:val="24"/>
        </w:rPr>
        <w:t xml:space="preserve"> </w:t>
      </w:r>
    </w:p>
    <w:p>
      <w:pPr>
        <w:pStyle w:val="49"/>
        <w:tabs>
          <w:tab w:val="left" w:pos="2880"/>
        </w:tabs>
        <w:ind w:left="368" w:leftChars="175" w:firstLine="76" w:firstLineChars="32"/>
        <w:rPr>
          <w:szCs w:val="24"/>
        </w:rPr>
      </w:pPr>
      <w:r>
        <w:rPr>
          <w:szCs w:val="24"/>
        </w:rPr>
        <w:t>泵壳</w:t>
      </w:r>
      <w:r>
        <w:rPr>
          <w:szCs w:val="24"/>
        </w:rPr>
        <w:tab/>
      </w:r>
      <w:r>
        <w:rPr>
          <w:szCs w:val="24"/>
        </w:rPr>
        <w:t>铸铁GG25</w:t>
      </w:r>
      <w:r>
        <w:rPr>
          <w:rFonts w:hint="eastAsia"/>
          <w:szCs w:val="24"/>
        </w:rPr>
        <w:t>或以上</w:t>
      </w:r>
      <w:r>
        <w:rPr>
          <w:szCs w:val="24"/>
        </w:rPr>
        <w:t xml:space="preserve"> </w:t>
      </w:r>
    </w:p>
    <w:p>
      <w:pPr>
        <w:pStyle w:val="49"/>
        <w:tabs>
          <w:tab w:val="left" w:pos="2880"/>
        </w:tabs>
        <w:ind w:left="368" w:leftChars="175" w:firstLine="76" w:firstLineChars="32"/>
        <w:rPr>
          <w:szCs w:val="24"/>
        </w:rPr>
      </w:pPr>
      <w:r>
        <w:rPr>
          <w:szCs w:val="24"/>
        </w:rPr>
        <w:t>主轴</w:t>
      </w:r>
      <w:r>
        <w:rPr>
          <w:szCs w:val="24"/>
        </w:rPr>
        <w:tab/>
      </w:r>
      <w:r>
        <w:rPr>
          <w:szCs w:val="24"/>
        </w:rPr>
        <w:t>不锈钢</w:t>
      </w:r>
      <w:r>
        <w:rPr>
          <w:rFonts w:hint="eastAsia"/>
          <w:szCs w:val="24"/>
        </w:rPr>
        <w:t>AISI</w:t>
      </w:r>
      <w:r>
        <w:rPr>
          <w:szCs w:val="24"/>
        </w:rPr>
        <w:t xml:space="preserve">420 </w:t>
      </w:r>
    </w:p>
    <w:p>
      <w:pPr>
        <w:pStyle w:val="49"/>
        <w:tabs>
          <w:tab w:val="left" w:pos="2880"/>
        </w:tabs>
        <w:ind w:left="368" w:leftChars="175" w:firstLine="76" w:firstLineChars="32"/>
        <w:rPr>
          <w:rFonts w:hint="eastAsia"/>
          <w:szCs w:val="24"/>
        </w:rPr>
      </w:pPr>
      <w:r>
        <w:rPr>
          <w:szCs w:val="24"/>
        </w:rPr>
        <w:t>机械密封</w:t>
      </w:r>
      <w:r>
        <w:rPr>
          <w:szCs w:val="24"/>
        </w:rPr>
        <w:tab/>
      </w:r>
      <w:r>
        <w:t>耐腐蚀</w:t>
      </w:r>
      <w:r>
        <w:rPr>
          <w:szCs w:val="24"/>
        </w:rPr>
        <w:t>碳化硅/碳化硅</w:t>
      </w:r>
    </w:p>
    <w:p>
      <w:pPr>
        <w:pStyle w:val="49"/>
        <w:tabs>
          <w:tab w:val="left" w:pos="2880"/>
        </w:tabs>
        <w:ind w:left="368" w:leftChars="175" w:firstLine="76" w:firstLineChars="32"/>
        <w:rPr>
          <w:rFonts w:hint="eastAsia"/>
          <w:szCs w:val="24"/>
        </w:rPr>
      </w:pPr>
      <w:r>
        <w:rPr>
          <w:szCs w:val="24"/>
        </w:rPr>
        <w:t>耦合底座           铸铁GG25</w:t>
      </w:r>
      <w:r>
        <w:rPr>
          <w:rFonts w:hint="eastAsia"/>
          <w:szCs w:val="24"/>
        </w:rPr>
        <w:t>或以上</w:t>
      </w:r>
    </w:p>
    <w:p>
      <w:pPr>
        <w:pStyle w:val="49"/>
        <w:tabs>
          <w:tab w:val="left" w:pos="2880"/>
        </w:tabs>
        <w:ind w:left="368" w:leftChars="175" w:firstLine="76" w:firstLineChars="32"/>
        <w:rPr>
          <w:szCs w:val="24"/>
        </w:rPr>
      </w:pPr>
      <w:r>
        <w:rPr>
          <w:szCs w:val="24"/>
        </w:rPr>
        <w:t>吊链</w:t>
      </w:r>
      <w:r>
        <w:rPr>
          <w:szCs w:val="24"/>
        </w:rPr>
        <w:tab/>
      </w:r>
      <w:r>
        <w:rPr>
          <w:szCs w:val="24"/>
        </w:rPr>
        <w:t>不锈钢</w:t>
      </w:r>
      <w:r>
        <w:rPr>
          <w:rFonts w:hint="eastAsia"/>
          <w:szCs w:val="24"/>
        </w:rPr>
        <w:t>AISI</w:t>
      </w:r>
      <w:r>
        <w:rPr>
          <w:szCs w:val="24"/>
        </w:rPr>
        <w:t>304</w:t>
      </w:r>
      <w:r>
        <w:rPr>
          <w:rFonts w:hint="eastAsia"/>
          <w:szCs w:val="24"/>
        </w:rPr>
        <w:t>或以上</w:t>
      </w:r>
      <w:r>
        <w:rPr>
          <w:szCs w:val="24"/>
        </w:rPr>
        <w:t xml:space="preserve"> </w:t>
      </w:r>
    </w:p>
    <w:p>
      <w:pPr>
        <w:pStyle w:val="49"/>
        <w:tabs>
          <w:tab w:val="left" w:pos="2880"/>
        </w:tabs>
        <w:ind w:left="368" w:leftChars="175" w:firstLine="76" w:firstLineChars="32"/>
        <w:rPr>
          <w:szCs w:val="24"/>
        </w:rPr>
      </w:pPr>
      <w:r>
        <w:rPr>
          <w:szCs w:val="24"/>
        </w:rPr>
        <w:t>导杆</w:t>
      </w:r>
      <w:r>
        <w:rPr>
          <w:szCs w:val="24"/>
        </w:rPr>
        <w:tab/>
      </w:r>
      <w:r>
        <w:rPr>
          <w:szCs w:val="24"/>
        </w:rPr>
        <w:t>不锈钢</w:t>
      </w:r>
      <w:r>
        <w:rPr>
          <w:rFonts w:hint="eastAsia"/>
          <w:szCs w:val="24"/>
        </w:rPr>
        <w:t>AISI</w:t>
      </w:r>
      <w:r>
        <w:rPr>
          <w:szCs w:val="24"/>
        </w:rPr>
        <w:t>304</w:t>
      </w:r>
      <w:r>
        <w:rPr>
          <w:rFonts w:hint="eastAsia"/>
          <w:szCs w:val="24"/>
        </w:rPr>
        <w:t>或以上</w:t>
      </w:r>
      <w:r>
        <w:rPr>
          <w:szCs w:val="24"/>
        </w:rPr>
        <w:t xml:space="preserve"> </w:t>
      </w:r>
    </w:p>
    <w:p>
      <w:pPr>
        <w:pStyle w:val="49"/>
        <w:tabs>
          <w:tab w:val="left" w:pos="2880"/>
        </w:tabs>
        <w:ind w:left="368" w:leftChars="175" w:firstLine="76" w:firstLineChars="32"/>
        <w:rPr>
          <w:szCs w:val="24"/>
        </w:rPr>
      </w:pPr>
      <w:r>
        <w:rPr>
          <w:szCs w:val="24"/>
        </w:rPr>
        <w:t>紧固件</w:t>
      </w:r>
      <w:r>
        <w:rPr>
          <w:szCs w:val="24"/>
        </w:rPr>
        <w:tab/>
      </w:r>
      <w:r>
        <w:rPr>
          <w:szCs w:val="24"/>
        </w:rPr>
        <w:t>不锈钢</w:t>
      </w:r>
      <w:r>
        <w:rPr>
          <w:rFonts w:hint="eastAsia"/>
          <w:szCs w:val="24"/>
        </w:rPr>
        <w:t>AISI304或以上</w:t>
      </w:r>
      <w:r>
        <w:rPr>
          <w:szCs w:val="24"/>
        </w:rPr>
        <w:t xml:space="preserve"> </w:t>
      </w:r>
      <w:bookmarkEnd w:id="43"/>
    </w:p>
    <w:p>
      <w:pPr>
        <w:spacing w:line="360" w:lineRule="exact"/>
        <w:ind w:firstLine="562" w:firstLineChars="200"/>
        <w:rPr>
          <w:rFonts w:hint="eastAsia"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val="en-US" w:eastAsia="zh-CN"/>
        </w:rPr>
        <w:t>四、</w:t>
      </w:r>
      <w:r>
        <w:rPr>
          <w:rFonts w:hint="eastAsia" w:ascii="仿宋_GB2312" w:hAnsi="仿宋_GB2312" w:eastAsia="仿宋_GB2312" w:cs="仿宋_GB2312"/>
          <w:b/>
          <w:bCs/>
          <w:color w:val="auto"/>
          <w:sz w:val="28"/>
          <w:szCs w:val="28"/>
        </w:rPr>
        <w:t>设备安装要求：</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1）拆除原有3台潜污泵及耦合底座，原潜水泵位置安装3台新潜污泵及所配套的耦合底座，拆除3路耦合底座出水法兰至上端阀门处原旧出水管，并将出水管更新安装厚度8mm的不锈钢管.</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2）要求新潜污泵在运行时运行平稳无震动，保证污水无泄漏能够顺利正常排水。</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2）新潜污泵电缆线接入原有控制箱中，确保潜污泵工作正常。</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3）设备整体调试与保修，保修时间为2年。</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4）旧泵仍为机场公司物品，在更换过程中确保旧泵不损坏。</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5）施工期间的泵站排水运行由投标人负责。</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6）质量标准及要求：</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a、按照国家标准、有关行业标准及企业标准和产品说明书等的要求执行。每种设备需配备相应合格的资料。</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b、进入现场的材料必须经招标方验收合格方可卸货，并且供货设备要卸至指定地点。</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c、投标人在设备安装的同时，要配合招标方针对各部门的验收和检查。并且投标方服从招标方在设备安装完成后的调试和对指定人员培训。</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d、投标人须保证产品符合国家相关部门质量标准和国家最新规范的要求，如不符合国家相关部门质量标准和国家最新规范要求造成产品为不合格产品，投标人须负全部责任。</w:t>
      </w:r>
    </w:p>
    <w:p>
      <w:pPr>
        <w:spacing w:line="360" w:lineRule="exact"/>
        <w:ind w:firstLine="480" w:firstLineChars="200"/>
        <w:rPr>
          <w:rFonts w:hint="eastAsia" w:ascii="Calibri" w:hAnsi="Calibri" w:eastAsia="宋体" w:cs="Times New Roman"/>
          <w:kern w:val="2"/>
          <w:sz w:val="24"/>
          <w:szCs w:val="24"/>
          <w:lang w:val="en-US" w:eastAsia="zh-CN" w:bidi="ar-SA"/>
        </w:rPr>
      </w:pPr>
      <w:r>
        <w:rPr>
          <w:rFonts w:hint="eastAsia" w:ascii="Calibri" w:hAnsi="Calibri" w:eastAsia="宋体" w:cs="Times New Roman"/>
          <w:kern w:val="2"/>
          <w:sz w:val="24"/>
          <w:szCs w:val="24"/>
          <w:lang w:val="en-US" w:eastAsia="zh-CN" w:bidi="ar-SA"/>
        </w:rPr>
        <w:t>e、如投标人所供产品质量不合格，中标人须无条件退货并承担招标方因此所造成的一切经济损失。</w:t>
      </w:r>
    </w:p>
    <w:p>
      <w:pPr>
        <w:spacing w:line="360" w:lineRule="exact"/>
        <w:ind w:firstLine="562" w:firstLineChars="200"/>
        <w:rPr>
          <w:rFonts w:hint="eastAsia" w:ascii="仿宋_GB2312" w:hAnsi="仿宋_GB2312" w:eastAsia="仿宋_GB2312" w:cs="仿宋_GB2312"/>
          <w:b/>
          <w:bCs/>
          <w:color w:val="auto"/>
          <w:sz w:val="28"/>
          <w:szCs w:val="28"/>
          <w:lang w:eastAsia="zh-CN"/>
        </w:rPr>
      </w:pPr>
      <w:r>
        <w:rPr>
          <w:rFonts w:hint="eastAsia" w:ascii="仿宋_GB2312" w:hAnsi="仿宋_GB2312" w:eastAsia="仿宋_GB2312" w:cs="仿宋_GB2312"/>
          <w:b/>
          <w:bCs/>
          <w:color w:val="auto"/>
          <w:sz w:val="28"/>
          <w:szCs w:val="28"/>
          <w:lang w:val="en-US" w:eastAsia="zh-CN"/>
        </w:rPr>
        <w:t>五、</w:t>
      </w:r>
      <w:r>
        <w:rPr>
          <w:rFonts w:hint="eastAsia" w:ascii="仿宋_GB2312" w:hAnsi="仿宋_GB2312" w:eastAsia="仿宋_GB2312" w:cs="仿宋_GB2312"/>
          <w:b/>
          <w:bCs/>
          <w:color w:val="auto"/>
          <w:sz w:val="28"/>
          <w:szCs w:val="28"/>
          <w:lang w:eastAsia="zh-CN"/>
        </w:rPr>
        <w:t>潜污泵具体安装时间及要求根据招标方要求进行。</w:t>
      </w:r>
    </w:p>
    <w:p/>
    <w:p>
      <w:pPr>
        <w:pStyle w:val="8"/>
        <w:pageBreakBefore w:val="0"/>
        <w:tabs>
          <w:tab w:val="left" w:pos="2388"/>
          <w:tab w:val="left" w:pos="2832"/>
          <w:tab w:val="left" w:pos="3472"/>
          <w:tab w:val="left" w:pos="6667"/>
          <w:tab w:val="left" w:pos="7270"/>
        </w:tabs>
        <w:kinsoku/>
        <w:wordWrap/>
        <w:overflowPunct/>
        <w:topLinePunct w:val="0"/>
        <w:bidi w:val="0"/>
        <w:snapToGrid/>
        <w:spacing w:beforeLines="50" w:after="0" w:line="560" w:lineRule="exact"/>
        <w:ind w:left="102" w:right="153" w:firstLine="420"/>
        <w:rPr>
          <w:rFonts w:hint="eastAsia" w:ascii="仿宋_GB2312" w:hAnsi="仿宋_GB2312" w:eastAsia="仿宋_GB2312" w:cs="仿宋_GB2312"/>
          <w:color w:val="auto"/>
          <w:sz w:val="28"/>
          <w:szCs w:val="28"/>
        </w:rPr>
      </w:pPr>
    </w:p>
    <w:p>
      <w:pPr>
        <w:jc w:val="center"/>
        <w:rPr>
          <w:rFonts w:hint="eastAsia" w:ascii="仿宋_GB2312" w:hAnsi="仿宋_GB2312" w:eastAsia="仿宋_GB2312" w:cs="仿宋_GB2312"/>
          <w:b/>
          <w:bCs/>
          <w:sz w:val="28"/>
          <w:szCs w:val="28"/>
        </w:rPr>
        <w:sectPr>
          <w:pgSz w:w="12240" w:h="15840"/>
          <w:pgMar w:top="1500" w:right="1680" w:bottom="1120" w:left="1700" w:header="0" w:footer="921" w:gutter="0"/>
          <w:cols w:space="720" w:num="1"/>
        </w:sectPr>
      </w:pPr>
    </w:p>
    <w:p>
      <w:pPr>
        <w:pStyle w:val="2"/>
        <w:spacing w:line="564" w:lineRule="exact"/>
        <w:ind w:right="57"/>
        <w:jc w:val="center"/>
      </w:pPr>
      <w:bookmarkStart w:id="44" w:name="_Toc19698503"/>
      <w:r>
        <w:rPr>
          <w:rFonts w:hint="eastAsia"/>
        </w:rPr>
        <w:t>第六章</w:t>
      </w:r>
      <w:r>
        <w:t xml:space="preserve">  </w:t>
      </w:r>
      <w:r>
        <w:rPr>
          <w:rFonts w:hint="eastAsia"/>
        </w:rPr>
        <w:t>投标文件格式</w:t>
      </w:r>
      <w:bookmarkEnd w:id="44"/>
    </w:p>
    <w:p>
      <w:pPr>
        <w:pStyle w:val="2"/>
        <w:spacing w:line="564" w:lineRule="exact"/>
        <w:ind w:right="57"/>
        <w:jc w:val="center"/>
        <w:sectPr>
          <w:headerReference r:id="rId10" w:type="default"/>
          <w:footerReference r:id="rId11"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25"/>
        <w:adjustRightInd w:val="0"/>
        <w:spacing w:line="360" w:lineRule="auto"/>
        <w:ind w:firstLine="0"/>
        <w:rPr>
          <w:rStyle w:val="26"/>
          <w:sz w:val="22"/>
          <w:szCs w:val="22"/>
        </w:rPr>
      </w:pPr>
      <w:r>
        <w:rPr>
          <w:rStyle w:val="26"/>
          <w:sz w:val="22"/>
          <w:szCs w:val="22"/>
        </w:rPr>
        <w:t>二、法定代表人身份证明</w:t>
      </w:r>
    </w:p>
    <w:p>
      <w:pPr>
        <w:pStyle w:val="25"/>
        <w:adjustRightInd w:val="0"/>
        <w:spacing w:line="360" w:lineRule="auto"/>
        <w:ind w:firstLine="0"/>
        <w:rPr>
          <w:rStyle w:val="26"/>
          <w:sz w:val="22"/>
          <w:szCs w:val="22"/>
        </w:rPr>
      </w:pPr>
      <w:r>
        <w:rPr>
          <w:rStyle w:val="26"/>
          <w:sz w:val="22"/>
          <w:szCs w:val="22"/>
        </w:rPr>
        <w:t xml:space="preserve">三、授权委托书（适用于有委托代理人的情况）。 </w:t>
      </w:r>
      <w:r>
        <w:rPr>
          <w:rStyle w:val="26"/>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26"/>
          <w:b/>
          <w:sz w:val="22"/>
          <w:szCs w:val="22"/>
        </w:rPr>
        <w:t>）在本企业缴纳的时间要求。投标文件中可使用社保证明的复制件但须同时加盖投标人印章</w:t>
      </w:r>
      <w:r>
        <w:rPr>
          <w:rStyle w:val="26"/>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jc w:val="right"/>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27"/>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28"/>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29"/>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30"/>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28"/>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28"/>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31"/>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31"/>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31"/>
        <w:snapToGrid w:val="0"/>
        <w:spacing w:after="0" w:line="360" w:lineRule="auto"/>
        <w:ind w:firstLine="440" w:firstLineChars="200"/>
        <w:rPr>
          <w:rFonts w:hAnsi="宋体"/>
          <w:sz w:val="22"/>
        </w:rPr>
      </w:pPr>
    </w:p>
    <w:p>
      <w:pPr>
        <w:pStyle w:val="31"/>
        <w:snapToGrid w:val="0"/>
        <w:spacing w:after="0" w:line="360" w:lineRule="auto"/>
        <w:ind w:firstLine="440" w:firstLineChars="200"/>
        <w:rPr>
          <w:rFonts w:hAnsi="宋体"/>
          <w:sz w:val="22"/>
        </w:rPr>
      </w:pPr>
    </w:p>
    <w:p>
      <w:pPr>
        <w:pStyle w:val="31"/>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31"/>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27"/>
        <w:snapToGrid w:val="0"/>
        <w:spacing w:line="360" w:lineRule="auto"/>
        <w:rPr>
          <w:rFonts w:hAnsi="宋体"/>
          <w:color w:val="auto"/>
          <w:sz w:val="22"/>
          <w:u w:val="single"/>
        </w:rPr>
      </w:pPr>
    </w:p>
    <w:p>
      <w:pPr>
        <w:pStyle w:val="27"/>
        <w:snapToGrid w:val="0"/>
        <w:spacing w:line="360" w:lineRule="auto"/>
        <w:rPr>
          <w:rFonts w:hAnsi="宋体"/>
          <w:color w:val="auto"/>
          <w:sz w:val="22"/>
          <w:u w:val="single"/>
        </w:rPr>
      </w:pPr>
    </w:p>
    <w:p>
      <w:pPr>
        <w:pStyle w:val="27"/>
        <w:snapToGrid w:val="0"/>
        <w:spacing w:line="360" w:lineRule="auto"/>
        <w:rPr>
          <w:rFonts w:hAnsi="宋体"/>
          <w:color w:val="auto"/>
          <w:sz w:val="22"/>
          <w:u w:val="single"/>
        </w:rPr>
      </w:pPr>
    </w:p>
    <w:p>
      <w:pPr>
        <w:pStyle w:val="27"/>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4"/>
        <w:tblW w:w="8223" w:type="dxa"/>
        <w:tblInd w:w="284" w:type="dxa"/>
        <w:tblLayout w:type="fixed"/>
        <w:tblCellMar>
          <w:top w:w="0" w:type="dxa"/>
          <w:left w:w="0" w:type="dxa"/>
          <w:bottom w:w="0" w:type="dxa"/>
          <w:right w:w="0" w:type="dxa"/>
        </w:tblCellMar>
      </w:tblPr>
      <w:tblGrid>
        <w:gridCol w:w="926"/>
        <w:gridCol w:w="2693"/>
        <w:gridCol w:w="2979"/>
        <w:gridCol w:w="1625"/>
      </w:tblGrid>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2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2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20"/>
              <w:spacing w:before="72"/>
              <w:ind w:left="386"/>
              <w:jc w:val="left"/>
              <w:rPr>
                <w:rFonts w:ascii="宋体" w:hAnsi="宋体" w:cs="宋体"/>
                <w:sz w:val="22"/>
              </w:rPr>
            </w:pPr>
            <w:r>
              <w:rPr>
                <w:rFonts w:hint="eastAsia" w:ascii="宋体" w:hAnsi="宋体" w:cs="宋体"/>
                <w:b/>
                <w:bCs/>
                <w:sz w:val="22"/>
              </w:rPr>
              <w:t>偏差说明</w:t>
            </w: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4"/>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20"/>
              <w:spacing w:before="6"/>
              <w:jc w:val="left"/>
              <w:rPr>
                <w:rFonts w:ascii="Microsoft JhengHei" w:hAnsi="Microsoft JhengHei" w:eastAsia="Microsoft JhengHei" w:cs="Microsoft JhengHei"/>
                <w:b/>
                <w:bCs/>
                <w:sz w:val="11"/>
                <w:szCs w:val="11"/>
              </w:rPr>
            </w:pPr>
          </w:p>
          <w:p>
            <w:pPr>
              <w:pStyle w:val="2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8"/>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32"/>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32"/>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33"/>
        <w:numPr>
          <w:ilvl w:val="1"/>
          <w:numId w:val="4"/>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33"/>
        <w:numPr>
          <w:ilvl w:val="1"/>
          <w:numId w:val="5"/>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33"/>
        <w:numPr>
          <w:ilvl w:val="1"/>
          <w:numId w:val="4"/>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34"/>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34"/>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32"/>
        <w:spacing w:line="360" w:lineRule="auto"/>
        <w:rPr>
          <w:rFonts w:ascii="宋体" w:hAnsi="宋体" w:cs="宋体"/>
          <w:b/>
          <w:sz w:val="32"/>
          <w:szCs w:val="32"/>
        </w:rPr>
      </w:pPr>
    </w:p>
    <w:p>
      <w:pPr>
        <w:pStyle w:val="32"/>
        <w:spacing w:line="360" w:lineRule="auto"/>
        <w:jc w:val="center"/>
        <w:rPr>
          <w:rFonts w:ascii="宋体" w:hAnsi="宋体" w:cs="宋体"/>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投标报价表</w:t>
      </w:r>
    </w:p>
    <w:tbl>
      <w:tblPr>
        <w:tblStyle w:val="14"/>
        <w:tblW w:w="112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67"/>
        <w:gridCol w:w="1569"/>
        <w:gridCol w:w="946"/>
        <w:gridCol w:w="970"/>
        <w:gridCol w:w="980"/>
        <w:gridCol w:w="1835"/>
        <w:gridCol w:w="1569"/>
        <w:gridCol w:w="1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41" w:type="dxa"/>
            <w:vAlign w:val="center"/>
          </w:tcPr>
          <w:p>
            <w:pPr>
              <w:pStyle w:val="21"/>
              <w:spacing w:line="560" w:lineRule="exact"/>
              <w:jc w:val="center"/>
              <w:rPr>
                <w:rFonts w:hint="eastAsia" w:ascii="宋体" w:hAnsi="宋体" w:eastAsia="宋体" w:cs="宋体"/>
                <w:b/>
                <w:color w:val="auto"/>
                <w:sz w:val="24"/>
                <w:szCs w:val="24"/>
              </w:rPr>
            </w:pPr>
            <w:bookmarkStart w:id="45" w:name="_Toc133214310"/>
            <w:bookmarkStart w:id="46" w:name="_Toc133214103"/>
            <w:bookmarkStart w:id="47" w:name="_Toc137373399"/>
            <w:bookmarkStart w:id="48" w:name="_Toc133470544"/>
            <w:r>
              <w:rPr>
                <w:rFonts w:hint="eastAsia" w:ascii="宋体" w:hAnsi="宋体" w:eastAsia="宋体" w:cs="宋体"/>
                <w:b/>
                <w:color w:val="auto"/>
                <w:sz w:val="24"/>
                <w:szCs w:val="24"/>
              </w:rPr>
              <w:t>序号</w:t>
            </w:r>
          </w:p>
        </w:tc>
        <w:tc>
          <w:tcPr>
            <w:tcW w:w="1067" w:type="dxa"/>
            <w:vAlign w:val="center"/>
          </w:tcPr>
          <w:p>
            <w:pPr>
              <w:pStyle w:val="21"/>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品名</w:t>
            </w:r>
          </w:p>
        </w:tc>
        <w:tc>
          <w:tcPr>
            <w:tcW w:w="1569" w:type="dxa"/>
            <w:vAlign w:val="center"/>
          </w:tcPr>
          <w:p>
            <w:pPr>
              <w:pStyle w:val="21"/>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规格/型号</w:t>
            </w:r>
          </w:p>
        </w:tc>
        <w:tc>
          <w:tcPr>
            <w:tcW w:w="946" w:type="dxa"/>
            <w:vAlign w:val="center"/>
          </w:tcPr>
          <w:p>
            <w:pPr>
              <w:pStyle w:val="21"/>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单位</w:t>
            </w:r>
          </w:p>
        </w:tc>
        <w:tc>
          <w:tcPr>
            <w:tcW w:w="970" w:type="dxa"/>
            <w:vAlign w:val="center"/>
          </w:tcPr>
          <w:p>
            <w:pPr>
              <w:pStyle w:val="21"/>
              <w:spacing w:line="560" w:lineRule="exact"/>
              <w:jc w:val="center"/>
              <w:rPr>
                <w:rFonts w:hint="eastAsia" w:ascii="宋体" w:hAnsi="宋体" w:eastAsia="宋体" w:cs="宋体"/>
                <w:b/>
                <w:color w:val="auto"/>
                <w:sz w:val="24"/>
                <w:szCs w:val="24"/>
                <w:lang w:eastAsia="zh-CN"/>
              </w:rPr>
            </w:pPr>
            <w:r>
              <w:rPr>
                <w:rFonts w:hint="eastAsia" w:ascii="宋体" w:hAnsi="宋体" w:eastAsia="宋体" w:cs="宋体"/>
                <w:b/>
                <w:color w:val="auto"/>
                <w:sz w:val="24"/>
                <w:szCs w:val="24"/>
              </w:rPr>
              <w:t>数量</w:t>
            </w:r>
          </w:p>
        </w:tc>
        <w:tc>
          <w:tcPr>
            <w:tcW w:w="980" w:type="dxa"/>
            <w:vAlign w:val="center"/>
          </w:tcPr>
          <w:p>
            <w:pPr>
              <w:pStyle w:val="21"/>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品牌</w:t>
            </w:r>
          </w:p>
        </w:tc>
        <w:tc>
          <w:tcPr>
            <w:tcW w:w="1835" w:type="dxa"/>
            <w:vAlign w:val="center"/>
          </w:tcPr>
          <w:p>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单价（</w:t>
            </w:r>
            <w:r>
              <w:rPr>
                <w:rFonts w:hint="eastAsia" w:ascii="宋体" w:hAnsi="宋体" w:eastAsia="宋体" w:cs="宋体"/>
                <w:b/>
                <w:color w:val="auto"/>
                <w:sz w:val="24"/>
                <w:szCs w:val="24"/>
                <w:lang w:val="en-US" w:eastAsia="zh-CN"/>
              </w:rPr>
              <w:t>元，</w:t>
            </w:r>
            <w:r>
              <w:rPr>
                <w:rFonts w:hint="eastAsia" w:ascii="宋体" w:hAnsi="宋体" w:eastAsia="宋体" w:cs="宋体"/>
                <w:b/>
                <w:color w:val="auto"/>
                <w:sz w:val="24"/>
                <w:szCs w:val="24"/>
              </w:rPr>
              <w:t>不含税）</w:t>
            </w:r>
          </w:p>
        </w:tc>
        <w:tc>
          <w:tcPr>
            <w:tcW w:w="1569" w:type="dxa"/>
            <w:vAlign w:val="center"/>
          </w:tcPr>
          <w:p>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单价（元，含税）</w:t>
            </w:r>
          </w:p>
        </w:tc>
        <w:tc>
          <w:tcPr>
            <w:tcW w:w="1616" w:type="dxa"/>
            <w:vAlign w:val="center"/>
          </w:tcPr>
          <w:p>
            <w:pPr>
              <w:spacing w:line="560" w:lineRule="exact"/>
              <w:jc w:val="center"/>
              <w:rPr>
                <w:rFonts w:hint="eastAsia" w:ascii="宋体" w:hAnsi="宋体" w:eastAsia="宋体" w:cs="宋体"/>
                <w:b/>
                <w:color w:val="auto"/>
                <w:sz w:val="24"/>
                <w:szCs w:val="24"/>
              </w:rPr>
            </w:pPr>
            <w:r>
              <w:rPr>
                <w:rFonts w:hint="eastAsia" w:ascii="宋体" w:hAnsi="宋体" w:eastAsia="宋体" w:cs="宋体"/>
                <w:b/>
                <w:color w:val="auto"/>
                <w:sz w:val="24"/>
                <w:szCs w:val="24"/>
                <w:lang w:eastAsia="zh-CN"/>
              </w:rPr>
              <w:t>合</w:t>
            </w:r>
            <w:r>
              <w:rPr>
                <w:rFonts w:hint="eastAsia" w:ascii="宋体" w:hAnsi="宋体" w:eastAsia="宋体" w:cs="宋体"/>
                <w:b/>
                <w:color w:val="auto"/>
                <w:sz w:val="24"/>
                <w:szCs w:val="24"/>
              </w:rPr>
              <w:t>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741" w:type="dxa"/>
            <w:vAlign w:val="center"/>
          </w:tcPr>
          <w:p>
            <w:pPr>
              <w:pStyle w:val="21"/>
              <w:spacing w:line="56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w:t>
            </w:r>
          </w:p>
        </w:tc>
        <w:tc>
          <w:tcPr>
            <w:tcW w:w="1067" w:type="dxa"/>
            <w:vAlign w:val="center"/>
          </w:tcPr>
          <w:p>
            <w:pPr>
              <w:adjustRightInd w:val="0"/>
              <w:snapToGrid w:val="0"/>
              <w:spacing w:line="560" w:lineRule="exac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潜污泵</w:t>
            </w:r>
          </w:p>
        </w:tc>
        <w:tc>
          <w:tcPr>
            <w:tcW w:w="1569" w:type="dxa"/>
            <w:vAlign w:val="center"/>
          </w:tcPr>
          <w:p>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p>
        </w:tc>
        <w:tc>
          <w:tcPr>
            <w:tcW w:w="946" w:type="dxa"/>
            <w:vAlign w:val="center"/>
          </w:tcPr>
          <w:p>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台</w:t>
            </w:r>
          </w:p>
        </w:tc>
        <w:tc>
          <w:tcPr>
            <w:tcW w:w="970" w:type="dxa"/>
            <w:vAlign w:val="center"/>
          </w:tcPr>
          <w:p>
            <w:pPr>
              <w:keepNext w:val="0"/>
              <w:keepLines w:val="0"/>
              <w:widowControl/>
              <w:suppressLineNumbers w:val="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w:t>
            </w:r>
          </w:p>
        </w:tc>
        <w:tc>
          <w:tcPr>
            <w:tcW w:w="980" w:type="dxa"/>
            <w:vAlign w:val="center"/>
          </w:tcPr>
          <w:p>
            <w:pPr>
              <w:keepNext w:val="0"/>
              <w:keepLines w:val="0"/>
              <w:widowControl/>
              <w:suppressLineNumbers w:val="0"/>
              <w:jc w:val="center"/>
              <w:textAlignment w:val="center"/>
              <w:rPr>
                <w:rFonts w:hint="eastAsia" w:ascii="宋体" w:hAnsi="宋体" w:eastAsia="宋体" w:cs="宋体"/>
                <w:color w:val="auto"/>
                <w:sz w:val="24"/>
                <w:szCs w:val="24"/>
              </w:rPr>
            </w:pPr>
          </w:p>
        </w:tc>
        <w:tc>
          <w:tcPr>
            <w:tcW w:w="1835" w:type="dxa"/>
            <w:vAlign w:val="center"/>
          </w:tcPr>
          <w:p>
            <w:pPr>
              <w:spacing w:line="560" w:lineRule="exact"/>
              <w:jc w:val="center"/>
              <w:rPr>
                <w:rFonts w:hint="eastAsia" w:ascii="宋体" w:hAnsi="宋体" w:eastAsia="宋体" w:cs="宋体"/>
                <w:color w:val="auto"/>
                <w:sz w:val="24"/>
                <w:szCs w:val="24"/>
              </w:rPr>
            </w:pPr>
          </w:p>
        </w:tc>
        <w:tc>
          <w:tcPr>
            <w:tcW w:w="1569" w:type="dxa"/>
            <w:vAlign w:val="center"/>
          </w:tcPr>
          <w:p>
            <w:pPr>
              <w:spacing w:line="560" w:lineRule="exact"/>
              <w:jc w:val="center"/>
              <w:rPr>
                <w:rFonts w:hint="eastAsia" w:ascii="宋体" w:hAnsi="宋体" w:eastAsia="宋体" w:cs="宋体"/>
                <w:color w:val="auto"/>
                <w:sz w:val="24"/>
                <w:szCs w:val="24"/>
              </w:rPr>
            </w:pPr>
          </w:p>
        </w:tc>
        <w:tc>
          <w:tcPr>
            <w:tcW w:w="1616" w:type="dxa"/>
            <w:vAlign w:val="center"/>
          </w:tcPr>
          <w:p>
            <w:pPr>
              <w:spacing w:line="56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spacing w:line="560" w:lineRule="exact"/>
              <w:jc w:val="center"/>
              <w:rPr>
                <w:rFonts w:hint="eastAsia" w:ascii="宋体" w:hAnsi="宋体" w:eastAsia="宋体" w:cs="宋体"/>
                <w:color w:val="auto"/>
                <w:sz w:val="24"/>
                <w:szCs w:val="24"/>
                <w:lang w:eastAsia="zh-CN"/>
              </w:rPr>
            </w:pPr>
            <w:r>
              <w:rPr>
                <w:rFonts w:hint="eastAsia" w:ascii="宋体" w:hAnsi="宋体" w:eastAsia="宋体" w:cs="宋体"/>
                <w:b/>
                <w:bCs w:val="0"/>
                <w:color w:val="auto"/>
                <w:kern w:val="2"/>
                <w:sz w:val="24"/>
                <w:szCs w:val="24"/>
              </w:rPr>
              <w:t>不含税价格合计（元）</w:t>
            </w:r>
          </w:p>
        </w:tc>
        <w:tc>
          <w:tcPr>
            <w:tcW w:w="7916" w:type="dxa"/>
            <w:gridSpan w:val="6"/>
            <w:vAlign w:val="center"/>
          </w:tcPr>
          <w:p>
            <w:pPr>
              <w:spacing w:line="560" w:lineRule="exact"/>
              <w:jc w:val="center"/>
              <w:rPr>
                <w:rFonts w:hint="eastAsia" w:ascii="宋体" w:hAnsi="宋体" w:eastAsia="宋体" w:cs="宋体"/>
                <w:b/>
                <w:bCs w:val="0"/>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spacing w:line="560" w:lineRule="exact"/>
              <w:jc w:val="center"/>
              <w:rPr>
                <w:rFonts w:hint="eastAsia" w:ascii="宋体" w:hAnsi="宋体" w:eastAsia="宋体" w:cs="宋体"/>
                <w:color w:val="auto"/>
                <w:sz w:val="24"/>
                <w:szCs w:val="24"/>
                <w:lang w:eastAsia="zh-CN"/>
              </w:rPr>
            </w:pPr>
            <w:r>
              <w:rPr>
                <w:rFonts w:hint="eastAsia" w:ascii="宋体" w:hAnsi="宋体" w:eastAsia="宋体" w:cs="宋体"/>
                <w:b/>
                <w:bCs w:val="0"/>
                <w:color w:val="auto"/>
                <w:kern w:val="2"/>
                <w:sz w:val="24"/>
                <w:szCs w:val="24"/>
              </w:rPr>
              <w:t>税金（元）</w:t>
            </w:r>
          </w:p>
        </w:tc>
        <w:tc>
          <w:tcPr>
            <w:tcW w:w="7916" w:type="dxa"/>
            <w:gridSpan w:val="6"/>
            <w:vAlign w:val="center"/>
          </w:tcPr>
          <w:p>
            <w:pPr>
              <w:spacing w:line="560" w:lineRule="exact"/>
              <w:jc w:val="center"/>
              <w:rPr>
                <w:rFonts w:hint="eastAsia" w:ascii="宋体" w:hAnsi="宋体" w:eastAsia="宋体" w:cs="宋体"/>
                <w:b/>
                <w:bCs w:val="0"/>
                <w:color w:val="auto"/>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377" w:type="dxa"/>
            <w:gridSpan w:val="3"/>
            <w:vAlign w:val="center"/>
          </w:tcPr>
          <w:p>
            <w:pPr>
              <w:pStyle w:val="22"/>
              <w:spacing w:after="0" w:line="560" w:lineRule="exact"/>
              <w:jc w:val="center"/>
              <w:rPr>
                <w:rFonts w:hint="eastAsia" w:ascii="宋体" w:hAnsi="宋体" w:eastAsia="宋体" w:cs="宋体"/>
                <w:color w:val="auto"/>
                <w:sz w:val="24"/>
                <w:szCs w:val="24"/>
              </w:rPr>
            </w:pPr>
            <w:r>
              <w:rPr>
                <w:rFonts w:hint="eastAsia" w:ascii="宋体" w:hAnsi="宋体" w:eastAsia="宋体" w:cs="宋体"/>
                <w:b/>
                <w:bCs w:val="0"/>
                <w:color w:val="auto"/>
                <w:kern w:val="2"/>
                <w:sz w:val="24"/>
                <w:szCs w:val="24"/>
              </w:rPr>
              <w:t>价税合计（元）</w:t>
            </w:r>
          </w:p>
        </w:tc>
        <w:tc>
          <w:tcPr>
            <w:tcW w:w="7916" w:type="dxa"/>
            <w:gridSpan w:val="6"/>
            <w:vAlign w:val="center"/>
          </w:tcPr>
          <w:p>
            <w:pPr>
              <w:pStyle w:val="22"/>
              <w:spacing w:after="0" w:line="560" w:lineRule="exact"/>
              <w:jc w:val="center"/>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人民币大写     元，¥   .00</w:t>
            </w:r>
          </w:p>
        </w:tc>
      </w:tr>
    </w:tbl>
    <w:p>
      <w:pPr>
        <w:pStyle w:val="34"/>
        <w:spacing w:line="360" w:lineRule="auto"/>
        <w:rPr>
          <w:rFonts w:ascii="宋体" w:hAnsi="宋体" w:cs="宋体"/>
          <w:sz w:val="22"/>
        </w:rPr>
      </w:pPr>
      <w:r>
        <w:rPr>
          <w:rFonts w:hint="eastAsia" w:ascii="宋体" w:hAnsi="宋体" w:cs="宋体"/>
          <w:color w:val="auto"/>
          <w:sz w:val="22"/>
        </w:rPr>
        <w:t>注：</w:t>
      </w:r>
    </w:p>
    <w:p>
      <w:pPr>
        <w:numPr>
          <w:ilvl w:val="0"/>
          <w:numId w:val="6"/>
        </w:numPr>
        <w:adjustRightInd w:val="0"/>
        <w:snapToGrid w:val="0"/>
        <w:spacing w:line="360" w:lineRule="auto"/>
        <w:ind w:left="840"/>
        <w:jc w:val="left"/>
        <w:textAlignment w:val="baseline"/>
        <w:rPr>
          <w:rFonts w:hint="eastAsia" w:ascii="宋体" w:hAnsi="宋体" w:cs="宋体"/>
          <w:sz w:val="22"/>
        </w:rPr>
      </w:pPr>
      <w:r>
        <w:rPr>
          <w:rFonts w:hint="eastAsia" w:ascii="宋体" w:hAnsi="宋体" w:cs="宋体"/>
          <w:sz w:val="22"/>
        </w:rPr>
        <w:t>此表的“</w:t>
      </w:r>
      <w:r>
        <w:rPr>
          <w:rFonts w:hint="eastAsia" w:ascii="宋体" w:hAnsi="宋体" w:cs="宋体"/>
          <w:sz w:val="22"/>
          <w:lang w:eastAsia="zh-CN"/>
        </w:rPr>
        <w:t>合计</w:t>
      </w:r>
      <w:r>
        <w:rPr>
          <w:rFonts w:hint="eastAsia" w:ascii="宋体" w:hAnsi="宋体" w:cs="宋体"/>
          <w:sz w:val="22"/>
        </w:rPr>
        <w:t>”系所有需招标人支付的投标金额总数即投标总价，投标总价中已包含投标人完成本招标项目的一切费用包括税费</w:t>
      </w:r>
      <w:r>
        <w:rPr>
          <w:rFonts w:hint="eastAsia" w:ascii="宋体" w:hAnsi="宋体" w:cs="宋体"/>
          <w:sz w:val="22"/>
          <w:lang w:eastAsia="zh-CN"/>
        </w:rPr>
        <w:t>、安装费、调试费、不锈钢管、耦合装置、不锈钢链条等所有费用</w:t>
      </w:r>
      <w:r>
        <w:rPr>
          <w:rFonts w:hint="eastAsia" w:ascii="宋体" w:hAnsi="宋体" w:cs="宋体"/>
          <w:sz w:val="22"/>
        </w:rPr>
        <w:t>。</w:t>
      </w:r>
    </w:p>
    <w:p>
      <w:pPr>
        <w:numPr>
          <w:ilvl w:val="0"/>
          <w:numId w:val="0"/>
        </w:numPr>
        <w:adjustRightInd w:val="0"/>
        <w:snapToGrid w:val="0"/>
        <w:spacing w:line="360" w:lineRule="auto"/>
        <w:jc w:val="left"/>
        <w:textAlignment w:val="baseline"/>
        <w:rPr>
          <w:rFonts w:hint="eastAsia" w:ascii="宋体" w:hAnsi="宋体" w:cs="宋体"/>
          <w:sz w:val="22"/>
        </w:rPr>
      </w:pPr>
    </w:p>
    <w:p>
      <w:pPr>
        <w:pStyle w:val="32"/>
        <w:spacing w:line="360" w:lineRule="auto"/>
        <w:rPr>
          <w:rFonts w:ascii="宋体" w:hAnsi="宋体" w:cs="宋体"/>
          <w:sz w:val="22"/>
        </w:rPr>
      </w:pPr>
    </w:p>
    <w:p>
      <w:pPr>
        <w:pStyle w:val="32"/>
        <w:spacing w:line="360" w:lineRule="auto"/>
        <w:jc w:val="right"/>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jc w:val="right"/>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jc w:val="right"/>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jc w:val="right"/>
        <w:rPr>
          <w:rFonts w:ascii="宋体" w:hAnsi="宋体" w:cs="宋体"/>
          <w:sz w:val="22"/>
        </w:rPr>
        <w:sectPr>
          <w:pgSz w:w="11907" w:h="16840"/>
          <w:pgMar w:top="1191" w:right="1191" w:bottom="1191" w:left="1191" w:header="567" w:footer="720" w:gutter="227"/>
          <w:pgNumType w:fmt="numberInDash"/>
          <w:cols w:space="720" w:num="1"/>
        </w:sectPr>
      </w:pPr>
    </w:p>
    <w:bookmarkEnd w:id="45"/>
    <w:bookmarkEnd w:id="46"/>
    <w:bookmarkEnd w:id="47"/>
    <w:bookmarkEnd w:id="48"/>
    <w:p>
      <w:pPr>
        <w:pStyle w:val="32"/>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14"/>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2"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4"/>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2"/>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right="-20"/>
        <w:jc w:val="both"/>
        <w:rPr>
          <w:rFonts w:ascii="宋体" w:hAnsi="宋体" w:cs="宋体"/>
          <w:b/>
          <w:sz w:val="32"/>
          <w:szCs w:val="32"/>
        </w:rPr>
        <w:sectPr>
          <w:headerReference r:id="rId15" w:type="first"/>
          <w:headerReference r:id="rId13" w:type="default"/>
          <w:headerReference r:id="rId14"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right="-20"/>
        <w:jc w:val="both"/>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如营业执照未登记注册资本的，须另外提供企业在“国家企业信用信息公示系统”中自行公示的出资实缴情况，附相关公示网页复制件，并加盖投标人公章。</w:t>
      </w:r>
    </w:p>
    <w:p>
      <w:pPr>
        <w:autoSpaceDE w:val="0"/>
        <w:autoSpaceDN w:val="0"/>
        <w:adjustRightInd w:val="0"/>
        <w:spacing w:line="360" w:lineRule="auto"/>
        <w:ind w:right="-20"/>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20</w:t>
      </w:r>
      <w:r>
        <w:rPr>
          <w:rFonts w:hint="eastAsia" w:ascii="宋体" w:hAnsi="宋体" w:cs="微软雅黑"/>
          <w:kern w:val="0"/>
          <w:position w:val="-1"/>
          <w:sz w:val="22"/>
          <w:lang w:val="en-US" w:eastAsia="zh-CN"/>
        </w:rPr>
        <w:t>2</w:t>
      </w:r>
      <w:r>
        <w:rPr>
          <w:rFonts w:ascii="宋体" w:hAnsi="宋体" w:cs="微软雅黑"/>
          <w:kern w:val="0"/>
          <w:position w:val="-1"/>
          <w:sz w:val="22"/>
        </w:rPr>
        <w:t xml:space="preserve">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7"/>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8"/>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9"/>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10"/>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11"/>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12"/>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3"/>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13"/>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4"/>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hint="eastAsia" w:ascii="宋体" w:hAnsi="宋体" w:eastAsia="宋体" w:cs="宋体"/>
          <w:sz w:val="22"/>
          <w:u w:val="single"/>
          <w:lang w:eastAsia="zh-CN"/>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15"/>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14"/>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kern w:val="0"/>
                <w:szCs w:val="21"/>
              </w:rPr>
            </w:pPr>
            <w:r>
              <w:rPr>
                <w:rFonts w:hint="eastAsia" w:ascii="宋体" w:hAnsi="宋体" w:eastAsia="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kern w:val="0"/>
                <w:szCs w:val="21"/>
              </w:rPr>
            </w:pPr>
            <w:r>
              <w:rPr>
                <w:rFonts w:hint="eastAsia" w:ascii="宋体" w:hAnsi="宋体" w:eastAsia="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r>
              <w:rPr>
                <w:rFonts w:hint="eastAsia" w:ascii="宋体" w:hAnsi="宋体" w:eastAsia="宋体" w:cs="宋体"/>
                <w:bCs/>
                <w:kern w:val="0"/>
                <w:szCs w:val="21"/>
              </w:rPr>
              <w:t>项目</w:t>
            </w:r>
          </w:p>
          <w:p>
            <w:pPr>
              <w:pStyle w:val="35"/>
              <w:jc w:val="center"/>
              <w:rPr>
                <w:rFonts w:hint="eastAsia" w:ascii="宋体" w:hAnsi="宋体" w:eastAsia="宋体" w:cs="宋体"/>
                <w:kern w:val="0"/>
                <w:szCs w:val="21"/>
              </w:rPr>
            </w:pPr>
            <w:r>
              <w:rPr>
                <w:rFonts w:hint="eastAsia" w:ascii="宋体" w:hAnsi="宋体" w:eastAsia="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kern w:val="0"/>
                <w:szCs w:val="21"/>
              </w:rPr>
            </w:pPr>
            <w:r>
              <w:rPr>
                <w:rFonts w:hint="eastAsia" w:ascii="宋体" w:hAnsi="宋体" w:eastAsia="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kern w:val="0"/>
                <w:szCs w:val="21"/>
              </w:rPr>
            </w:pPr>
            <w:r>
              <w:rPr>
                <w:rFonts w:hint="eastAsia" w:ascii="宋体" w:hAnsi="宋体" w:eastAsia="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kern w:val="0"/>
                <w:szCs w:val="21"/>
              </w:rPr>
            </w:pPr>
            <w:r>
              <w:rPr>
                <w:rFonts w:hint="eastAsia" w:ascii="宋体" w:hAnsi="宋体" w:eastAsia="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r>
              <w:rPr>
                <w:rFonts w:hint="eastAsia" w:ascii="宋体" w:hAnsi="宋体" w:eastAsia="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r>
              <w:rPr>
                <w:rFonts w:hint="eastAsia" w:ascii="宋体" w:hAnsi="宋体" w:eastAsia="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r>
              <w:rPr>
                <w:rFonts w:hint="eastAsia" w:ascii="宋体" w:hAnsi="宋体" w:eastAsia="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35"/>
              <w:jc w:val="center"/>
              <w:rPr>
                <w:rFonts w:hint="eastAsia" w:ascii="宋体" w:hAnsi="宋体" w:eastAsia="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35"/>
              <w:jc w:val="center"/>
              <w:rPr>
                <w:rFonts w:hint="eastAsia" w:ascii="宋体" w:hAnsi="宋体" w:eastAsia="宋体" w:cs="宋体"/>
                <w:bCs/>
                <w:kern w:val="0"/>
                <w:szCs w:val="21"/>
              </w:rPr>
            </w:pPr>
          </w:p>
        </w:tc>
      </w:tr>
    </w:tbl>
    <w:p>
      <w:pPr>
        <w:pStyle w:val="35"/>
        <w:spacing w:before="120" w:beforeLines="50" w:line="360" w:lineRule="auto"/>
        <w:rPr>
          <w:rFonts w:hint="eastAsia" w:ascii="宋体" w:hAnsi="宋体" w:eastAsia="宋体" w:cs="宋体"/>
        </w:rPr>
      </w:pPr>
      <w:r>
        <w:rPr>
          <w:rFonts w:hint="eastAsia" w:ascii="宋体" w:hAnsi="宋体" w:eastAsia="宋体" w:cs="宋体"/>
        </w:rPr>
        <w:t>注：注：本表只需填写符合“招标公告”资格条件和“评标办法”业绩评分要求的业绩，并附有关证明中标通知书或合同复印件等材料复印件或扫描件。</w:t>
      </w:r>
    </w:p>
    <w:p>
      <w:pPr>
        <w:pStyle w:val="35"/>
        <w:spacing w:before="120" w:beforeLines="50" w:line="360" w:lineRule="auto"/>
        <w:rPr>
          <w:rFonts w:ascii="宋体" w:hAnsi="宋体"/>
        </w:rPr>
      </w:pPr>
    </w:p>
    <w:p>
      <w:pPr>
        <w:pStyle w:val="32"/>
        <w:spacing w:line="360" w:lineRule="auto"/>
        <w:jc w:val="right"/>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jc w:val="right"/>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jc w:val="right"/>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14"/>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36"/>
        <w:adjustRightInd w:val="0"/>
        <w:snapToGrid w:val="0"/>
        <w:ind w:firstLine="200"/>
        <w:jc w:val="center"/>
        <w:rPr>
          <w:b/>
          <w:sz w:val="10"/>
          <w:szCs w:val="10"/>
        </w:rPr>
      </w:pP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36"/>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5" w:leftChars="-255" w:right="-20" w:hanging="490"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4"/>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14"/>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2</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w:t>
      </w:r>
      <w:r>
        <w:rPr>
          <w:rFonts w:hint="eastAsia" w:ascii="宋体" w:hAnsi="宋体" w:cs="微软雅黑"/>
          <w:kern w:val="0"/>
          <w:sz w:val="22"/>
          <w:lang w:val="en-US" w:eastAsia="zh-CN"/>
        </w:rPr>
        <w:t>3</w:t>
      </w:r>
      <w:r>
        <w:rPr>
          <w:rFonts w:hint="eastAsia" w:ascii="宋体" w:hAnsi="宋体" w:cs="微软雅黑"/>
          <w:kern w:val="0"/>
          <w:sz w:val="22"/>
        </w:rPr>
        <w:t>）</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jc w:val="center"/>
        <w:rPr>
          <w:rFonts w:ascii="宋体" w:hAnsi="宋体" w:cs="微软雅黑"/>
          <w:kern w:val="0"/>
          <w:sz w:val="22"/>
        </w:rPr>
      </w:pPr>
      <w:r>
        <w:rPr>
          <w:rFonts w:hint="eastAsia" w:ascii="宋体" w:hAnsi="宋体" w:cs="微软雅黑"/>
          <w:kern w:val="0"/>
          <w:sz w:val="22"/>
        </w:rPr>
        <w:t>承诺人单位名称（盖章）：</w:t>
      </w:r>
    </w:p>
    <w:p>
      <w:pPr>
        <w:spacing w:line="360" w:lineRule="exact"/>
        <w:jc w:val="center"/>
        <w:rPr>
          <w:rFonts w:ascii="宋体" w:hAnsi="宋体" w:cs="微软雅黑"/>
          <w:kern w:val="0"/>
          <w:sz w:val="22"/>
        </w:rPr>
      </w:pPr>
      <w:r>
        <w:rPr>
          <w:rFonts w:hint="eastAsia" w:ascii="宋体" w:hAnsi="宋体" w:cs="微软雅黑"/>
          <w:kern w:val="0"/>
          <w:sz w:val="22"/>
        </w:rPr>
        <w:t>法定代表人 ：</w:t>
      </w:r>
    </w:p>
    <w:p>
      <w:pPr>
        <w:spacing w:line="360" w:lineRule="exact"/>
        <w:jc w:val="center"/>
        <w:rPr>
          <w:rFonts w:ascii="宋体" w:hAnsi="宋体" w:cs="微软雅黑"/>
          <w:kern w:val="0"/>
          <w:sz w:val="22"/>
        </w:rPr>
      </w:pPr>
      <w:r>
        <w:rPr>
          <w:rFonts w:hint="eastAsia" w:ascii="宋体" w:hAnsi="宋体" w:cs="微软雅黑"/>
          <w:kern w:val="0"/>
          <w:sz w:val="22"/>
        </w:rPr>
        <w:t>或</w:t>
      </w:r>
    </w:p>
    <w:p>
      <w:pPr>
        <w:spacing w:line="360" w:lineRule="exact"/>
        <w:jc w:val="center"/>
        <w:rPr>
          <w:rFonts w:ascii="宋体" w:hAnsi="宋体" w:cs="微软雅黑"/>
          <w:kern w:val="0"/>
          <w:sz w:val="22"/>
        </w:rPr>
      </w:pPr>
      <w:r>
        <w:rPr>
          <w:rFonts w:hint="eastAsia" w:ascii="宋体" w:hAnsi="宋体" w:cs="微软雅黑"/>
          <w:kern w:val="0"/>
          <w:sz w:val="22"/>
        </w:rPr>
        <w:t>委托代理人：</w:t>
      </w:r>
    </w:p>
    <w:p>
      <w:pPr>
        <w:spacing w:line="360" w:lineRule="exact"/>
        <w:ind w:firstLine="440" w:firstLineChars="200"/>
        <w:jc w:val="center"/>
        <w:rPr>
          <w:rFonts w:ascii="宋体" w:hAnsi="宋体" w:cs="微软雅黑"/>
          <w:kern w:val="0"/>
          <w:sz w:val="22"/>
        </w:rPr>
      </w:pPr>
      <w:r>
        <w:rPr>
          <w:rFonts w:hint="eastAsia" w:ascii="宋体" w:hAnsi="宋体" w:cs="微软雅黑"/>
          <w:kern w:val="0"/>
          <w:sz w:val="22"/>
        </w:rPr>
        <w:t>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w:t>
      </w:r>
      <w:r>
        <w:rPr>
          <w:rFonts w:hint="eastAsia" w:ascii="宋体" w:hAnsi="宋体" w:cs="宋体"/>
          <w:sz w:val="22"/>
          <w:lang w:val="en-US" w:eastAsia="zh-CN"/>
        </w:rPr>
        <w:t xml:space="preserve">杭州萧山国际机场隧道西一体化泵站潜污泵采购项目 </w:t>
      </w:r>
      <w:r>
        <w:rPr>
          <w:rFonts w:hint="eastAsia" w:ascii="宋体" w:hAnsi="宋体" w:cs="宋体"/>
          <w:sz w:val="22"/>
        </w:rPr>
        <w:t>】的服务。在上述业务来往过程中，机场公司可能向我方提供经营、业务、服务等有关的文件、资料、软件等信息，为维护机场公司的利益，我方就保密事宜做出如下承诺：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ind w:firstLine="280"/>
        <w:jc w:val="center"/>
        <w:rPr>
          <w:rFonts w:ascii="宋体" w:hAnsi="宋体" w:cs="宋体"/>
          <w:sz w:val="22"/>
        </w:rPr>
      </w:pPr>
      <w:r>
        <w:rPr>
          <w:rFonts w:hint="eastAsia" w:ascii="宋体" w:hAnsi="宋体" w:cs="宋体"/>
          <w:sz w:val="22"/>
        </w:rPr>
        <w:t>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napToGrid w:val="0"/>
        <w:spacing w:line="360" w:lineRule="exact"/>
        <w:jc w:val="cente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hint="eastAsia" w:ascii="宋体" w:hAnsi="宋体" w:cs="宋体"/>
          <w:sz w:val="22"/>
          <w:lang w:val="en-US" w:eastAsia="zh-CN"/>
        </w:rPr>
        <w:t xml:space="preserve"> </w:t>
      </w:r>
      <w:r>
        <w:rPr>
          <w:rFonts w:hint="eastAsia" w:ascii="宋体" w:hAnsi="宋体" w:cs="宋体"/>
          <w:sz w:val="22"/>
        </w:rPr>
        <w:t xml:space="preserve"> 年  </w:t>
      </w:r>
      <w:r>
        <w:rPr>
          <w:rFonts w:hint="eastAsia" w:ascii="宋体" w:hAnsi="宋体" w:cs="宋体"/>
          <w:sz w:val="22"/>
          <w:lang w:val="en-US" w:eastAsia="zh-CN"/>
        </w:rPr>
        <w:t xml:space="preserve"> </w:t>
      </w:r>
      <w:r>
        <w:rPr>
          <w:rFonts w:hint="eastAsia" w:ascii="宋体" w:hAnsi="宋体" w:cs="宋体"/>
          <w:sz w:val="22"/>
        </w:rPr>
        <w:t xml:space="preserve"> 月  </w:t>
      </w:r>
      <w:r>
        <w:rPr>
          <w:rFonts w:hint="eastAsia" w:ascii="宋体" w:hAnsi="宋体" w:cs="宋体"/>
          <w:sz w:val="22"/>
          <w:lang w:val="en-US" w:eastAsia="zh-CN"/>
        </w:rPr>
        <w:t xml:space="preserve"> </w:t>
      </w:r>
      <w:r>
        <w:rPr>
          <w:rFonts w:hint="eastAsia" w:ascii="宋体" w:hAnsi="宋体" w:cs="宋体"/>
          <w:sz w:val="22"/>
        </w:rPr>
        <w:t xml:space="preserve"> 日</w:t>
      </w:r>
    </w:p>
    <w:p>
      <w:pPr>
        <w:pStyle w:val="32"/>
        <w:spacing w:line="360" w:lineRule="auto"/>
        <w:jc w:val="center"/>
        <w:rPr>
          <w:rFonts w:ascii="宋体" w:hAnsi="宋体" w:cs="宋体"/>
          <w:b/>
          <w:sz w:val="32"/>
          <w:szCs w:val="32"/>
        </w:rPr>
      </w:pPr>
      <w:r>
        <w:rPr>
          <w:rFonts w:hint="eastAsia" w:ascii="宋体" w:hAnsi="宋体" w:cs="宋体"/>
          <w:b/>
          <w:sz w:val="32"/>
          <w:szCs w:val="32"/>
        </w:rPr>
        <w:t>十、技术方案</w:t>
      </w:r>
    </w:p>
    <w:p>
      <w:pPr>
        <w:pStyle w:val="37"/>
        <w:spacing w:line="360" w:lineRule="auto"/>
        <w:ind w:firstLine="440" w:firstLineChars="200"/>
        <w:rPr>
          <w:rFonts w:ascii="宋体" w:hAnsi="宋体" w:cs="宋体"/>
          <w:sz w:val="22"/>
        </w:rPr>
      </w:pPr>
    </w:p>
    <w:p>
      <w:pPr>
        <w:pStyle w:val="37"/>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16"/>
        </w:numPr>
        <w:spacing w:line="360" w:lineRule="auto"/>
        <w:rPr>
          <w:rFonts w:ascii="宋体" w:hAnsi="宋体" w:cs="宋体"/>
          <w:sz w:val="22"/>
        </w:rPr>
      </w:pPr>
      <w:r>
        <w:rPr>
          <w:rFonts w:hint="eastAsia" w:ascii="宋体" w:hAnsi="宋体" w:cs="宋体"/>
          <w:sz w:val="22"/>
        </w:rPr>
        <w:t>货物说明一览表；</w:t>
      </w:r>
    </w:p>
    <w:p>
      <w:pPr>
        <w:numPr>
          <w:ilvl w:val="0"/>
          <w:numId w:val="16"/>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16"/>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16"/>
        </w:numPr>
        <w:spacing w:line="360" w:lineRule="auto"/>
        <w:rPr>
          <w:rFonts w:ascii="宋体" w:hAnsi="宋体" w:cs="宋体"/>
          <w:sz w:val="22"/>
        </w:rPr>
      </w:pPr>
      <w:r>
        <w:rPr>
          <w:rFonts w:hint="eastAsia" w:ascii="宋体" w:hAnsi="宋体" w:cs="宋体"/>
          <w:sz w:val="22"/>
        </w:rPr>
        <w:t>货物主要生产工艺流程；</w:t>
      </w:r>
    </w:p>
    <w:p>
      <w:pPr>
        <w:numPr>
          <w:ilvl w:val="0"/>
          <w:numId w:val="16"/>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16"/>
        </w:numPr>
        <w:spacing w:line="360" w:lineRule="auto"/>
        <w:rPr>
          <w:rFonts w:ascii="宋体" w:hAnsi="宋体" w:cs="宋体"/>
          <w:sz w:val="22"/>
        </w:rPr>
      </w:pPr>
      <w:r>
        <w:rPr>
          <w:rFonts w:hint="eastAsia" w:ascii="宋体" w:hAnsi="宋体" w:cs="宋体"/>
          <w:sz w:val="22"/>
        </w:rPr>
        <w:t>项目实施进度控制计划；</w:t>
      </w:r>
    </w:p>
    <w:p>
      <w:pPr>
        <w:numPr>
          <w:ilvl w:val="0"/>
          <w:numId w:val="16"/>
        </w:numPr>
        <w:spacing w:line="360" w:lineRule="auto"/>
        <w:rPr>
          <w:rFonts w:ascii="宋体" w:hAnsi="宋体" w:cs="宋体"/>
          <w:sz w:val="22"/>
        </w:rPr>
      </w:pPr>
      <w:r>
        <w:rPr>
          <w:rFonts w:hint="eastAsia" w:ascii="宋体" w:hAnsi="宋体" w:cs="宋体"/>
          <w:sz w:val="22"/>
        </w:rPr>
        <w:t>相关服务实施方案；</w:t>
      </w:r>
    </w:p>
    <w:p>
      <w:pPr>
        <w:numPr>
          <w:ilvl w:val="0"/>
          <w:numId w:val="16"/>
        </w:numPr>
        <w:spacing w:line="360" w:lineRule="auto"/>
        <w:rPr>
          <w:rFonts w:ascii="宋体" w:hAnsi="宋体" w:cs="宋体"/>
          <w:sz w:val="22"/>
        </w:rPr>
      </w:pPr>
      <w:r>
        <w:rPr>
          <w:rFonts w:hint="eastAsia" w:ascii="宋体" w:hAnsi="宋体" w:cs="宋体"/>
          <w:sz w:val="22"/>
        </w:rPr>
        <w:t>设备运行维护成本分析；</w:t>
      </w:r>
    </w:p>
    <w:p>
      <w:pPr>
        <w:numPr>
          <w:ilvl w:val="0"/>
          <w:numId w:val="16"/>
        </w:numPr>
        <w:spacing w:line="360" w:lineRule="auto"/>
        <w:rPr>
          <w:rFonts w:ascii="宋体" w:hAnsi="宋体" w:cs="宋体"/>
          <w:sz w:val="22"/>
        </w:rPr>
      </w:pPr>
      <w:r>
        <w:rPr>
          <w:rFonts w:hint="eastAsia" w:ascii="宋体" w:hAnsi="宋体" w:cs="宋体"/>
          <w:sz w:val="22"/>
        </w:rPr>
        <w:t>备品备件的详细配置说明；</w:t>
      </w:r>
    </w:p>
    <w:p>
      <w:pPr>
        <w:numPr>
          <w:ilvl w:val="0"/>
          <w:numId w:val="16"/>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16"/>
        </w:numPr>
        <w:spacing w:line="360" w:lineRule="auto"/>
        <w:rPr>
          <w:rFonts w:ascii="宋体" w:hAnsi="宋体" w:cs="宋体"/>
          <w:sz w:val="22"/>
        </w:rPr>
      </w:pPr>
      <w:r>
        <w:rPr>
          <w:rFonts w:hint="eastAsia" w:ascii="宋体" w:hAnsi="宋体" w:cs="宋体"/>
          <w:sz w:val="22"/>
        </w:rPr>
        <w:t>技术文件清单</w:t>
      </w:r>
    </w:p>
    <w:p>
      <w:pPr>
        <w:numPr>
          <w:ilvl w:val="0"/>
          <w:numId w:val="16"/>
        </w:numPr>
        <w:spacing w:line="360" w:lineRule="auto"/>
        <w:rPr>
          <w:rFonts w:ascii="宋体" w:hAnsi="宋体" w:cs="宋体"/>
          <w:sz w:val="22"/>
        </w:rPr>
      </w:pPr>
      <w:r>
        <w:rPr>
          <w:rFonts w:hint="eastAsia" w:ascii="宋体" w:hAnsi="宋体" w:cs="宋体"/>
          <w:sz w:val="22"/>
        </w:rPr>
        <w:t>技术支持及售后服务方案；</w:t>
      </w:r>
    </w:p>
    <w:p>
      <w:pPr>
        <w:numPr>
          <w:ilvl w:val="0"/>
          <w:numId w:val="16"/>
        </w:numPr>
        <w:spacing w:line="360" w:lineRule="auto"/>
        <w:rPr>
          <w:rFonts w:ascii="宋体" w:hAnsi="宋体" w:cs="宋体"/>
          <w:sz w:val="22"/>
        </w:rPr>
      </w:pPr>
      <w:r>
        <w:rPr>
          <w:rFonts w:hint="eastAsia" w:ascii="宋体" w:hAnsi="宋体" w:cs="宋体"/>
          <w:sz w:val="22"/>
        </w:rPr>
        <w:t>人员培训计划。</w:t>
      </w:r>
    </w:p>
    <w:p>
      <w:pPr>
        <w:pStyle w:val="38"/>
        <w:rPr>
          <w:rFonts w:ascii="宋体" w:hAnsi="宋体" w:cs="宋体"/>
          <w:sz w:val="22"/>
        </w:rPr>
      </w:pPr>
    </w:p>
    <w:p>
      <w:pPr>
        <w:pStyle w:val="32"/>
        <w:spacing w:line="360" w:lineRule="auto"/>
        <w:jc w:val="center"/>
        <w:rPr>
          <w:rFonts w:ascii="宋体" w:hAnsi="宋体" w:cs="宋体"/>
          <w:b/>
          <w:sz w:val="32"/>
          <w:szCs w:val="32"/>
        </w:rPr>
      </w:pPr>
    </w:p>
    <w:p>
      <w:pPr>
        <w:pStyle w:val="32"/>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38"/>
        <w:jc w:val="center"/>
        <w:rPr>
          <w:rFonts w:ascii="宋体" w:hAnsi="宋体" w:cs="宋体"/>
          <w:bCs/>
          <w:sz w:val="32"/>
          <w:szCs w:val="32"/>
        </w:rPr>
      </w:pPr>
      <w:r>
        <w:rPr>
          <w:rFonts w:hint="eastAsia" w:ascii="宋体" w:hAnsi="宋体" w:cs="宋体"/>
          <w:b/>
          <w:sz w:val="30"/>
          <w:szCs w:val="30"/>
        </w:rPr>
        <w:t>项目部主要成员履历表</w:t>
      </w:r>
    </w:p>
    <w:p>
      <w:pPr>
        <w:pStyle w:val="39"/>
        <w:spacing w:before="120" w:beforeLines="50" w:line="360" w:lineRule="auto"/>
        <w:ind w:firstLine="480" w:firstLineChars="200"/>
        <w:rPr>
          <w:rFonts w:ascii="宋体" w:hAnsi="宋体" w:eastAsia="宋体" w:cs="宋体"/>
          <w:sz w:val="24"/>
          <w:szCs w:val="21"/>
        </w:rPr>
      </w:pPr>
    </w:p>
    <w:tbl>
      <w:tblPr>
        <w:tblStyle w:val="14"/>
        <w:tblW w:w="9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r>
              <w:rPr>
                <w:rFonts w:hint="eastAsia" w:ascii="宋体" w:hAnsi="宋体" w:cs="宋体"/>
              </w:rPr>
              <w:t>序号</w:t>
            </w:r>
          </w:p>
        </w:tc>
        <w:tc>
          <w:tcPr>
            <w:tcW w:w="665" w:type="dxa"/>
            <w:vAlign w:val="center"/>
          </w:tcPr>
          <w:p>
            <w:pPr>
              <w:pStyle w:val="38"/>
              <w:jc w:val="center"/>
              <w:rPr>
                <w:rFonts w:ascii="宋体" w:hAnsi="宋体" w:cs="宋体"/>
              </w:rPr>
            </w:pPr>
            <w:r>
              <w:rPr>
                <w:rFonts w:hint="eastAsia" w:ascii="宋体" w:hAnsi="宋体" w:cs="宋体"/>
              </w:rPr>
              <w:t>姓名</w:t>
            </w:r>
          </w:p>
        </w:tc>
        <w:tc>
          <w:tcPr>
            <w:tcW w:w="665" w:type="dxa"/>
            <w:vAlign w:val="center"/>
          </w:tcPr>
          <w:p>
            <w:pPr>
              <w:pStyle w:val="38"/>
              <w:jc w:val="center"/>
              <w:rPr>
                <w:rFonts w:ascii="宋体" w:hAnsi="宋体" w:cs="宋体"/>
              </w:rPr>
            </w:pPr>
            <w:r>
              <w:rPr>
                <w:rFonts w:hint="eastAsia" w:ascii="宋体" w:hAnsi="宋体" w:cs="宋体"/>
              </w:rPr>
              <w:t>性别</w:t>
            </w:r>
          </w:p>
        </w:tc>
        <w:tc>
          <w:tcPr>
            <w:tcW w:w="665" w:type="dxa"/>
            <w:vAlign w:val="center"/>
          </w:tcPr>
          <w:p>
            <w:pPr>
              <w:pStyle w:val="38"/>
              <w:jc w:val="center"/>
              <w:rPr>
                <w:rFonts w:ascii="宋体" w:hAnsi="宋体" w:cs="宋体"/>
              </w:rPr>
            </w:pPr>
            <w:r>
              <w:rPr>
                <w:rFonts w:hint="eastAsia" w:ascii="宋体" w:hAnsi="宋体" w:cs="宋体"/>
              </w:rPr>
              <w:t>年龄</w:t>
            </w:r>
          </w:p>
        </w:tc>
        <w:tc>
          <w:tcPr>
            <w:tcW w:w="664" w:type="dxa"/>
            <w:vAlign w:val="center"/>
          </w:tcPr>
          <w:p>
            <w:pPr>
              <w:pStyle w:val="38"/>
              <w:jc w:val="center"/>
              <w:rPr>
                <w:rFonts w:ascii="宋体" w:hAnsi="宋体" w:cs="宋体"/>
              </w:rPr>
            </w:pPr>
            <w:r>
              <w:rPr>
                <w:rFonts w:hint="eastAsia" w:ascii="宋体" w:hAnsi="宋体" w:cs="宋体"/>
              </w:rPr>
              <w:t>学历</w:t>
            </w:r>
          </w:p>
        </w:tc>
        <w:tc>
          <w:tcPr>
            <w:tcW w:w="664" w:type="dxa"/>
            <w:vAlign w:val="center"/>
          </w:tcPr>
          <w:p>
            <w:pPr>
              <w:pStyle w:val="38"/>
              <w:jc w:val="center"/>
              <w:rPr>
                <w:rFonts w:ascii="宋体" w:hAnsi="宋体" w:cs="宋体"/>
              </w:rPr>
            </w:pPr>
            <w:r>
              <w:rPr>
                <w:rFonts w:hint="eastAsia" w:ascii="宋体" w:hAnsi="宋体" w:cs="宋体"/>
              </w:rPr>
              <w:t>专业</w:t>
            </w:r>
          </w:p>
        </w:tc>
        <w:tc>
          <w:tcPr>
            <w:tcW w:w="1673" w:type="dxa"/>
            <w:vAlign w:val="center"/>
          </w:tcPr>
          <w:p>
            <w:pPr>
              <w:pStyle w:val="38"/>
              <w:jc w:val="center"/>
              <w:rPr>
                <w:rFonts w:ascii="宋体" w:hAnsi="宋体" w:cs="宋体"/>
              </w:rPr>
            </w:pPr>
            <w:r>
              <w:rPr>
                <w:rFonts w:hint="eastAsia" w:ascii="宋体" w:hAnsi="宋体" w:cs="宋体"/>
              </w:rPr>
              <w:t>执业资格/职称</w:t>
            </w:r>
          </w:p>
        </w:tc>
        <w:tc>
          <w:tcPr>
            <w:tcW w:w="1157" w:type="dxa"/>
            <w:vAlign w:val="center"/>
          </w:tcPr>
          <w:p>
            <w:pPr>
              <w:pStyle w:val="38"/>
              <w:jc w:val="center"/>
              <w:rPr>
                <w:rFonts w:ascii="宋体" w:hAnsi="宋体" w:cs="宋体"/>
              </w:rPr>
            </w:pPr>
            <w:r>
              <w:rPr>
                <w:rFonts w:hint="eastAsia" w:ascii="宋体" w:hAnsi="宋体" w:cs="宋体"/>
              </w:rPr>
              <w:t>工作年限</w:t>
            </w:r>
          </w:p>
        </w:tc>
        <w:tc>
          <w:tcPr>
            <w:tcW w:w="1673" w:type="dxa"/>
            <w:vAlign w:val="center"/>
          </w:tcPr>
          <w:p>
            <w:pPr>
              <w:pStyle w:val="38"/>
              <w:jc w:val="center"/>
              <w:rPr>
                <w:rFonts w:ascii="宋体" w:hAnsi="宋体" w:cs="宋体"/>
              </w:rPr>
            </w:pPr>
            <w:r>
              <w:rPr>
                <w:rFonts w:hint="eastAsia" w:ascii="宋体" w:hAnsi="宋体" w:cs="宋体"/>
              </w:rPr>
              <w:t>拟在本项目担任的职务</w:t>
            </w:r>
          </w:p>
        </w:tc>
        <w:tc>
          <w:tcPr>
            <w:tcW w:w="1364" w:type="dxa"/>
            <w:vAlign w:val="center"/>
          </w:tcPr>
          <w:p>
            <w:pPr>
              <w:pStyle w:val="38"/>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5"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664" w:type="dxa"/>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157" w:type="dxa"/>
            <w:tcBorders>
              <w:bottom w:val="single" w:color="auto" w:sz="4" w:space="0"/>
            </w:tcBorders>
            <w:vAlign w:val="center"/>
          </w:tcPr>
          <w:p>
            <w:pPr>
              <w:pStyle w:val="38"/>
              <w:jc w:val="center"/>
              <w:rPr>
                <w:rFonts w:ascii="宋体" w:hAnsi="宋体" w:cs="宋体"/>
              </w:rPr>
            </w:pPr>
          </w:p>
        </w:tc>
        <w:tc>
          <w:tcPr>
            <w:tcW w:w="1673" w:type="dxa"/>
            <w:tcBorders>
              <w:bottom w:val="single" w:color="auto" w:sz="4" w:space="0"/>
            </w:tcBorders>
            <w:vAlign w:val="center"/>
          </w:tcPr>
          <w:p>
            <w:pPr>
              <w:pStyle w:val="38"/>
              <w:jc w:val="center"/>
              <w:rPr>
                <w:rFonts w:ascii="宋体" w:hAnsi="宋体" w:cs="宋体"/>
              </w:rPr>
            </w:pPr>
          </w:p>
        </w:tc>
        <w:tc>
          <w:tcPr>
            <w:tcW w:w="1364" w:type="dxa"/>
            <w:tcBorders>
              <w:bottom w:val="single" w:color="auto" w:sz="4" w:space="0"/>
            </w:tcBorders>
            <w:vAlign w:val="center"/>
          </w:tcPr>
          <w:p>
            <w:pPr>
              <w:pStyle w:val="38"/>
              <w:jc w:val="center"/>
              <w:rPr>
                <w:rFonts w:ascii="宋体" w:hAnsi="宋体" w:cs="宋体"/>
              </w:rPr>
            </w:pPr>
          </w:p>
        </w:tc>
      </w:tr>
    </w:tbl>
    <w:p>
      <w:pPr>
        <w:pStyle w:val="40"/>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40"/>
        <w:spacing w:line="400" w:lineRule="exact"/>
        <w:rPr>
          <w:rFonts w:ascii="宋体" w:hAnsi="宋体" w:cs="宋体"/>
          <w:sz w:val="24"/>
          <w:szCs w:val="21"/>
        </w:rPr>
      </w:pPr>
    </w:p>
    <w:p>
      <w:pPr>
        <w:pStyle w:val="38"/>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14"/>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794" w:hRule="atLeast"/>
        </w:trPr>
        <w:tc>
          <w:tcPr>
            <w:tcW w:w="1005" w:type="dxa"/>
            <w:vMerge w:val="restart"/>
            <w:textDirection w:val="tbRlV"/>
            <w:vAlign w:val="center"/>
          </w:tcPr>
          <w:p>
            <w:pPr>
              <w:pStyle w:val="38"/>
              <w:ind w:left="113"/>
              <w:jc w:val="center"/>
              <w:rPr>
                <w:rFonts w:ascii="宋体" w:hAnsi="宋体" w:cs="宋体"/>
              </w:rPr>
            </w:pPr>
            <w:r>
              <w:rPr>
                <w:rFonts w:hint="eastAsia" w:ascii="宋体" w:hAnsi="宋体" w:cs="宋体"/>
              </w:rPr>
              <w:t>售后服务体系情况</w:t>
            </w:r>
          </w:p>
        </w:tc>
        <w:tc>
          <w:tcPr>
            <w:tcW w:w="3335" w:type="dxa"/>
            <w:vAlign w:val="center"/>
          </w:tcPr>
          <w:p>
            <w:pPr>
              <w:pStyle w:val="38"/>
              <w:jc w:val="center"/>
              <w:rPr>
                <w:rFonts w:ascii="宋体" w:hAnsi="宋体" w:cs="宋体"/>
              </w:rPr>
            </w:pPr>
            <w:r>
              <w:rPr>
                <w:rFonts w:hint="eastAsia" w:ascii="宋体" w:hAnsi="宋体" w:cs="宋体"/>
              </w:rPr>
              <w:t>售后服务人数：</w:t>
            </w:r>
          </w:p>
        </w:tc>
        <w:tc>
          <w:tcPr>
            <w:tcW w:w="5515" w:type="dxa"/>
            <w:vAlign w:val="center"/>
          </w:tcPr>
          <w:p>
            <w:pPr>
              <w:pStyle w:val="38"/>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38"/>
              <w:ind w:left="113"/>
              <w:jc w:val="center"/>
              <w:rPr>
                <w:rFonts w:ascii="宋体" w:hAnsi="宋体" w:cs="宋体"/>
              </w:rPr>
            </w:pPr>
          </w:p>
        </w:tc>
        <w:tc>
          <w:tcPr>
            <w:tcW w:w="3335" w:type="dxa"/>
            <w:vAlign w:val="center"/>
          </w:tcPr>
          <w:p>
            <w:pPr>
              <w:pStyle w:val="38"/>
              <w:jc w:val="center"/>
              <w:rPr>
                <w:rFonts w:ascii="宋体" w:hAnsi="宋体" w:cs="宋体"/>
              </w:rPr>
            </w:pPr>
            <w:r>
              <w:rPr>
                <w:rFonts w:hint="eastAsia" w:ascii="宋体" w:hAnsi="宋体" w:cs="宋体"/>
              </w:rPr>
              <w:t>职称：</w:t>
            </w:r>
          </w:p>
        </w:tc>
        <w:tc>
          <w:tcPr>
            <w:tcW w:w="5515" w:type="dxa"/>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38"/>
              <w:ind w:left="113"/>
              <w:jc w:val="center"/>
              <w:rPr>
                <w:rFonts w:ascii="宋体" w:hAnsi="宋体" w:cs="宋体"/>
              </w:rPr>
            </w:pPr>
          </w:p>
        </w:tc>
        <w:tc>
          <w:tcPr>
            <w:tcW w:w="3335" w:type="dxa"/>
            <w:vAlign w:val="center"/>
          </w:tcPr>
          <w:p>
            <w:pPr>
              <w:pStyle w:val="38"/>
              <w:jc w:val="center"/>
              <w:rPr>
                <w:rFonts w:ascii="宋体" w:hAnsi="宋体" w:cs="宋体"/>
              </w:rPr>
            </w:pPr>
            <w:r>
              <w:rPr>
                <w:rFonts w:hint="eastAsia" w:ascii="宋体" w:hAnsi="宋体" w:cs="宋体"/>
              </w:rPr>
              <w:t>固定场所地址：</w:t>
            </w:r>
          </w:p>
        </w:tc>
        <w:tc>
          <w:tcPr>
            <w:tcW w:w="5515" w:type="dxa"/>
            <w:vAlign w:val="center"/>
          </w:tcPr>
          <w:p>
            <w:pPr>
              <w:pStyle w:val="38"/>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extDirection w:val="tbRlV"/>
            <w:vAlign w:val="center"/>
          </w:tcPr>
          <w:p>
            <w:pPr>
              <w:pStyle w:val="38"/>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38"/>
              <w:rPr>
                <w:rFonts w:ascii="宋体" w:hAnsi="宋体" w:cs="宋体"/>
              </w:rPr>
            </w:pPr>
            <w:r>
              <w:rPr>
                <w:rFonts w:hint="eastAsia" w:ascii="宋体" w:hAnsi="宋体" w:cs="宋体"/>
              </w:rPr>
              <w:t>1.</w:t>
            </w:r>
          </w:p>
          <w:p>
            <w:pPr>
              <w:pStyle w:val="38"/>
              <w:rPr>
                <w:rFonts w:ascii="宋体" w:hAnsi="宋体" w:cs="宋体"/>
              </w:rPr>
            </w:pPr>
            <w:r>
              <w:rPr>
                <w:rFonts w:hint="eastAsia" w:ascii="宋体" w:hAnsi="宋体" w:cs="宋体"/>
              </w:rPr>
              <w:t>2.</w:t>
            </w:r>
          </w:p>
          <w:p>
            <w:pPr>
              <w:pStyle w:val="38"/>
              <w:rPr>
                <w:rFonts w:ascii="宋体" w:hAnsi="宋体" w:cs="宋体"/>
              </w:rPr>
            </w:pPr>
            <w:r>
              <w:rPr>
                <w:rFonts w:hint="eastAsia" w:ascii="宋体" w:hAnsi="宋体" w:cs="宋体"/>
              </w:rPr>
              <w:t>3.</w:t>
            </w:r>
          </w:p>
        </w:tc>
      </w:tr>
    </w:tbl>
    <w:p>
      <w:pPr>
        <w:pStyle w:val="38"/>
        <w:spacing w:line="360" w:lineRule="auto"/>
        <w:rPr>
          <w:rFonts w:ascii="宋体" w:hAnsi="宋体" w:cs="宋体"/>
          <w:b/>
          <w:szCs w:val="21"/>
        </w:rPr>
      </w:pPr>
    </w:p>
    <w:p>
      <w:pPr>
        <w:pStyle w:val="38"/>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38"/>
        <w:rPr>
          <w:rFonts w:ascii="宋体" w:hAnsi="宋体" w:cs="宋体"/>
        </w:rPr>
      </w:pPr>
    </w:p>
    <w:p>
      <w:pPr>
        <w:pStyle w:val="38"/>
        <w:rPr>
          <w:rFonts w:ascii="宋体" w:hAnsi="宋体" w:cs="宋体"/>
        </w:rPr>
      </w:pPr>
    </w:p>
    <w:p>
      <w:pPr>
        <w:pStyle w:val="38"/>
        <w:rPr>
          <w:rFonts w:ascii="宋体" w:hAnsi="宋体" w:cs="宋体"/>
        </w:rPr>
      </w:pPr>
      <w:r>
        <w:rPr>
          <w:rFonts w:hint="eastAsia" w:ascii="宋体" w:hAnsi="宋体" w:cs="宋体"/>
        </w:rPr>
        <w:t>致：</w:t>
      </w:r>
    </w:p>
    <w:p>
      <w:pPr>
        <w:pStyle w:val="38"/>
        <w:rPr>
          <w:rFonts w:ascii="宋体" w:hAnsi="宋体" w:cs="宋体"/>
        </w:rPr>
      </w:pPr>
    </w:p>
    <w:p>
      <w:pPr>
        <w:pStyle w:val="38"/>
        <w:spacing w:line="360" w:lineRule="auto"/>
        <w:ind w:firstLine="315" w:firstLineChars="150"/>
        <w:rPr>
          <w:rFonts w:ascii="宋体" w:hAnsi="宋体" w:cs="宋体"/>
        </w:rPr>
      </w:pPr>
      <w:r>
        <w:rPr>
          <w:rFonts w:hint="eastAsia" w:ascii="宋体" w:hAnsi="宋体" w:cs="宋体"/>
        </w:rPr>
        <w:t>我方同意：</w:t>
      </w:r>
    </w:p>
    <w:p>
      <w:pPr>
        <w:pStyle w:val="38"/>
        <w:numPr>
          <w:ilvl w:val="0"/>
          <w:numId w:val="17"/>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38"/>
        <w:numPr>
          <w:ilvl w:val="0"/>
          <w:numId w:val="17"/>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8"/>
        <w:spacing w:line="360" w:lineRule="auto"/>
        <w:ind w:left="360"/>
        <w:rPr>
          <w:rFonts w:ascii="宋体" w:hAnsi="宋体" w:cs="宋体"/>
        </w:rPr>
      </w:pPr>
      <w:r>
        <w:rPr>
          <w:rFonts w:hint="eastAsia" w:ascii="宋体" w:hAnsi="宋体" w:cs="宋体"/>
        </w:rPr>
        <w:t>特此承诺！</w:t>
      </w: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8"/>
        <w:spacing w:line="360" w:lineRule="auto"/>
        <w:ind w:left="360"/>
        <w:rPr>
          <w:rFonts w:ascii="宋体" w:hAnsi="宋体" w:cs="宋体"/>
        </w:rPr>
      </w:pPr>
    </w:p>
    <w:p>
      <w:pPr>
        <w:pStyle w:val="32"/>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32"/>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32"/>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32"/>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32"/>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32"/>
        <w:spacing w:line="360" w:lineRule="auto"/>
        <w:jc w:val="center"/>
        <w:rPr>
          <w:rFonts w:ascii="宋体" w:hAnsi="宋体" w:cs="宋体"/>
          <w:b/>
          <w:sz w:val="32"/>
          <w:szCs w:val="32"/>
        </w:rPr>
      </w:pPr>
    </w:p>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体">
    <w:altName w:val="宋体"/>
    <w:panose1 w:val="02020603050405020304"/>
    <w:charset w:val="86"/>
    <w:family w:val="roman"/>
    <w:pitch w:val="default"/>
    <w:sig w:usb0="00000000" w:usb1="00000000" w:usb2="00000010" w:usb3="00000000" w:csb0="00040000"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roman"/>
    <w:pitch w:val="default"/>
    <w:sig w:usb0="00000000" w:usb1="00000000" w:usb2="00000000"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pPr>
                          <w:r>
                            <w:fldChar w:fldCharType="begin"/>
                          </w:r>
                          <w:r>
                            <w:instrText xml:space="preserve">PAGE   \* MERGEFORMAT</w:instrText>
                          </w:r>
                          <w:r>
                            <w:fldChar w:fldCharType="separate"/>
                          </w:r>
                          <w:r>
                            <w:rPr>
                              <w:lang w:val="zh-CN"/>
                            </w:rPr>
                            <w:t>-</w:t>
                          </w:r>
                          <w:r>
                            <w:t xml:space="preserve">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0"/>
                      <w:jc w:val="center"/>
                    </w:pPr>
                    <w:r>
                      <w:fldChar w:fldCharType="begin"/>
                    </w:r>
                    <w:r>
                      <w:instrText xml:space="preserve">PAGE   \* MERGEFORMAT</w:instrText>
                    </w:r>
                    <w:r>
                      <w:fldChar w:fldCharType="separate"/>
                    </w:r>
                    <w:r>
                      <w:rPr>
                        <w:lang w:val="zh-CN"/>
                      </w:rPr>
                      <w:t>-</w:t>
                    </w:r>
                    <w:r>
                      <w:t xml:space="preserve"> 21 -</w:t>
                    </w:r>
                    <w:r>
                      <w:fldChar w:fldCharType="end"/>
                    </w:r>
                  </w:p>
                </w:txbxContent>
              </v:textbox>
            </v:shape>
          </w:pict>
        </mc:Fallback>
      </mc:AlternateContent>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7"/>
                            </w:rPr>
                          </w:pPr>
                          <w:r>
                            <w:fldChar w:fldCharType="begin"/>
                          </w:r>
                          <w:r>
                            <w:rPr>
                              <w:rStyle w:val="17"/>
                            </w:rPr>
                            <w:instrText xml:space="preserve">PAGE  </w:instrText>
                          </w:r>
                          <w:r>
                            <w:fldChar w:fldCharType="separate"/>
                          </w:r>
                          <w:r>
                            <w:rPr>
                              <w:rStyle w:val="17"/>
                            </w:rP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0"/>
                      <w:ind w:firstLine="180"/>
                      <w:rPr>
                        <w:rStyle w:val="17"/>
                      </w:rPr>
                    </w:pPr>
                    <w:r>
                      <w:fldChar w:fldCharType="begin"/>
                    </w:r>
                    <w:r>
                      <w:rPr>
                        <w:rStyle w:val="17"/>
                      </w:rPr>
                      <w:instrText xml:space="preserve">PAGE  </w:instrText>
                    </w:r>
                    <w:r>
                      <w:fldChar w:fldCharType="separate"/>
                    </w:r>
                    <w:r>
                      <w:rPr>
                        <w:rStyle w:val="17"/>
                      </w:rPr>
                      <w:t>27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18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ind w:firstLine="180"/>
                            <w:rPr>
                              <w:rStyle w:val="17"/>
                            </w:rPr>
                          </w:pPr>
                          <w:r>
                            <w:fldChar w:fldCharType="begin"/>
                          </w:r>
                          <w:r>
                            <w:rPr>
                              <w:rStyle w:val="17"/>
                            </w:rPr>
                            <w:instrText xml:space="preserve">PAGE  </w:instrText>
                          </w:r>
                          <w:r>
                            <w:fldChar w:fldCharType="separate"/>
                          </w:r>
                          <w:r>
                            <w:rPr>
                              <w:rStyle w:val="17"/>
                            </w:rPr>
                            <w:t>- 65 -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0"/>
                      <w:ind w:firstLine="180"/>
                      <w:rPr>
                        <w:rStyle w:val="17"/>
                      </w:rPr>
                    </w:pPr>
                    <w:r>
                      <w:fldChar w:fldCharType="begin"/>
                    </w:r>
                    <w:r>
                      <w:rPr>
                        <w:rStyle w:val="17"/>
                      </w:rPr>
                      <w:instrText xml:space="preserve">PAGE  </w:instrText>
                    </w:r>
                    <w:r>
                      <w:fldChar w:fldCharType="separate"/>
                    </w:r>
                    <w:r>
                      <w:rPr>
                        <w:rStyle w:val="17"/>
                      </w:rPr>
                      <w:t>- 65 -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center" w:y="1"/>
      <w:ind w:firstLine="180"/>
      <w:rPr>
        <w:rStyle w:val="17"/>
      </w:rPr>
    </w:pPr>
    <w:r>
      <w:fldChar w:fldCharType="begin"/>
    </w:r>
    <w:r>
      <w:rPr>
        <w:rStyle w:val="17"/>
      </w:rPr>
      <w:instrText xml:space="preserve">PAGE  </w:instrText>
    </w:r>
    <w:r>
      <w:fldChar w:fldCharType="separate"/>
    </w:r>
    <w:r>
      <w:rPr>
        <w:rStyle w:val="17"/>
      </w:rPr>
      <w:t>3</w:t>
    </w:r>
    <w:r>
      <w:fldChar w:fldCharType="end"/>
    </w:r>
  </w:p>
  <w:p>
    <w:pPr>
      <w:pStyle w:val="1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1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0pt;height:11pt;width:13.15pt;mso-position-horizontal:center;mso-position-horizontal-relative:margin;z-index:251659264;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sk/aNMAAAADAQAADwAAAAAAAAABACAAAAAiAAAAZHJzL2Rvd25yZXYueG1sUEsB&#10;AhQAFAAAAAgAh07iQIUzzn/6AQAAAwQAAA4AAAAAAAAAAQAgAAAAIgEAAGRycy9lMm9Eb2MueG1s&#10;UEsFBgAAAAAGAAYAWQEAAI4FAAA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1">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3">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4">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5">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6">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7">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8">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9">
    <w:nsid w:val="2ED0A28E"/>
    <w:multiLevelType w:val="singleLevel"/>
    <w:tmpl w:val="2ED0A28E"/>
    <w:lvl w:ilvl="0" w:tentative="0">
      <w:start w:val="1"/>
      <w:numFmt w:val="decimal"/>
      <w:suff w:val="nothing"/>
      <w:lvlText w:val="%1、"/>
      <w:lvlJc w:val="left"/>
    </w:lvl>
  </w:abstractNum>
  <w:abstractNum w:abstractNumId="10">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59C4BD6E"/>
    <w:multiLevelType w:val="singleLevel"/>
    <w:tmpl w:val="59C4BD6E"/>
    <w:lvl w:ilvl="0" w:tentative="0">
      <w:start w:val="1"/>
      <w:numFmt w:val="decimal"/>
      <w:suff w:val="nothing"/>
      <w:lvlText w:val="（%1）"/>
      <w:lvlJc w:val="left"/>
    </w:lvl>
  </w:abstractNum>
  <w:abstractNum w:abstractNumId="12">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3">
    <w:nsid w:val="62CB905B"/>
    <w:multiLevelType w:val="singleLevel"/>
    <w:tmpl w:val="62CB905B"/>
    <w:lvl w:ilvl="0" w:tentative="0">
      <w:start w:val="2"/>
      <w:numFmt w:val="decimal"/>
      <w:suff w:val="nothing"/>
      <w:lvlText w:val="%1."/>
      <w:lvlJc w:val="left"/>
    </w:lvl>
  </w:abstractNum>
  <w:abstractNum w:abstractNumId="14">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6">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num w:numId="1">
    <w:abstractNumId w:val="13"/>
  </w:num>
  <w:num w:numId="2">
    <w:abstractNumId w:val="11"/>
  </w:num>
  <w:num w:numId="3">
    <w:abstractNumId w:val="12"/>
  </w:num>
  <w:num w:numId="4">
    <w:abstractNumId w:val="14"/>
  </w:num>
  <w:num w:numId="5">
    <w:abstractNumId w:val="15"/>
  </w:num>
  <w:num w:numId="6">
    <w:abstractNumId w:val="9"/>
  </w:num>
  <w:num w:numId="7">
    <w:abstractNumId w:val="3"/>
  </w:num>
  <w:num w:numId="8">
    <w:abstractNumId w:val="5"/>
  </w:num>
  <w:num w:numId="9">
    <w:abstractNumId w:val="2"/>
  </w:num>
  <w:num w:numId="10">
    <w:abstractNumId w:val="0"/>
  </w:num>
  <w:num w:numId="11">
    <w:abstractNumId w:val="8"/>
  </w:num>
  <w:num w:numId="12">
    <w:abstractNumId w:val="1"/>
  </w:num>
  <w:num w:numId="13">
    <w:abstractNumId w:val="7"/>
  </w:num>
  <w:num w:numId="14">
    <w:abstractNumId w:val="4"/>
  </w:num>
  <w:num w:numId="15">
    <w:abstractNumId w:val="6"/>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1N2UzNjU0YjIwY2I4NTkyY2Y3OWI1ZDIyMmVhOTEifQ=="/>
  </w:docVars>
  <w:rsids>
    <w:rsidRoot w:val="00000000"/>
    <w:rsid w:val="02516BB8"/>
    <w:rsid w:val="04E57F5F"/>
    <w:rsid w:val="050A0A0A"/>
    <w:rsid w:val="067803E8"/>
    <w:rsid w:val="072B554A"/>
    <w:rsid w:val="085D5AE7"/>
    <w:rsid w:val="08903BDD"/>
    <w:rsid w:val="091F6B2B"/>
    <w:rsid w:val="0A4C710B"/>
    <w:rsid w:val="0ABE214A"/>
    <w:rsid w:val="0D062A3C"/>
    <w:rsid w:val="12601846"/>
    <w:rsid w:val="12BB58E4"/>
    <w:rsid w:val="155B2476"/>
    <w:rsid w:val="185314D1"/>
    <w:rsid w:val="1A3B555D"/>
    <w:rsid w:val="22A372C5"/>
    <w:rsid w:val="25CE486C"/>
    <w:rsid w:val="272D3743"/>
    <w:rsid w:val="273C035F"/>
    <w:rsid w:val="295B0A4C"/>
    <w:rsid w:val="2CAB46C4"/>
    <w:rsid w:val="2D8E48D5"/>
    <w:rsid w:val="2E2B7865"/>
    <w:rsid w:val="2E50690A"/>
    <w:rsid w:val="2E67296D"/>
    <w:rsid w:val="310E5664"/>
    <w:rsid w:val="3A1C65BD"/>
    <w:rsid w:val="3AEF5531"/>
    <w:rsid w:val="3B4C2C28"/>
    <w:rsid w:val="3D3A4FE4"/>
    <w:rsid w:val="41355A46"/>
    <w:rsid w:val="41575755"/>
    <w:rsid w:val="43E22422"/>
    <w:rsid w:val="45871674"/>
    <w:rsid w:val="46AC48AB"/>
    <w:rsid w:val="47CB55CD"/>
    <w:rsid w:val="498F4DBB"/>
    <w:rsid w:val="4A264770"/>
    <w:rsid w:val="4A63488B"/>
    <w:rsid w:val="4C2C64CE"/>
    <w:rsid w:val="4C4F0870"/>
    <w:rsid w:val="4CEE4592"/>
    <w:rsid w:val="4D6D3426"/>
    <w:rsid w:val="4DC71F82"/>
    <w:rsid w:val="4EA66193"/>
    <w:rsid w:val="4FAF0AB3"/>
    <w:rsid w:val="50C356B1"/>
    <w:rsid w:val="51655DD4"/>
    <w:rsid w:val="52865936"/>
    <w:rsid w:val="571E764C"/>
    <w:rsid w:val="58CC583C"/>
    <w:rsid w:val="5AB13F56"/>
    <w:rsid w:val="5BE865EB"/>
    <w:rsid w:val="5E104832"/>
    <w:rsid w:val="5E3742A2"/>
    <w:rsid w:val="62861B77"/>
    <w:rsid w:val="631E33C7"/>
    <w:rsid w:val="64AD6E40"/>
    <w:rsid w:val="66526AE4"/>
    <w:rsid w:val="689C583B"/>
    <w:rsid w:val="6995514D"/>
    <w:rsid w:val="6C3423CB"/>
    <w:rsid w:val="6C576B52"/>
    <w:rsid w:val="6F6A59C3"/>
    <w:rsid w:val="712D0B13"/>
    <w:rsid w:val="731A30D6"/>
    <w:rsid w:val="74247FE2"/>
    <w:rsid w:val="778D7889"/>
    <w:rsid w:val="78BA3D25"/>
    <w:rsid w:val="7944103C"/>
    <w:rsid w:val="7B6770D5"/>
    <w:rsid w:val="7C6F6241"/>
    <w:rsid w:val="7EFA38E8"/>
    <w:rsid w:val="7F55391D"/>
    <w:rsid w:val="7FEB1C4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9"/>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unhideWhenUsed/>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autoRedefine/>
    <w:unhideWhenUsed/>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autoRedefine/>
    <w:unhideWhenUsed/>
    <w:qFormat/>
    <w:uiPriority w:val="0"/>
    <w:pPr>
      <w:keepNext/>
      <w:keepLines/>
      <w:widowControl/>
      <w:spacing w:before="120" w:after="120" w:line="360" w:lineRule="auto"/>
      <w:ind w:firstLine="499"/>
      <w:jc w:val="left"/>
      <w:outlineLvl w:val="4"/>
    </w:pPr>
    <w:rPr>
      <w:rFonts w:ascii="宋体" w:hAnsi="宋体"/>
      <w:b/>
      <w:kern w:val="0"/>
      <w:sz w:val="24"/>
      <w:szCs w:val="20"/>
    </w:rPr>
  </w:style>
  <w:style w:type="character" w:default="1" w:styleId="16">
    <w:name w:val="Default Paragraph Font"/>
    <w:autoRedefine/>
    <w:semiHidden/>
    <w:qFormat/>
    <w:uiPriority w:val="0"/>
  </w:style>
  <w:style w:type="table" w:default="1" w:styleId="14">
    <w:name w:val="Normal Table"/>
    <w:autoRedefine/>
    <w:semiHidden/>
    <w:qFormat/>
    <w:uiPriority w:val="0"/>
    <w:tblPr>
      <w:tblCellMar>
        <w:top w:w="0" w:type="dxa"/>
        <w:left w:w="108" w:type="dxa"/>
        <w:bottom w:w="0" w:type="dxa"/>
        <w:right w:w="108" w:type="dxa"/>
      </w:tblCellMar>
    </w:tblPr>
  </w:style>
  <w:style w:type="paragraph" w:styleId="7">
    <w:name w:val="annotation text"/>
    <w:basedOn w:val="1"/>
    <w:autoRedefine/>
    <w:qFormat/>
    <w:uiPriority w:val="0"/>
    <w:pPr>
      <w:jc w:val="left"/>
    </w:pPr>
    <w:rPr>
      <w:szCs w:val="24"/>
    </w:rPr>
  </w:style>
  <w:style w:type="paragraph" w:styleId="8">
    <w:name w:val="Body Text"/>
    <w:basedOn w:val="1"/>
    <w:autoRedefine/>
    <w:qFormat/>
    <w:uiPriority w:val="0"/>
    <w:pPr>
      <w:spacing w:after="120"/>
    </w:pPr>
    <w:rPr>
      <w:szCs w:val="24"/>
    </w:rPr>
  </w:style>
  <w:style w:type="paragraph" w:styleId="9">
    <w:name w:val="Plain Text"/>
    <w:basedOn w:val="1"/>
    <w:autoRedefine/>
    <w:qFormat/>
    <w:uiPriority w:val="0"/>
    <w:rPr>
      <w:rFonts w:ascii="宋体" w:hAnsi="Courier New" w:cs="Courier New"/>
      <w:szCs w:val="21"/>
    </w:rPr>
  </w:style>
  <w:style w:type="paragraph" w:styleId="10">
    <w:name w:val="footer"/>
    <w:basedOn w:val="1"/>
    <w:autoRedefine/>
    <w:qFormat/>
    <w:uiPriority w:val="0"/>
    <w:pPr>
      <w:tabs>
        <w:tab w:val="center" w:pos="4153"/>
        <w:tab w:val="right" w:pos="8306"/>
      </w:tabs>
      <w:snapToGrid w:val="0"/>
      <w:jc w:val="left"/>
    </w:pPr>
    <w:rPr>
      <w:sz w:val="18"/>
      <w:szCs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qFormat/>
    <w:uiPriority w:val="0"/>
  </w:style>
  <w:style w:type="paragraph" w:styleId="13">
    <w:name w:val="Title"/>
    <w:basedOn w:val="1"/>
    <w:next w:val="1"/>
    <w:autoRedefine/>
    <w:qFormat/>
    <w:uiPriority w:val="0"/>
    <w:pPr>
      <w:spacing w:before="240" w:after="60"/>
      <w:jc w:val="center"/>
      <w:outlineLvl w:val="0"/>
    </w:pPr>
    <w:rPr>
      <w:rFonts w:ascii="Cambria" w:hAnsi="Cambria"/>
      <w:b/>
      <w:bCs/>
      <w:sz w:val="32"/>
      <w:szCs w:val="32"/>
    </w:rPr>
  </w:style>
  <w:style w:type="table" w:styleId="15">
    <w:name w:val="Table Grid"/>
    <w:basedOn w:val="14"/>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autoRedefine/>
    <w:qFormat/>
    <w:uiPriority w:val="0"/>
    <w:rPr>
      <w:rFonts w:ascii="Calibri" w:hAnsi="Calibri" w:eastAsia="宋体" w:cs="Times New Roman"/>
      <w:lang w:val="en-US" w:eastAsia="zh-CN" w:bidi="ar-SA"/>
    </w:rPr>
  </w:style>
  <w:style w:type="character" w:styleId="18">
    <w:name w:val="Hyperlink"/>
    <w:autoRedefine/>
    <w:qFormat/>
    <w:uiPriority w:val="0"/>
    <w:rPr>
      <w:rFonts w:ascii="Calibri" w:hAnsi="Calibri" w:eastAsia="宋体" w:cs="Times New Roman"/>
      <w:color w:val="0000FF"/>
      <w:u w:val="single"/>
      <w:lang w:val="en-US" w:eastAsia="zh-CN" w:bidi="ar-SA"/>
    </w:rPr>
  </w:style>
  <w:style w:type="character" w:customStyle="1" w:styleId="19">
    <w:name w:val="标题 1 字符1"/>
    <w:link w:val="2"/>
    <w:autoRedefine/>
    <w:qFormat/>
    <w:uiPriority w:val="0"/>
    <w:rPr>
      <w:b/>
      <w:bCs/>
      <w:kern w:val="44"/>
      <w:sz w:val="44"/>
      <w:szCs w:val="44"/>
    </w:rPr>
  </w:style>
  <w:style w:type="paragraph" w:customStyle="1" w:styleId="20">
    <w:name w:val="Table Paragraph"/>
    <w:basedOn w:val="1"/>
    <w:autoRedefine/>
    <w:qFormat/>
    <w:uiPriority w:val="1"/>
  </w:style>
  <w:style w:type="paragraph" w:customStyle="1" w:styleId="21">
    <w:name w:val="无间隔1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2">
    <w:name w:val="无间隔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3">
    <w:name w:val="样式 样式1 + 首行缩进:  2 字符"/>
    <w:basedOn w:val="24"/>
    <w:autoRedefine/>
    <w:qFormat/>
    <w:uiPriority w:val="0"/>
    <w:pPr>
      <w:spacing w:line="360" w:lineRule="exact"/>
      <w:ind w:firstLine="420" w:firstLineChars="200"/>
    </w:pPr>
    <w:rPr>
      <w:rFonts w:ascii="Arial" w:hAnsi="Arial"/>
      <w:szCs w:val="20"/>
    </w:rPr>
  </w:style>
  <w:style w:type="paragraph" w:customStyle="1" w:styleId="24">
    <w:name w:val="样式1"/>
    <w:basedOn w:val="1"/>
    <w:autoRedefine/>
    <w:qFormat/>
    <w:uiPriority w:val="0"/>
    <w:pPr>
      <w:spacing w:before="120" w:after="120" w:line="300" w:lineRule="auto"/>
    </w:pPr>
    <w:rPr>
      <w:rFonts w:ascii="宋体" w:hAnsi="宋体"/>
      <w:b/>
      <w:sz w:val="24"/>
      <w:szCs w:val="20"/>
    </w:rPr>
  </w:style>
  <w:style w:type="paragraph" w:customStyle="1" w:styleId="25">
    <w:name w:val="【正文】"/>
    <w:basedOn w:val="1"/>
    <w:autoRedefine/>
    <w:qFormat/>
    <w:uiPriority w:val="0"/>
    <w:pPr>
      <w:spacing w:line="324" w:lineRule="auto"/>
      <w:ind w:firstLine="482"/>
    </w:pPr>
    <w:rPr>
      <w:rFonts w:ascii="Times New Roman" w:hAnsi="Times New Roman"/>
      <w:sz w:val="24"/>
      <w:szCs w:val="20"/>
    </w:rPr>
  </w:style>
  <w:style w:type="character" w:customStyle="1" w:styleId="26">
    <w:name w:val="(1) Char Char"/>
    <w:autoRedefine/>
    <w:qFormat/>
    <w:uiPriority w:val="0"/>
    <w:rPr>
      <w:rFonts w:ascii="宋体" w:hAnsi="宋体" w:eastAsia="宋体" w:cs="Times New Roman"/>
      <w:sz w:val="24"/>
      <w:lang w:val="en-US" w:eastAsia="zh-CN" w:bidi="ar-SA"/>
    </w:rPr>
  </w:style>
  <w:style w:type="paragraph" w:customStyle="1" w:styleId="27">
    <w:name w:val="Default"/>
    <w:autoRedefine/>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28">
    <w:name w:val="CM25"/>
    <w:basedOn w:val="27"/>
    <w:next w:val="27"/>
    <w:autoRedefine/>
    <w:qFormat/>
    <w:uiPriority w:val="0"/>
    <w:pPr>
      <w:spacing w:line="440" w:lineRule="atLeast"/>
    </w:pPr>
    <w:rPr>
      <w:rFonts w:ascii="Calibri" w:hAnsi="Calibri"/>
      <w:color w:val="auto"/>
    </w:rPr>
  </w:style>
  <w:style w:type="paragraph" w:customStyle="1" w:styleId="29">
    <w:name w:val="CM44"/>
    <w:basedOn w:val="27"/>
    <w:next w:val="27"/>
    <w:autoRedefine/>
    <w:qFormat/>
    <w:uiPriority w:val="0"/>
    <w:pPr>
      <w:spacing w:line="440" w:lineRule="atLeast"/>
    </w:pPr>
    <w:rPr>
      <w:rFonts w:ascii="Calibri" w:hAnsi="Calibri"/>
      <w:color w:val="auto"/>
    </w:rPr>
  </w:style>
  <w:style w:type="paragraph" w:customStyle="1" w:styleId="30">
    <w:name w:val="CM24"/>
    <w:basedOn w:val="27"/>
    <w:next w:val="27"/>
    <w:autoRedefine/>
    <w:qFormat/>
    <w:uiPriority w:val="0"/>
    <w:pPr>
      <w:spacing w:line="440" w:lineRule="atLeast"/>
    </w:pPr>
    <w:rPr>
      <w:rFonts w:ascii="Calibri" w:hAnsi="Calibri"/>
      <w:color w:val="auto"/>
    </w:rPr>
  </w:style>
  <w:style w:type="paragraph" w:customStyle="1" w:styleId="31">
    <w:name w:val="CM99"/>
    <w:basedOn w:val="27"/>
    <w:next w:val="27"/>
    <w:autoRedefine/>
    <w:qFormat/>
    <w:uiPriority w:val="0"/>
    <w:pPr>
      <w:spacing w:after="443"/>
    </w:pPr>
    <w:rPr>
      <w:rFonts w:ascii="Calibri" w:hAnsi="Calibri"/>
      <w:color w:val="auto"/>
    </w:rPr>
  </w:style>
  <w:style w:type="paragraph" w:customStyle="1" w:styleId="32">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纯文本_0"/>
    <w:basedOn w:val="32"/>
    <w:autoRedefine/>
    <w:qFormat/>
    <w:uiPriority w:val="0"/>
    <w:rPr>
      <w:rFonts w:ascii="宋体" w:hAnsi="Courier New"/>
      <w:szCs w:val="21"/>
    </w:rPr>
  </w:style>
  <w:style w:type="paragraph" w:customStyle="1" w:styleId="34">
    <w:name w:val="正文_1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5">
    <w:name w:val="正文_7"/>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6">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7">
    <w:name w:val="正文_5"/>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日期_0"/>
    <w:basedOn w:val="38"/>
    <w:next w:val="38"/>
    <w:autoRedefine/>
    <w:qFormat/>
    <w:uiPriority w:val="0"/>
    <w:rPr>
      <w:rFonts w:eastAsia="仿宋_GB2312"/>
      <w:sz w:val="28"/>
      <w:szCs w:val="20"/>
    </w:rPr>
  </w:style>
  <w:style w:type="paragraph" w:customStyle="1" w:styleId="40">
    <w:name w:val="正文_4_0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1">
    <w:name w:val="中等深浅网格 2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42">
    <w:name w:val="正文_3_0_0"/>
    <w:next w:val="4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3">
    <w:name w:val="正文文本_3"/>
    <w:basedOn w:val="44"/>
    <w:next w:val="45"/>
    <w:autoRedefine/>
    <w:unhideWhenUsed/>
    <w:qFormat/>
    <w:uiPriority w:val="0"/>
    <w:pPr>
      <w:spacing w:after="120"/>
    </w:pPr>
    <w:rPr>
      <w:rFonts w:ascii="Calibri" w:hAnsi="Calibri" w:eastAsia="宋体" w:cs="Times New Roman"/>
      <w:szCs w:val="24"/>
    </w:rPr>
  </w:style>
  <w:style w:type="paragraph" w:customStyle="1" w:styleId="44">
    <w:name w:val="正文_3_0"/>
    <w:next w:val="4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正文首行缩进_3"/>
    <w:basedOn w:val="43"/>
    <w:next w:val="42"/>
    <w:autoRedefine/>
    <w:unhideWhenUsed/>
    <w:qFormat/>
    <w:uiPriority w:val="0"/>
    <w:pPr>
      <w:ind w:firstLine="420" w:firstLineChars="100"/>
    </w:pPr>
    <w:rPr>
      <w:rFonts w:ascii="Calibri" w:hAnsi="Calibri" w:eastAsia="宋体" w:cs="Times New Roman"/>
    </w:rPr>
  </w:style>
  <w:style w:type="paragraph" w:customStyle="1" w:styleId="46">
    <w:name w:val="yyn"/>
    <w:basedOn w:val="1"/>
    <w:autoRedefine/>
    <w:qFormat/>
    <w:uiPriority w:val="0"/>
    <w:pPr>
      <w:keepNext/>
      <w:ind w:right="562" w:firstLine="576"/>
      <w:jc w:val="both"/>
    </w:pPr>
    <w:rPr>
      <w:rFonts w:ascii="宋体"/>
      <w:kern w:val="16"/>
    </w:rPr>
  </w:style>
  <w:style w:type="character" w:customStyle="1" w:styleId="47">
    <w:name w:val="+正文 Char Char4"/>
    <w:autoRedefine/>
    <w:qFormat/>
    <w:uiPriority w:val="0"/>
    <w:rPr>
      <w:rFonts w:eastAsia="宋体"/>
      <w:kern w:val="2"/>
      <w:sz w:val="24"/>
      <w:szCs w:val="24"/>
      <w:lang w:val="en-US" w:eastAsia="zh-CN" w:bidi="ar-SA"/>
    </w:rPr>
  </w:style>
  <w:style w:type="paragraph" w:customStyle="1" w:styleId="48">
    <w:name w:val="+正文 Char Char Char"/>
    <w:basedOn w:val="1"/>
    <w:autoRedefine/>
    <w:qFormat/>
    <w:uiPriority w:val="0"/>
    <w:pPr>
      <w:widowControl w:val="0"/>
      <w:overflowPunct/>
      <w:autoSpaceDE/>
      <w:autoSpaceDN/>
      <w:adjustRightInd/>
      <w:ind w:firstLine="200" w:firstLineChars="200"/>
      <w:jc w:val="both"/>
      <w:textAlignment w:val="auto"/>
    </w:pPr>
    <w:rPr>
      <w:kern w:val="2"/>
      <w:sz w:val="24"/>
      <w:szCs w:val="24"/>
    </w:rPr>
  </w:style>
  <w:style w:type="paragraph" w:customStyle="1" w:styleId="49">
    <w:name w:val="+正文"/>
    <w:basedOn w:val="1"/>
    <w:autoRedefine/>
    <w:qFormat/>
    <w:uiPriority w:val="0"/>
    <w:pPr>
      <w:widowControl w:val="0"/>
      <w:overflowPunct/>
      <w:autoSpaceDE/>
      <w:autoSpaceDN/>
      <w:adjustRightInd/>
      <w:ind w:firstLine="200" w:firstLineChars="200"/>
      <w:jc w:val="both"/>
      <w:textAlignment w:val="auto"/>
    </w:pPr>
    <w:rPr>
      <w:kern w:val="2"/>
      <w:sz w:val="24"/>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39049</Words>
  <Characters>41401</Characters>
  <Lines>0</Lines>
  <Paragraphs>0</Paragraphs>
  <TotalTime>2</TotalTime>
  <ScaleCrop>false</ScaleCrop>
  <LinksUpToDate>false</LinksUpToDate>
  <CharactersWithSpaces>45963</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郭佳佳</cp:lastModifiedBy>
  <dcterms:modified xsi:type="dcterms:W3CDTF">2024-03-01T01:57:44Z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185714976F2E4CDA8D810E28B782E6D5_13</vt:lpwstr>
  </property>
</Properties>
</file>