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杭州萧山国际机场海关设备采购项目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杭州萧山国际机场海关设备采购项目</w:t>
      </w:r>
      <w:r>
        <w:rPr>
          <w:rFonts w:hint="eastAsia" w:ascii="仿宋_GB2312" w:hAnsi="仿宋_GB2312" w:eastAsia="仿宋_GB2312" w:cs="仿宋_GB2312"/>
          <w:sz w:val="28"/>
          <w:szCs w:val="28"/>
        </w:rPr>
        <w:t>进行公开询价，欢迎符合要求的供应商前来报价。</w:t>
      </w:r>
    </w:p>
    <w:p>
      <w:pPr>
        <w:numPr>
          <w:ilvl w:val="0"/>
          <w:numId w:val="1"/>
        </w:numPr>
        <w:spacing w:line="560" w:lineRule="exact"/>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numPr>
          <w:ilvl w:val="0"/>
          <w:numId w:val="0"/>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1.设备采购清单</w:t>
      </w:r>
    </w:p>
    <w:tbl>
      <w:tblPr>
        <w:tblStyle w:val="5"/>
        <w:tblpPr w:leftFromText="180" w:rightFromText="180" w:vertAnchor="text" w:horzAnchor="page" w:tblpX="1972" w:tblpY="24"/>
        <w:tblOverlap w:val="never"/>
        <w:tblW w:w="8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333"/>
        <w:gridCol w:w="1633"/>
        <w:gridCol w:w="784"/>
        <w:gridCol w:w="966"/>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5"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序号</w:t>
            </w:r>
          </w:p>
        </w:tc>
        <w:tc>
          <w:tcPr>
            <w:tcW w:w="1333"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设备名称</w:t>
            </w:r>
          </w:p>
        </w:tc>
        <w:tc>
          <w:tcPr>
            <w:tcW w:w="1633"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规格要求</w:t>
            </w:r>
          </w:p>
        </w:tc>
        <w:tc>
          <w:tcPr>
            <w:tcW w:w="784"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单位</w:t>
            </w:r>
          </w:p>
        </w:tc>
        <w:tc>
          <w:tcPr>
            <w:tcW w:w="966"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数量</w:t>
            </w:r>
          </w:p>
        </w:tc>
        <w:tc>
          <w:tcPr>
            <w:tcW w:w="2920" w:type="dxa"/>
            <w:noWrap w:val="0"/>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0" w:hRule="atLeast"/>
        </w:trPr>
        <w:tc>
          <w:tcPr>
            <w:tcW w:w="71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33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饮水机</w:t>
            </w:r>
          </w:p>
        </w:tc>
        <w:tc>
          <w:tcPr>
            <w:tcW w:w="163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贺众牌UR-313BS-3冰温热五级反渗透、配套滤芯四套）</w:t>
            </w:r>
          </w:p>
        </w:tc>
        <w:tc>
          <w:tcPr>
            <w:tcW w:w="784"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台</w:t>
            </w:r>
          </w:p>
        </w:tc>
        <w:tc>
          <w:tcPr>
            <w:tcW w:w="966"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2920" w:type="dxa"/>
            <w:noWrap w:val="0"/>
            <w:vAlign w:val="center"/>
          </w:tcPr>
          <w:p>
            <w:pPr>
              <w:numPr>
                <w:ilvl w:val="0"/>
                <w:numId w:val="0"/>
              </w:numPr>
              <w:spacing w:line="400" w:lineRule="exact"/>
              <w:ind w:left="0" w:leftChars="0" w:firstLine="0" w:firstLineChars="0"/>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另附配套滤芯四套，饮水机外观图例参考附图1。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6" w:hRule="atLeast"/>
        </w:trPr>
        <w:tc>
          <w:tcPr>
            <w:tcW w:w="71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33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旅客座椅</w:t>
            </w:r>
          </w:p>
        </w:tc>
        <w:tc>
          <w:tcPr>
            <w:tcW w:w="1633"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长*宽*高</w:t>
            </w:r>
          </w:p>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48（±3）mm*48（±3）mm*80（±3）mm</w:t>
            </w:r>
          </w:p>
        </w:tc>
        <w:tc>
          <w:tcPr>
            <w:tcW w:w="784"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张</w:t>
            </w:r>
          </w:p>
        </w:tc>
        <w:tc>
          <w:tcPr>
            <w:tcW w:w="966"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2920" w:type="dxa"/>
            <w:noWrap w:val="0"/>
            <w:vAlign w:val="center"/>
          </w:tcPr>
          <w:p>
            <w:pPr>
              <w:spacing w:line="400" w:lineRule="exact"/>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白橡木实木框架+曲木坐靠，外观图例参考附图2，颜色根据招标方要求。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0" w:hRule="atLeast"/>
        </w:trPr>
        <w:tc>
          <w:tcPr>
            <w:tcW w:w="71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33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海关弃置箱</w:t>
            </w:r>
          </w:p>
        </w:tc>
        <w:tc>
          <w:tcPr>
            <w:tcW w:w="1633"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长*宽*高600mm*450mm*1850mm</w:t>
            </w:r>
          </w:p>
        </w:tc>
        <w:tc>
          <w:tcPr>
            <w:tcW w:w="784"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966"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2920" w:type="dxa"/>
            <w:noWrap w:val="0"/>
            <w:vAlign w:val="center"/>
          </w:tcPr>
          <w:p>
            <w:pPr>
              <w:spacing w:line="400" w:lineRule="exact"/>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投放箱主体结构采用304不锈钢，表面采用静电喷涂工艺，废弃物投放口采用推拉门设计，提示区域采用10mm有机玻璃，正面含有“自愿放弃物品投放箱”、海关logo和相关提示标识，具体尺寸及外观图例参考附图3、附图4。</w:t>
            </w:r>
          </w:p>
        </w:tc>
      </w:tr>
    </w:tbl>
    <w:p>
      <w:pPr>
        <w:numPr>
          <w:ilvl w:val="0"/>
          <w:numId w:val="0"/>
        </w:numPr>
        <w:spacing w:line="560" w:lineRule="exact"/>
        <w:rPr>
          <w:rFonts w:hint="eastAsia" w:ascii="仿宋_GB2312" w:hAnsi="仿宋_GB2312" w:eastAsia="仿宋_GB2312" w:cs="仿宋_GB2312"/>
          <w:b/>
          <w:bCs/>
          <w:sz w:val="28"/>
          <w:szCs w:val="28"/>
          <w:lang w:val="en-US" w:eastAsia="zh-CN"/>
        </w:rPr>
      </w:pPr>
    </w:p>
    <w:p>
      <w:pPr>
        <w:numPr>
          <w:ilvl w:val="0"/>
          <w:numId w:val="0"/>
        </w:numPr>
        <w:spacing w:line="560" w:lineRule="exact"/>
        <w:rPr>
          <w:rFonts w:hint="eastAsia" w:ascii="仿宋_GB2312" w:hAnsi="仿宋_GB2312" w:eastAsia="仿宋_GB2312" w:cs="仿宋_GB2312"/>
          <w:b/>
          <w:bCs/>
          <w:sz w:val="28"/>
          <w:szCs w:val="28"/>
          <w:lang w:val="en-US" w:eastAsia="zh-CN"/>
        </w:rPr>
      </w:pPr>
    </w:p>
    <w:p>
      <w:pPr>
        <w:numPr>
          <w:ilvl w:val="0"/>
          <w:numId w:val="0"/>
        </w:numPr>
        <w:spacing w:line="560" w:lineRule="exact"/>
        <w:rPr>
          <w:rFonts w:hint="eastAsia" w:ascii="仿宋_GB2312" w:hAnsi="仿宋_GB2312" w:eastAsia="仿宋_GB2312" w:cs="仿宋_GB2312"/>
          <w:b/>
          <w:bCs/>
          <w:sz w:val="28"/>
          <w:szCs w:val="28"/>
          <w:lang w:val="en-US" w:eastAsia="zh-CN"/>
        </w:rPr>
      </w:pPr>
    </w:p>
    <w:p>
      <w:pPr>
        <w:numPr>
          <w:ilvl w:val="0"/>
          <w:numId w:val="0"/>
        </w:numPr>
        <w:spacing w:line="560" w:lineRule="exact"/>
        <w:rPr>
          <w:rFonts w:hint="eastAsia" w:ascii="仿宋_GB2312" w:hAnsi="仿宋_GB2312" w:eastAsia="仿宋_GB2312" w:cs="仿宋_GB2312"/>
          <w:b/>
          <w:bCs/>
          <w:sz w:val="28"/>
          <w:szCs w:val="28"/>
          <w:lang w:val="en-US" w:eastAsia="zh-CN"/>
        </w:rPr>
      </w:pPr>
    </w:p>
    <w:p>
      <w:pPr>
        <w:numPr>
          <w:ilvl w:val="0"/>
          <w:numId w:val="2"/>
        </w:numPr>
        <w:spacing w:line="560" w:lineRule="exact"/>
        <w:ind w:firstLine="0" w:firstLineChars="0"/>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样品图例参考        </w:t>
      </w:r>
    </w:p>
    <w:p>
      <w:pPr>
        <w:numPr>
          <w:ilvl w:val="0"/>
          <w:numId w:val="0"/>
        </w:numPr>
        <w:spacing w:line="560" w:lineRule="exact"/>
        <w:ind w:firstLine="0" w:firstLineChars="0"/>
        <w:rPr>
          <w:rFonts w:hint="default" w:ascii="仿宋_GB2312" w:hAnsi="仿宋_GB2312" w:eastAsia="仿宋_GB2312" w:cs="仿宋_GB2312"/>
          <w:b/>
          <w:bCs/>
          <w:sz w:val="28"/>
          <w:szCs w:val="28"/>
          <w:lang w:val="en-US" w:eastAsia="zh-CN"/>
        </w:rPr>
      </w:pP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drawing>
          <wp:anchor distT="0" distB="0" distL="114300" distR="114300" simplePos="0" relativeHeight="251659264" behindDoc="0" locked="0" layoutInCell="1" allowOverlap="1">
            <wp:simplePos x="0" y="0"/>
            <wp:positionH relativeFrom="column">
              <wp:posOffset>2080260</wp:posOffset>
            </wp:positionH>
            <wp:positionV relativeFrom="paragraph">
              <wp:posOffset>1060450</wp:posOffset>
            </wp:positionV>
            <wp:extent cx="1097915" cy="1513205"/>
            <wp:effectExtent l="0" t="0" r="6985" b="10795"/>
            <wp:wrapTopAndBottom/>
            <wp:docPr id="5" name="图片 5" descr="171334230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13342303669"/>
                    <pic:cNvPicPr>
                      <a:picLocks noChangeAspect="1"/>
                    </pic:cNvPicPr>
                  </pic:nvPicPr>
                  <pic:blipFill>
                    <a:blip r:embed="rId4"/>
                    <a:stretch>
                      <a:fillRect/>
                    </a:stretch>
                  </pic:blipFill>
                  <pic:spPr>
                    <a:xfrm>
                      <a:off x="0" y="0"/>
                      <a:ext cx="1097915" cy="1513205"/>
                    </a:xfrm>
                    <a:prstGeom prst="rect">
                      <a:avLst/>
                    </a:prstGeom>
                  </pic:spPr>
                </pic:pic>
              </a:graphicData>
            </a:graphic>
          </wp:anchor>
        </w:drawing>
      </w:r>
      <w:r>
        <w:rPr>
          <w:rFonts w:hint="default" w:ascii="仿宋_GB2312" w:hAnsi="仿宋_GB2312" w:eastAsia="仿宋_GB2312" w:cs="仿宋_GB2312"/>
          <w:b/>
          <w:bCs/>
          <w:sz w:val="28"/>
          <w:szCs w:val="28"/>
          <w:lang w:val="en-US" w:eastAsia="zh-CN"/>
        </w:rPr>
        <w:drawing>
          <wp:anchor distT="0" distB="0" distL="114300" distR="114300" simplePos="0" relativeHeight="251660288" behindDoc="0" locked="0" layoutInCell="1" allowOverlap="1">
            <wp:simplePos x="0" y="0"/>
            <wp:positionH relativeFrom="column">
              <wp:posOffset>3834765</wp:posOffset>
            </wp:positionH>
            <wp:positionV relativeFrom="paragraph">
              <wp:posOffset>108585</wp:posOffset>
            </wp:positionV>
            <wp:extent cx="1377950" cy="2450465"/>
            <wp:effectExtent l="0" t="0" r="12700" b="6985"/>
            <wp:wrapTopAndBottom/>
            <wp:docPr id="6" name="图片 6" descr="814a5df90f8ba6a1d22da7b7a37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14a5df90f8ba6a1d22da7b7a374440"/>
                    <pic:cNvPicPr>
                      <a:picLocks noChangeAspect="1"/>
                    </pic:cNvPicPr>
                  </pic:nvPicPr>
                  <pic:blipFill>
                    <a:blip r:embed="rId5"/>
                    <a:stretch>
                      <a:fillRect/>
                    </a:stretch>
                  </pic:blipFill>
                  <pic:spPr>
                    <a:xfrm>
                      <a:off x="0" y="0"/>
                      <a:ext cx="1377950" cy="2450465"/>
                    </a:xfrm>
                    <a:prstGeom prst="rect">
                      <a:avLst/>
                    </a:prstGeom>
                  </pic:spPr>
                </pic:pic>
              </a:graphicData>
            </a:graphic>
          </wp:anchor>
        </w:drawing>
      </w:r>
      <w:r>
        <w:rPr>
          <w:rFonts w:hint="default" w:ascii="仿宋_GB2312" w:hAnsi="仿宋_GB2312" w:eastAsia="仿宋_GB2312" w:cs="仿宋_GB2312"/>
          <w:b/>
          <w:bCs/>
          <w:sz w:val="28"/>
          <w:szCs w:val="28"/>
          <w:lang w:val="en-US" w:eastAsia="zh-CN"/>
        </w:rPr>
        <w:drawing>
          <wp:anchor distT="0" distB="0" distL="114300" distR="114300" simplePos="0" relativeHeight="251658240" behindDoc="0" locked="0" layoutInCell="1" allowOverlap="1">
            <wp:simplePos x="0" y="0"/>
            <wp:positionH relativeFrom="column">
              <wp:posOffset>-95250</wp:posOffset>
            </wp:positionH>
            <wp:positionV relativeFrom="paragraph">
              <wp:posOffset>267970</wp:posOffset>
            </wp:positionV>
            <wp:extent cx="1865630" cy="2487295"/>
            <wp:effectExtent l="0" t="0" r="1270" b="8255"/>
            <wp:wrapTopAndBottom/>
            <wp:docPr id="4" name="图片 4" descr="微信图片_2024041716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417162258"/>
                    <pic:cNvPicPr>
                      <a:picLocks noChangeAspect="1"/>
                    </pic:cNvPicPr>
                  </pic:nvPicPr>
                  <pic:blipFill>
                    <a:blip r:embed="rId6"/>
                    <a:stretch>
                      <a:fillRect/>
                    </a:stretch>
                  </pic:blipFill>
                  <pic:spPr>
                    <a:xfrm>
                      <a:off x="0" y="0"/>
                      <a:ext cx="1865630" cy="2487295"/>
                    </a:xfrm>
                    <a:prstGeom prst="rect">
                      <a:avLst/>
                    </a:prstGeom>
                  </pic:spPr>
                </pic:pic>
              </a:graphicData>
            </a:graphic>
          </wp:anchor>
        </w:drawing>
      </w:r>
      <w:r>
        <w:rPr>
          <w:rFonts w:hint="eastAsia" w:ascii="仿宋_GB2312" w:hAnsi="仿宋_GB2312" w:eastAsia="仿宋_GB2312" w:cs="仿宋_GB2312"/>
          <w:b/>
          <w:bCs/>
          <w:sz w:val="28"/>
          <w:szCs w:val="28"/>
          <w:lang w:eastAsia="zh-CN"/>
        </w:rPr>
        <w:t>附图</w:t>
      </w:r>
      <w:r>
        <w:rPr>
          <w:rFonts w:hint="eastAsia" w:ascii="仿宋_GB2312" w:hAnsi="仿宋_GB2312" w:eastAsia="仿宋_GB2312" w:cs="仿宋_GB2312"/>
          <w:b/>
          <w:bCs/>
          <w:sz w:val="28"/>
          <w:szCs w:val="28"/>
          <w:lang w:val="en-US" w:eastAsia="zh-CN"/>
        </w:rPr>
        <w:t>1 饮水机       附图2 旅客座椅     附图3 海关弃置箱</w:t>
      </w:r>
    </w:p>
    <w:p>
      <w:pPr>
        <w:spacing w:line="560" w:lineRule="exact"/>
        <w:ind w:firstLine="562" w:firstLineChars="200"/>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drawing>
          <wp:anchor distT="0" distB="0" distL="114300" distR="114300" simplePos="0" relativeHeight="251661312" behindDoc="0" locked="0" layoutInCell="1" allowOverlap="1">
            <wp:simplePos x="0" y="0"/>
            <wp:positionH relativeFrom="column">
              <wp:posOffset>313055</wp:posOffset>
            </wp:positionH>
            <wp:positionV relativeFrom="paragraph">
              <wp:posOffset>133985</wp:posOffset>
            </wp:positionV>
            <wp:extent cx="5271135" cy="3814445"/>
            <wp:effectExtent l="0" t="0" r="5715" b="14605"/>
            <wp:wrapTopAndBottom/>
            <wp:docPr id="7" name="图片 7" descr="171334412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13344125845"/>
                    <pic:cNvPicPr>
                      <a:picLocks noChangeAspect="1"/>
                    </pic:cNvPicPr>
                  </pic:nvPicPr>
                  <pic:blipFill>
                    <a:blip r:embed="rId7"/>
                    <a:stretch>
                      <a:fillRect/>
                    </a:stretch>
                  </pic:blipFill>
                  <pic:spPr>
                    <a:xfrm>
                      <a:off x="0" y="0"/>
                      <a:ext cx="5271135" cy="3814445"/>
                    </a:xfrm>
                    <a:prstGeom prst="rect">
                      <a:avLst/>
                    </a:prstGeom>
                  </pic:spPr>
                </pic:pic>
              </a:graphicData>
            </a:graphic>
          </wp:anchor>
        </w:drawing>
      </w:r>
      <w:r>
        <w:rPr>
          <w:rFonts w:hint="eastAsia" w:ascii="仿宋_GB2312" w:hAnsi="仿宋_GB2312" w:eastAsia="仿宋_GB2312" w:cs="仿宋_GB2312"/>
          <w:b/>
          <w:bCs/>
          <w:sz w:val="28"/>
          <w:szCs w:val="28"/>
          <w:lang w:val="en-US" w:eastAsia="zh-CN"/>
        </w:rPr>
        <w:t>附图4 海关弃置箱尺寸示意图</w:t>
      </w:r>
    </w:p>
    <w:p>
      <w:pPr>
        <w:spacing w:line="560" w:lineRule="exact"/>
        <w:ind w:firstLine="562" w:firstLineChars="200"/>
        <w:rPr>
          <w:rFonts w:hint="eastAsia" w:ascii="仿宋_GB2312" w:hAnsi="仿宋_GB2312" w:eastAsia="仿宋_GB2312" w:cs="仿宋_GB2312"/>
          <w:b/>
          <w:bCs/>
          <w:sz w:val="28"/>
          <w:szCs w:val="28"/>
          <w:lang w:eastAsia="zh-CN"/>
        </w:rPr>
      </w:pPr>
    </w:p>
    <w:p>
      <w:pPr>
        <w:spacing w:line="560" w:lineRule="exact"/>
        <w:ind w:firstLine="562" w:firstLineChars="200"/>
        <w:rPr>
          <w:rFonts w:hint="eastAsia" w:ascii="仿宋_GB2312" w:hAnsi="仿宋_GB2312" w:eastAsia="仿宋_GB2312" w:cs="仿宋_GB2312"/>
          <w:b/>
          <w:bCs/>
          <w:sz w:val="28"/>
          <w:szCs w:val="28"/>
          <w:lang w:eastAsia="zh-CN"/>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日上午09:00（北</w:t>
      </w:r>
      <w:bookmarkStart w:id="4" w:name="_GoBack"/>
      <w:bookmarkEnd w:id="4"/>
      <w:r>
        <w:rPr>
          <w:rFonts w:hint="eastAsia" w:ascii="仿宋_GB2312" w:hAnsi="仿宋_GB2312" w:eastAsia="仿宋_GB2312" w:cs="仿宋_GB2312"/>
          <w:color w:val="000000"/>
          <w:sz w:val="28"/>
          <w:szCs w:val="28"/>
        </w:rPr>
        <w:t>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246392109"/>
      <w:bookmarkStart w:id="2" w:name="_Toc152042366"/>
      <w:bookmarkStart w:id="3" w:name="_Toc15204558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夏</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947495825</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eastAsia="zh-CN"/>
        </w:rPr>
        <w:t>周</w:t>
      </w:r>
      <w:r>
        <w:rPr>
          <w:rFonts w:hint="eastAsia" w:ascii="仿宋_GB2312" w:hAnsi="仿宋_GB2312" w:eastAsia="仿宋_GB2312" w:cs="仿宋_GB2312"/>
          <w:color w:val="000000"/>
          <w:sz w:val="28"/>
          <w:szCs w:val="28"/>
          <w:lang w:val="en-US" w:eastAsia="zh-CN"/>
        </w:rPr>
        <w:t>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联系电话：0571-83837</w:t>
      </w:r>
      <w:r>
        <w:rPr>
          <w:rFonts w:hint="eastAsia" w:ascii="仿宋_GB2312" w:hAnsi="仿宋_GB2312" w:eastAsia="仿宋_GB2312" w:cs="仿宋_GB2312"/>
          <w:color w:val="000000"/>
          <w:sz w:val="28"/>
          <w:szCs w:val="28"/>
          <w:lang w:val="en-US" w:eastAsia="zh-CN"/>
        </w:rPr>
        <w:t>709</w:t>
      </w: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杭州萧山国际机场海关设备采购项目</w:t>
      </w:r>
      <w:r>
        <w:rPr>
          <w:rFonts w:hint="eastAsia" w:ascii="黑体" w:hAnsi="黑体" w:eastAsia="黑体"/>
          <w:color w:val="000000"/>
          <w:sz w:val="28"/>
          <w:szCs w:val="28"/>
        </w:rPr>
        <w:t>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15"/>
        <w:gridCol w:w="3255"/>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15" w:type="dxa"/>
            <w:noWrap w:val="0"/>
            <w:vAlign w:val="center"/>
          </w:tcPr>
          <w:p>
            <w:pPr>
              <w:spacing w:line="560" w:lineRule="exac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设备名称</w:t>
            </w:r>
          </w:p>
        </w:tc>
        <w:tc>
          <w:tcPr>
            <w:tcW w:w="3255"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570"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561" w:type="dxa"/>
            <w:noWrap w:val="0"/>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noWrap w:val="0"/>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45" w:type="dxa"/>
            <w:noWrap w:val="0"/>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215" w:type="dxa"/>
            <w:noWrap w:val="0"/>
            <w:vAlign w:val="center"/>
          </w:tcPr>
          <w:p>
            <w:pPr>
              <w:jc w:val="center"/>
              <w:rPr>
                <w:rFonts w:hint="eastAsia" w:ascii="仿宋_GB2312" w:hAnsi="黑体" w:eastAsia="仿宋_GB2312"/>
                <w:color w:val="000000"/>
                <w:sz w:val="18"/>
                <w:szCs w:val="18"/>
                <w:lang w:eastAsia="zh-CN"/>
              </w:rPr>
            </w:pPr>
            <w:r>
              <w:rPr>
                <w:rFonts w:hint="eastAsia" w:ascii="仿宋_GB2312" w:hAnsi="黑体" w:eastAsia="仿宋_GB2312"/>
                <w:color w:val="000000"/>
                <w:sz w:val="24"/>
                <w:szCs w:val="24"/>
                <w:lang w:val="en-US" w:eastAsia="zh-CN"/>
              </w:rPr>
              <w:t>饮水机</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贺众牌UR-313BS-3冰温热五级反渗透、配套滤芯四套</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台</w:t>
            </w:r>
          </w:p>
        </w:tc>
        <w:tc>
          <w:tcPr>
            <w:tcW w:w="561"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215" w:type="dxa"/>
            <w:noWrap w:val="0"/>
            <w:vAlign w:val="center"/>
          </w:tcPr>
          <w:p>
            <w:pPr>
              <w:jc w:val="center"/>
              <w:rPr>
                <w:rFonts w:hint="eastAsia" w:ascii="仿宋_GB2312" w:hAnsi="黑体" w:eastAsia="仿宋_GB2312"/>
                <w:color w:val="000000"/>
                <w:sz w:val="18"/>
                <w:szCs w:val="18"/>
                <w:lang w:val="en-US" w:eastAsia="zh-CN"/>
              </w:rPr>
            </w:pPr>
            <w:r>
              <w:rPr>
                <w:rFonts w:hint="eastAsia" w:ascii="仿宋_GB2312" w:hAnsi="黑体" w:eastAsia="仿宋_GB2312"/>
                <w:color w:val="000000"/>
                <w:sz w:val="24"/>
                <w:szCs w:val="24"/>
                <w:lang w:val="en-US" w:eastAsia="zh-CN"/>
              </w:rPr>
              <w:t>旅客座椅</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长*宽*高</w:t>
            </w:r>
          </w:p>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48（±3）mm*48（±3）mm*80（±3）mm</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张</w:t>
            </w:r>
          </w:p>
        </w:tc>
        <w:tc>
          <w:tcPr>
            <w:tcW w:w="561" w:type="dxa"/>
            <w:noWrap w:val="0"/>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215" w:type="dxa"/>
            <w:noWrap w:val="0"/>
            <w:vAlign w:val="center"/>
          </w:tcPr>
          <w:p>
            <w:pPr>
              <w:jc w:val="center"/>
              <w:rPr>
                <w:rFonts w:hint="eastAsia" w:ascii="仿宋_GB2312" w:hAnsi="黑体" w:eastAsia="仿宋_GB2312"/>
                <w:color w:val="000000"/>
                <w:sz w:val="18"/>
                <w:szCs w:val="18"/>
                <w:lang w:val="en-US" w:eastAsia="zh-CN"/>
              </w:rPr>
            </w:pPr>
            <w:r>
              <w:rPr>
                <w:rFonts w:hint="eastAsia" w:ascii="仿宋_GB2312" w:hAnsi="黑体" w:eastAsia="仿宋_GB2312"/>
                <w:color w:val="000000"/>
                <w:sz w:val="24"/>
                <w:szCs w:val="24"/>
                <w:lang w:val="en-US" w:eastAsia="zh-CN"/>
              </w:rPr>
              <w:t>海关弃置箱</w:t>
            </w:r>
          </w:p>
        </w:tc>
        <w:tc>
          <w:tcPr>
            <w:tcW w:w="3255"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长*宽*高600mm*450mm*1850mm</w:t>
            </w:r>
          </w:p>
        </w:tc>
        <w:tc>
          <w:tcPr>
            <w:tcW w:w="570"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959" w:type="dxa"/>
            <w:noWrap w:val="0"/>
            <w:vAlign w:val="center"/>
          </w:tcPr>
          <w:p>
            <w:pPr>
              <w:spacing w:line="560" w:lineRule="exact"/>
              <w:jc w:val="center"/>
              <w:rPr>
                <w:rFonts w:ascii="仿宋_GB2312" w:hAnsi="黑体" w:eastAsia="仿宋_GB2312"/>
                <w:color w:val="000000"/>
                <w:sz w:val="24"/>
                <w:szCs w:val="24"/>
              </w:rPr>
            </w:pPr>
          </w:p>
        </w:tc>
        <w:tc>
          <w:tcPr>
            <w:tcW w:w="1045" w:type="dxa"/>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不含税价格合计（元）</w:t>
            </w:r>
          </w:p>
        </w:tc>
        <w:tc>
          <w:tcPr>
            <w:tcW w:w="2565" w:type="dxa"/>
            <w:gridSpan w:val="3"/>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税金（元）</w:t>
            </w:r>
          </w:p>
        </w:tc>
        <w:tc>
          <w:tcPr>
            <w:tcW w:w="2565" w:type="dxa"/>
            <w:gridSpan w:val="3"/>
            <w:noWrap w:val="0"/>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noWrap w:val="0"/>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含税价格合计（元）</w:t>
            </w:r>
          </w:p>
        </w:tc>
        <w:tc>
          <w:tcPr>
            <w:tcW w:w="2565" w:type="dxa"/>
            <w:gridSpan w:val="3"/>
            <w:noWrap w:val="0"/>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人民币大写：</w:t>
            </w:r>
            <w:r>
              <w:rPr>
                <w:rFonts w:hint="eastAsia" w:ascii="仿宋_GB2312" w:hAnsi="黑体" w:eastAsia="仿宋_GB2312"/>
                <w:color w:val="000000"/>
                <w:sz w:val="24"/>
                <w:szCs w:val="24"/>
                <w:lang w:val="en-US" w:eastAsia="zh-CN"/>
              </w:rPr>
              <w:t xml:space="preserve">  ，¥</w:t>
            </w:r>
          </w:p>
        </w:tc>
      </w:tr>
    </w:tbl>
    <w:p>
      <w:pPr>
        <w:spacing w:line="500" w:lineRule="exact"/>
        <w:ind w:firstLine="562" w:firstLineChars="200"/>
        <w:rPr>
          <w:rFonts w:hint="eastAsia"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w:t>
      </w:r>
      <w:r>
        <w:rPr>
          <w:rFonts w:hint="eastAsia" w:ascii="仿宋_GB2312" w:hAnsi="仿宋_GB2312" w:eastAsia="仿宋_GB2312" w:cs="仿宋_GB2312"/>
          <w:sz w:val="28"/>
          <w:szCs w:val="28"/>
          <w:lang w:val="en-US" w:eastAsia="zh-CN"/>
        </w:rPr>
        <w:t>根据甲方要求对完成安装的货物进行微调费用、</w:t>
      </w:r>
      <w:r>
        <w:rPr>
          <w:rFonts w:hint="eastAsia" w:ascii="仿宋_GB2312" w:hAnsi="仿宋_GB2312" w:eastAsia="仿宋_GB2312" w:cs="仿宋_GB2312"/>
          <w:sz w:val="28"/>
          <w:szCs w:val="28"/>
        </w:rPr>
        <w:t>税费、验收及售后服务。</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3、供货安装30日内完成。</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，费用按实结算。</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5、质保期两年。</w:t>
      </w: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4"/>
          <w:szCs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val="en-US" w:eastAsia="zh-CN"/>
        </w:rPr>
      </w:pPr>
    </w:p>
    <w:p>
      <w:pPr>
        <w:rPr>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 期：    </w:t>
      </w:r>
    </w:p>
    <w:p>
      <w:pPr>
        <w:rPr>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30ECB"/>
    <w:multiLevelType w:val="singleLevel"/>
    <w:tmpl w:val="64D30ECB"/>
    <w:lvl w:ilvl="0" w:tentative="0">
      <w:start w:val="1"/>
      <w:numFmt w:val="chineseCounting"/>
      <w:suff w:val="nothing"/>
      <w:lvlText w:val="%1、"/>
      <w:lvlJc w:val="left"/>
    </w:lvl>
  </w:abstractNum>
  <w:abstractNum w:abstractNumId="1">
    <w:nsid w:val="64D30F0C"/>
    <w:multiLevelType w:val="singleLevel"/>
    <w:tmpl w:val="64D30F0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2F11"/>
    <w:rsid w:val="046D2E85"/>
    <w:rsid w:val="05702BFA"/>
    <w:rsid w:val="1A5A07D4"/>
    <w:rsid w:val="2A277B65"/>
    <w:rsid w:val="37980435"/>
    <w:rsid w:val="38865684"/>
    <w:rsid w:val="4CC45453"/>
    <w:rsid w:val="4DC57ED2"/>
    <w:rsid w:val="53A81C76"/>
    <w:rsid w:val="5CA1152C"/>
    <w:rsid w:val="5E2F02B4"/>
    <w:rsid w:val="74327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2023-08-09T09:45:00Z</dcterms:created>
  <dc:creator>admin</dc:creator>
  <cp:lastModifiedBy>夏聪</cp:lastModifiedBy>
  <dcterms:modified xsi:type="dcterms:W3CDTF">2024-04-25T06:52:03Z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