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杭州萧山国际机场航站楼无障碍饮水机滤芯采购项目</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五</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十一</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val="en-US" w:eastAsia="zh-CN"/>
        </w:rPr>
        <w:t>杭州萧山国际机场航站楼无障碍饮水机滤芯采购项目</w:t>
      </w:r>
      <w:r>
        <w:rPr>
          <w:rFonts w:hint="eastAsia" w:ascii="仿宋_GB2312" w:hAnsi="仿宋_GB2312" w:eastAsia="仿宋_GB2312" w:cs="仿宋_GB2312"/>
          <w:sz w:val="28"/>
          <w:szCs w:val="28"/>
        </w:rPr>
        <w:t>进行公开询价，欢迎符合要求的供应商前来报价。</w:t>
      </w:r>
    </w:p>
    <w:p>
      <w:pPr>
        <w:numPr>
          <w:ilvl w:val="0"/>
          <w:numId w:val="2"/>
        </w:numPr>
        <w:spacing w:line="560" w:lineRule="exact"/>
        <w:ind w:firstLine="0" w:firstLineChars="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询价物品名称、数量及具体要求</w:t>
      </w:r>
    </w:p>
    <w:p>
      <w:pPr>
        <w:numPr>
          <w:ilvl w:val="0"/>
          <w:numId w:val="0"/>
        </w:numPr>
        <w:spacing w:line="560" w:lineRule="exact"/>
        <w:ind w:firstLine="0" w:firstLineChars="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1.维护项目清单</w:t>
      </w:r>
    </w:p>
    <w:tbl>
      <w:tblPr>
        <w:tblStyle w:val="12"/>
        <w:tblpPr w:leftFromText="180" w:rightFromText="180" w:vertAnchor="text" w:horzAnchor="page" w:tblpX="1972" w:tblpY="24"/>
        <w:tblOverlap w:val="never"/>
        <w:tblW w:w="83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1140"/>
        <w:gridCol w:w="708"/>
        <w:gridCol w:w="714"/>
        <w:gridCol w:w="4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46" w:type="dxa"/>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设备名称</w:t>
            </w:r>
          </w:p>
        </w:tc>
        <w:tc>
          <w:tcPr>
            <w:tcW w:w="1140" w:type="dxa"/>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规格</w:t>
            </w:r>
          </w:p>
        </w:tc>
        <w:tc>
          <w:tcPr>
            <w:tcW w:w="708" w:type="dxa"/>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单位</w:t>
            </w:r>
          </w:p>
        </w:tc>
        <w:tc>
          <w:tcPr>
            <w:tcW w:w="714" w:type="dxa"/>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数量</w:t>
            </w:r>
          </w:p>
        </w:tc>
        <w:tc>
          <w:tcPr>
            <w:tcW w:w="4341" w:type="dxa"/>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5" w:hRule="atLeast"/>
        </w:trPr>
        <w:tc>
          <w:tcPr>
            <w:tcW w:w="1446"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eastAsia="宋体" w:cs="宋体"/>
                <w:b w:val="0"/>
                <w:bCs w:val="0"/>
                <w:color w:val="000000"/>
                <w:kern w:val="0"/>
                <w:sz w:val="22"/>
                <w:szCs w:val="22"/>
                <w:highlight w:val="none"/>
                <w:lang w:val="en-US" w:eastAsia="zh-CN" w:bidi="ar"/>
              </w:rPr>
              <w:t>PAC复合滤芯</w:t>
            </w:r>
          </w:p>
        </w:tc>
        <w:tc>
          <w:tcPr>
            <w:tcW w:w="1140"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708"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714" w:type="dxa"/>
            <w:textDirection w:val="lrTb"/>
            <w:vAlign w:val="center"/>
          </w:tcPr>
          <w:p>
            <w:pPr>
              <w:jc w:val="center"/>
              <w:rPr>
                <w:rFonts w:hint="default" w:ascii="仿宋_GB2312" w:hAnsi="黑体" w:eastAsia="仿宋_GB2312"/>
                <w:color w:val="000000"/>
                <w:sz w:val="24"/>
                <w:szCs w:val="24"/>
                <w:highlight w:val="yellow"/>
                <w:lang w:val="en-US" w:eastAsia="zh-CN"/>
              </w:rPr>
            </w:pPr>
            <w:r>
              <w:rPr>
                <w:rFonts w:hint="eastAsia" w:ascii="宋体" w:hAnsi="宋体" w:cs="宋体"/>
                <w:sz w:val="22"/>
                <w:szCs w:val="22"/>
                <w:highlight w:val="none"/>
                <w:lang w:val="en-US" w:eastAsia="zh-CN"/>
              </w:rPr>
              <w:t>30</w:t>
            </w:r>
          </w:p>
        </w:tc>
        <w:tc>
          <w:tcPr>
            <w:tcW w:w="4341" w:type="dxa"/>
            <w:vAlign w:val="center"/>
          </w:tcPr>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1.1、理论过滤精度≤5微米；</w:t>
            </w:r>
          </w:p>
          <w:p>
            <w:pPr>
              <w:pStyle w:val="8"/>
              <w:widowControl w:val="0"/>
              <w:numPr>
                <w:ilvl w:val="0"/>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1.2、更换周期≥6个月；</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1.3、净水流量≥3.0L/min；</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1.4、总净水量≥3600L；</w:t>
            </w:r>
          </w:p>
          <w:p>
            <w:pPr>
              <w:pStyle w:val="8"/>
              <w:widowControl w:val="0"/>
              <w:numPr>
                <w:ilvl w:val="0"/>
                <w:numId w:val="0"/>
              </w:numPr>
              <w:adjustRightInd w:val="0"/>
              <w:spacing w:after="120" w:line="360" w:lineRule="atLeast"/>
              <w:jc w:val="left"/>
              <w:textAlignment w:val="baseline"/>
              <w:rPr>
                <w:rFonts w:hint="eastAsia" w:ascii="仿宋_GB2312" w:hAnsi="黑体" w:eastAsia="仿宋_GB2312"/>
                <w:color w:val="000000"/>
                <w:sz w:val="24"/>
                <w:szCs w:val="24"/>
                <w:lang w:val="en-US" w:eastAsia="zh-CN"/>
              </w:rPr>
            </w:pPr>
            <w:r>
              <w:rPr>
                <w:rFonts w:hint="eastAsia" w:ascii="宋体" w:hAnsi="宋体" w:cs="宋体"/>
                <w:b w:val="0"/>
                <w:bCs w:val="0"/>
                <w:sz w:val="22"/>
                <w:szCs w:val="22"/>
                <w:highlight w:val="none"/>
                <w:lang w:val="en-US" w:eastAsia="zh-CN"/>
              </w:rPr>
              <w:t>1.5、执行标准Q/HTP 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40" w:hRule="atLeast"/>
        </w:trPr>
        <w:tc>
          <w:tcPr>
            <w:tcW w:w="1446"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eastAsia="宋体" w:cs="宋体"/>
                <w:b w:val="0"/>
                <w:bCs w:val="0"/>
                <w:color w:val="000000"/>
                <w:kern w:val="0"/>
                <w:sz w:val="22"/>
                <w:szCs w:val="22"/>
                <w:highlight w:val="none"/>
                <w:lang w:val="en-US" w:eastAsia="zh-CN" w:bidi="ar"/>
              </w:rPr>
              <w:t>RO反渗透膜滤芯</w:t>
            </w:r>
          </w:p>
        </w:tc>
        <w:tc>
          <w:tcPr>
            <w:tcW w:w="1140"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708"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714" w:type="dxa"/>
            <w:textDirection w:val="lrTb"/>
            <w:vAlign w:val="center"/>
          </w:tcPr>
          <w:p>
            <w:pPr>
              <w:jc w:val="center"/>
              <w:rPr>
                <w:rFonts w:hint="default" w:ascii="仿宋_GB2312" w:hAnsi="黑体" w:eastAsia="仿宋_GB2312"/>
                <w:color w:val="000000"/>
                <w:sz w:val="24"/>
                <w:szCs w:val="24"/>
                <w:highlight w:val="yellow"/>
                <w:lang w:val="en-US" w:eastAsia="zh-CN"/>
              </w:rPr>
            </w:pPr>
            <w:r>
              <w:rPr>
                <w:rFonts w:hint="eastAsia" w:ascii="仿宋_GB2312" w:hAnsi="黑体" w:eastAsia="仿宋_GB2312"/>
                <w:color w:val="000000"/>
                <w:sz w:val="24"/>
                <w:szCs w:val="24"/>
                <w:highlight w:val="none"/>
                <w:lang w:val="en-US" w:eastAsia="zh-CN"/>
              </w:rPr>
              <w:t>30</w:t>
            </w:r>
          </w:p>
        </w:tc>
        <w:tc>
          <w:tcPr>
            <w:tcW w:w="4341" w:type="dxa"/>
            <w:vAlign w:val="center"/>
          </w:tcPr>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2.1、理论过滤精度≤0.001微米；</w:t>
            </w:r>
          </w:p>
          <w:p>
            <w:pPr>
              <w:pStyle w:val="8"/>
              <w:widowControl w:val="0"/>
              <w:numPr>
                <w:ilvl w:val="0"/>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2.2、最大RO通量≥75G；</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2.3、净水流量≥3.0L/min；</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2.4、总净水量≥7200L；</w:t>
            </w:r>
          </w:p>
          <w:p>
            <w:pPr>
              <w:pStyle w:val="8"/>
              <w:widowControl w:val="0"/>
              <w:numPr>
                <w:ilvl w:val="0"/>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2.5、更换周期≥12个月；</w:t>
            </w:r>
          </w:p>
          <w:p>
            <w:pPr>
              <w:pStyle w:val="8"/>
              <w:widowControl w:val="0"/>
              <w:numPr>
                <w:ilvl w:val="0"/>
                <w:numId w:val="0"/>
              </w:numPr>
              <w:adjustRightInd w:val="0"/>
              <w:spacing w:after="120" w:line="360" w:lineRule="atLeast"/>
              <w:jc w:val="left"/>
              <w:textAlignment w:val="baseline"/>
              <w:rPr>
                <w:rFonts w:hint="eastAsia" w:ascii="仿宋_GB2312" w:hAnsi="黑体" w:eastAsia="仿宋_GB2312"/>
                <w:color w:val="000000"/>
                <w:sz w:val="24"/>
                <w:szCs w:val="24"/>
                <w:lang w:val="en-US" w:eastAsia="zh-CN"/>
              </w:rPr>
            </w:pPr>
            <w:r>
              <w:rPr>
                <w:rFonts w:hint="eastAsia" w:ascii="宋体" w:hAnsi="宋体" w:cs="宋体"/>
                <w:b w:val="0"/>
                <w:bCs w:val="0"/>
                <w:sz w:val="22"/>
                <w:szCs w:val="22"/>
                <w:highlight w:val="none"/>
                <w:lang w:val="en-US" w:eastAsia="zh-CN"/>
              </w:rPr>
              <w:t>2.5、执行标准Q/HTP 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46"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eastAsia="宋体" w:cs="宋体"/>
                <w:b w:val="0"/>
                <w:bCs w:val="0"/>
                <w:color w:val="000000"/>
                <w:kern w:val="0"/>
                <w:sz w:val="22"/>
                <w:szCs w:val="22"/>
                <w:highlight w:val="none"/>
                <w:lang w:val="en-US" w:eastAsia="zh-CN" w:bidi="ar"/>
              </w:rPr>
              <w:t>后置活性炭滤芯</w:t>
            </w:r>
          </w:p>
        </w:tc>
        <w:tc>
          <w:tcPr>
            <w:tcW w:w="1140"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708"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714" w:type="dxa"/>
            <w:textDirection w:val="lrTb"/>
            <w:vAlign w:val="center"/>
          </w:tcPr>
          <w:p>
            <w:pPr>
              <w:jc w:val="center"/>
              <w:rPr>
                <w:rFonts w:hint="default" w:ascii="仿宋_GB2312" w:hAnsi="黑体" w:eastAsia="仿宋_GB2312"/>
                <w:color w:val="000000"/>
                <w:sz w:val="24"/>
                <w:szCs w:val="24"/>
                <w:highlight w:val="yellow"/>
                <w:lang w:val="en-US" w:eastAsia="zh-CN"/>
              </w:rPr>
            </w:pPr>
            <w:r>
              <w:rPr>
                <w:rFonts w:hint="eastAsia" w:ascii="仿宋_GB2312" w:hAnsi="黑体" w:eastAsia="仿宋_GB2312"/>
                <w:color w:val="000000"/>
                <w:sz w:val="24"/>
                <w:szCs w:val="24"/>
                <w:highlight w:val="none"/>
                <w:lang w:val="en-US" w:eastAsia="zh-CN"/>
              </w:rPr>
              <w:t>30</w:t>
            </w:r>
          </w:p>
        </w:tc>
        <w:tc>
          <w:tcPr>
            <w:tcW w:w="4341" w:type="dxa"/>
            <w:vAlign w:val="center"/>
          </w:tcPr>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3.1、理论过滤精度≤5微米；</w:t>
            </w:r>
          </w:p>
          <w:p>
            <w:pPr>
              <w:pStyle w:val="8"/>
              <w:widowControl w:val="0"/>
              <w:numPr>
                <w:ilvl w:val="0"/>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3.2、更换周期≥6个月；</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3.3、净水流量≥3.0L/min；</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3.4、总净水量≥3600L；</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3.5、执行标准Q/HTP 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46" w:type="dxa"/>
            <w:textDirection w:val="lrTb"/>
            <w:vAlign w:val="center"/>
          </w:tcPr>
          <w:p>
            <w:pPr>
              <w:jc w:val="center"/>
              <w:rPr>
                <w:rFonts w:hint="eastAsia" w:ascii="宋体" w:hAnsi="宋体" w:eastAsia="宋体" w:cs="宋体"/>
                <w:b w:val="0"/>
                <w:bCs w:val="0"/>
                <w:color w:val="000000"/>
                <w:kern w:val="0"/>
                <w:sz w:val="22"/>
                <w:szCs w:val="22"/>
                <w:highlight w:val="none"/>
                <w:lang w:val="en-US" w:eastAsia="zh-CN" w:bidi="ar"/>
              </w:rPr>
            </w:pPr>
            <w:r>
              <w:rPr>
                <w:rFonts w:hint="eastAsia" w:ascii="宋体" w:hAnsi="宋体" w:cs="宋体"/>
                <w:b w:val="0"/>
                <w:bCs w:val="0"/>
                <w:color w:val="000000"/>
                <w:kern w:val="0"/>
                <w:sz w:val="22"/>
                <w:szCs w:val="22"/>
                <w:highlight w:val="none"/>
                <w:lang w:val="en-US" w:eastAsia="zh-CN" w:bidi="ar"/>
              </w:rPr>
              <w:t>饮水机开关按键及标识</w:t>
            </w:r>
          </w:p>
        </w:tc>
        <w:tc>
          <w:tcPr>
            <w:tcW w:w="1140" w:type="dxa"/>
            <w:textDirection w:val="lrTb"/>
            <w:vAlign w:val="center"/>
          </w:tcPr>
          <w:p>
            <w:pPr>
              <w:jc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定制</w:t>
            </w:r>
          </w:p>
        </w:tc>
        <w:tc>
          <w:tcPr>
            <w:tcW w:w="708"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套</w:t>
            </w:r>
          </w:p>
        </w:tc>
        <w:tc>
          <w:tcPr>
            <w:tcW w:w="714" w:type="dxa"/>
            <w:textDirection w:val="lrTb"/>
            <w:vAlign w:val="center"/>
          </w:tcPr>
          <w:p>
            <w:pPr>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20</w:t>
            </w:r>
          </w:p>
        </w:tc>
        <w:tc>
          <w:tcPr>
            <w:tcW w:w="4341" w:type="dxa"/>
            <w:vAlign w:val="center"/>
          </w:tcPr>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一套含冷水键、热水键、键位相应标识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46" w:type="dxa"/>
            <w:textDirection w:val="lrTb"/>
            <w:vAlign w:val="center"/>
          </w:tcPr>
          <w:p>
            <w:pPr>
              <w:jc w:val="center"/>
              <w:rPr>
                <w:rFonts w:hint="eastAsia" w:ascii="宋体" w:hAnsi="宋体" w:cs="宋体"/>
                <w:b w:val="0"/>
                <w:bCs w:val="0"/>
                <w:color w:val="000000"/>
                <w:kern w:val="0"/>
                <w:sz w:val="22"/>
                <w:szCs w:val="22"/>
                <w:highlight w:val="none"/>
                <w:lang w:val="en-US" w:eastAsia="zh-CN" w:bidi="ar"/>
              </w:rPr>
            </w:pPr>
            <w:r>
              <w:rPr>
                <w:rFonts w:hint="eastAsia" w:ascii="宋体" w:hAnsi="宋体" w:cs="宋体"/>
                <w:b w:val="0"/>
                <w:bCs w:val="0"/>
                <w:color w:val="000000"/>
                <w:kern w:val="0"/>
                <w:sz w:val="22"/>
                <w:szCs w:val="22"/>
                <w:highlight w:val="none"/>
                <w:lang w:val="en-US" w:eastAsia="zh-CN" w:bidi="ar"/>
              </w:rPr>
              <w:t>配套电磁阀</w:t>
            </w:r>
          </w:p>
        </w:tc>
        <w:tc>
          <w:tcPr>
            <w:tcW w:w="1140" w:type="dxa"/>
            <w:textDirection w:val="lrTb"/>
            <w:vAlign w:val="center"/>
          </w:tcPr>
          <w:p>
            <w:pPr>
              <w:jc w:val="center"/>
              <w:rPr>
                <w:rFonts w:hint="eastAsia" w:ascii="宋体" w:hAnsi="宋体" w:cs="宋体"/>
                <w:sz w:val="22"/>
                <w:szCs w:val="22"/>
                <w:lang w:val="en-US" w:eastAsia="zh-CN"/>
              </w:rPr>
            </w:pPr>
            <w:r>
              <w:rPr>
                <w:rFonts w:hint="eastAsia" w:ascii="宋体" w:hAnsi="宋体" w:cs="宋体"/>
                <w:sz w:val="22"/>
                <w:szCs w:val="22"/>
                <w:lang w:val="en-US" w:eastAsia="zh-CN"/>
              </w:rPr>
              <w:t>定制</w:t>
            </w:r>
          </w:p>
        </w:tc>
        <w:tc>
          <w:tcPr>
            <w:tcW w:w="708"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714" w:type="dxa"/>
            <w:textDirection w:val="lrTb"/>
            <w:vAlign w:val="center"/>
          </w:tcPr>
          <w:p>
            <w:pPr>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10</w:t>
            </w:r>
          </w:p>
        </w:tc>
        <w:tc>
          <w:tcPr>
            <w:tcW w:w="4341" w:type="dxa"/>
            <w:vAlign w:val="center"/>
          </w:tcPr>
          <w:p>
            <w:pPr>
              <w:pStyle w:val="8"/>
              <w:widowControl w:val="0"/>
              <w:numPr>
                <w:ilvl w:val="0"/>
                <w:numId w:val="0"/>
              </w:numPr>
              <w:adjustRightInd w:val="0"/>
              <w:spacing w:after="120" w:line="360" w:lineRule="atLeast"/>
              <w:jc w:val="center"/>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定制</w:t>
            </w:r>
          </w:p>
        </w:tc>
      </w:tr>
    </w:tbl>
    <w:p>
      <w:pPr>
        <w:pStyle w:val="8"/>
        <w:widowControl w:val="0"/>
        <w:numPr>
          <w:ilvl w:val="0"/>
          <w:numId w:val="0"/>
        </w:numPr>
        <w:adjustRightInd w:val="0"/>
        <w:spacing w:after="120" w:line="360" w:lineRule="atLeast"/>
        <w:jc w:val="left"/>
        <w:textAlignment w:val="baseline"/>
        <w:rPr>
          <w:rFonts w:hint="eastAsia" w:ascii="宋体" w:hAnsi="宋体" w:eastAsia="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二、产品示意图</w:t>
      </w:r>
    </w:p>
    <w:p>
      <w:pPr>
        <w:pStyle w:val="8"/>
        <w:widowControl w:val="0"/>
        <w:numPr>
          <w:ilvl w:val="0"/>
          <w:numId w:val="0"/>
        </w:numPr>
        <w:adjustRightInd w:val="0"/>
        <w:spacing w:after="120" w:line="360" w:lineRule="atLeast"/>
        <w:jc w:val="left"/>
        <w:textAlignment w:val="baseline"/>
        <w:rPr>
          <w:rFonts w:hint="eastAsia" w:ascii="宋体" w:hAnsi="宋体" w:eastAsia="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w:t>
      </w:r>
      <w:r>
        <w:rPr>
          <w:rFonts w:hint="eastAsia" w:ascii="宋体" w:hAnsi="宋体" w:eastAsia="宋体" w:cs="宋体"/>
          <w:b w:val="0"/>
          <w:bCs w:val="0"/>
          <w:sz w:val="22"/>
          <w:szCs w:val="22"/>
          <w:highlight w:val="none"/>
          <w:lang w:val="en-US" w:eastAsia="zh-CN"/>
        </w:rPr>
        <w:t>、</w:t>
      </w:r>
      <w:r>
        <w:rPr>
          <w:rFonts w:hint="eastAsia" w:ascii="宋体" w:hAnsi="宋体" w:cs="宋体"/>
          <w:b w:val="0"/>
          <w:bCs w:val="0"/>
          <w:sz w:val="22"/>
          <w:szCs w:val="22"/>
          <w:highlight w:val="none"/>
          <w:lang w:val="en-US" w:eastAsia="zh-CN"/>
        </w:rPr>
        <w:t>滤芯</w:t>
      </w:r>
      <w:r>
        <w:rPr>
          <w:rFonts w:hint="eastAsia" w:ascii="宋体" w:hAnsi="宋体" w:eastAsia="宋体" w:cs="宋体"/>
          <w:b w:val="0"/>
          <w:bCs w:val="0"/>
          <w:sz w:val="22"/>
          <w:szCs w:val="22"/>
          <w:highlight w:val="none"/>
          <w:lang w:val="en-US" w:eastAsia="zh-CN"/>
        </w:rPr>
        <w:t>安装方式</w:t>
      </w:r>
    </w:p>
    <w:p>
      <w:pPr>
        <w:pStyle w:val="8"/>
        <w:widowControl w:val="0"/>
        <w:numPr>
          <w:ilvl w:val="0"/>
          <w:numId w:val="0"/>
        </w:numPr>
        <w:adjustRightInd w:val="0"/>
        <w:spacing w:after="120" w:line="360" w:lineRule="atLeast"/>
        <w:jc w:val="left"/>
        <w:textAlignment w:val="baseline"/>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如图所示</w:t>
      </w:r>
      <w:r>
        <w:rPr>
          <w:rFonts w:hint="eastAsia" w:ascii="宋体" w:hAnsi="宋体" w:cs="宋体"/>
          <w:b w:val="0"/>
          <w:bCs w:val="0"/>
          <w:sz w:val="22"/>
          <w:szCs w:val="22"/>
          <w:highlight w:val="none"/>
          <w:lang w:val="en-US" w:eastAsia="zh-CN"/>
        </w:rPr>
        <w:t>直插式安装</w:t>
      </w:r>
      <w:r>
        <w:rPr>
          <w:rFonts w:hint="eastAsia" w:ascii="宋体" w:hAnsi="宋体" w:eastAsia="宋体" w:cs="宋体"/>
          <w:b w:val="0"/>
          <w:bCs w:val="0"/>
          <w:sz w:val="22"/>
          <w:szCs w:val="22"/>
          <w:highlight w:val="none"/>
          <w:lang w:val="en-US" w:eastAsia="zh-CN"/>
        </w:rPr>
        <w:t>：</w:t>
      </w:r>
    </w:p>
    <w:p>
      <w:pPr>
        <w:pStyle w:val="8"/>
        <w:widowControl w:val="0"/>
        <w:numPr>
          <w:ilvl w:val="0"/>
          <w:numId w:val="0"/>
        </w:numPr>
        <w:adjustRightInd w:val="0"/>
        <w:spacing w:after="120" w:line="360" w:lineRule="atLeast"/>
        <w:jc w:val="left"/>
        <w:textAlignment w:val="baseline"/>
        <w:rPr>
          <w:rFonts w:hint="default" w:ascii="宋体" w:hAnsi="宋体" w:eastAsia="宋体" w:cs="宋体"/>
          <w:b w:val="0"/>
          <w:bCs w:val="0"/>
          <w:sz w:val="22"/>
          <w:szCs w:val="22"/>
          <w:highlight w:val="none"/>
          <w:lang w:val="en-US" w:eastAsia="zh-CN"/>
        </w:rPr>
      </w:pPr>
      <w:r>
        <w:rPr>
          <w:rFonts w:hint="default" w:ascii="宋体" w:hAnsi="宋体" w:eastAsia="宋体" w:cs="宋体"/>
          <w:b w:val="0"/>
          <w:bCs w:val="0"/>
          <w:sz w:val="22"/>
          <w:szCs w:val="22"/>
          <w:highlight w:val="none"/>
          <w:lang w:val="en-US" w:eastAsia="zh-CN"/>
        </w:rPr>
        <w:drawing>
          <wp:inline distT="0" distB="0" distL="114300" distR="114300">
            <wp:extent cx="5898515" cy="4425950"/>
            <wp:effectExtent l="0" t="0" r="6985" b="12700"/>
            <wp:docPr id="1" name="图片 1" descr="62754335fdf23783ce147a44e99f6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2754335fdf23783ce147a44e99f6af"/>
                    <pic:cNvPicPr>
                      <a:picLocks noChangeAspect="1"/>
                    </pic:cNvPicPr>
                  </pic:nvPicPr>
                  <pic:blipFill>
                    <a:blip r:embed="rId4"/>
                    <a:stretch>
                      <a:fillRect/>
                    </a:stretch>
                  </pic:blipFill>
                  <pic:spPr>
                    <a:xfrm>
                      <a:off x="0" y="0"/>
                      <a:ext cx="5898515" cy="4425950"/>
                    </a:xfrm>
                    <a:prstGeom prst="rect">
                      <a:avLst/>
                    </a:prstGeom>
                    <a:noFill/>
                    <a:ln>
                      <a:noFill/>
                    </a:ln>
                  </pic:spPr>
                </pic:pic>
              </a:graphicData>
            </a:graphic>
          </wp:inline>
        </w:drawing>
      </w:r>
    </w:p>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2、饮水机开关按键</w:t>
      </w:r>
    </w:p>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2.1基本尺寸</w:t>
      </w:r>
    </w:p>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冷水键：25mm*41mm*23.5mm；热水键：25mm*70mm*23.5mm</w:t>
      </w:r>
    </w:p>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default" w:ascii="宋体" w:hAnsi="宋体" w:cs="宋体"/>
          <w:b w:val="0"/>
          <w:bCs w:val="0"/>
          <w:sz w:val="22"/>
          <w:szCs w:val="22"/>
          <w:highlight w:val="none"/>
          <w:lang w:val="en-US" w:eastAsia="zh-CN"/>
        </w:rPr>
        <w:drawing>
          <wp:anchor distT="0" distB="0" distL="114300" distR="114300" simplePos="0" relativeHeight="251658240" behindDoc="0" locked="0" layoutInCell="1" allowOverlap="1">
            <wp:simplePos x="0" y="0"/>
            <wp:positionH relativeFrom="column">
              <wp:posOffset>72390</wp:posOffset>
            </wp:positionH>
            <wp:positionV relativeFrom="paragraph">
              <wp:posOffset>335280</wp:posOffset>
            </wp:positionV>
            <wp:extent cx="2802255" cy="1618615"/>
            <wp:effectExtent l="0" t="0" r="17145" b="635"/>
            <wp:wrapTopAndBottom/>
            <wp:docPr id="2" name="图片 2" descr="1731045974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31045974671"/>
                    <pic:cNvPicPr>
                      <a:picLocks noChangeAspect="1"/>
                    </pic:cNvPicPr>
                  </pic:nvPicPr>
                  <pic:blipFill>
                    <a:blip r:embed="rId5"/>
                    <a:stretch>
                      <a:fillRect/>
                    </a:stretch>
                  </pic:blipFill>
                  <pic:spPr>
                    <a:xfrm>
                      <a:off x="0" y="0"/>
                      <a:ext cx="2802255" cy="1618615"/>
                    </a:xfrm>
                    <a:prstGeom prst="rect">
                      <a:avLst/>
                    </a:prstGeom>
                  </pic:spPr>
                </pic:pic>
              </a:graphicData>
            </a:graphic>
          </wp:anchor>
        </w:drawing>
      </w:r>
      <w:r>
        <w:rPr>
          <w:rFonts w:hint="eastAsia" w:ascii="宋体" w:hAnsi="宋体" w:cs="宋体"/>
          <w:b w:val="0"/>
          <w:bCs w:val="0"/>
          <w:sz w:val="22"/>
          <w:szCs w:val="22"/>
          <w:highlight w:val="none"/>
          <w:lang w:val="en-US" w:eastAsia="zh-CN"/>
        </w:rPr>
        <w:t>2.2开关按键实物图</w:t>
      </w:r>
    </w:p>
    <w:p>
      <w:pPr>
        <w:pStyle w:val="8"/>
        <w:widowControl w:val="0"/>
        <w:numPr>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default" w:ascii="宋体" w:hAnsi="宋体" w:cs="宋体"/>
          <w:b w:val="0"/>
          <w:bCs w:val="0"/>
          <w:sz w:val="22"/>
          <w:szCs w:val="22"/>
          <w:highlight w:val="none"/>
          <w:lang w:val="en-US" w:eastAsia="zh-CN"/>
        </w:rPr>
        <w:drawing>
          <wp:anchor distT="0" distB="0" distL="114300" distR="114300" simplePos="0" relativeHeight="251659264" behindDoc="0" locked="0" layoutInCell="1" allowOverlap="1">
            <wp:simplePos x="0" y="0"/>
            <wp:positionH relativeFrom="column">
              <wp:posOffset>3168015</wp:posOffset>
            </wp:positionH>
            <wp:positionV relativeFrom="paragraph">
              <wp:posOffset>34290</wp:posOffset>
            </wp:positionV>
            <wp:extent cx="2927350" cy="1608455"/>
            <wp:effectExtent l="0" t="0" r="6350" b="10795"/>
            <wp:wrapTopAndBottom/>
            <wp:docPr id="3" name="图片 3" descr="173104600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31046003746"/>
                    <pic:cNvPicPr>
                      <a:picLocks noChangeAspect="1"/>
                    </pic:cNvPicPr>
                  </pic:nvPicPr>
                  <pic:blipFill>
                    <a:blip r:embed="rId6"/>
                    <a:stretch>
                      <a:fillRect/>
                    </a:stretch>
                  </pic:blipFill>
                  <pic:spPr>
                    <a:xfrm>
                      <a:off x="0" y="0"/>
                      <a:ext cx="2927350" cy="1608455"/>
                    </a:xfrm>
                    <a:prstGeom prst="rect">
                      <a:avLst/>
                    </a:prstGeom>
                  </pic:spPr>
                </pic:pic>
              </a:graphicData>
            </a:graphic>
          </wp:anchor>
        </w:drawing>
      </w:r>
    </w:p>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3、配套电磁阀</w:t>
      </w:r>
    </w:p>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如图所示：</w:t>
      </w:r>
    </w:p>
    <w:p>
      <w:pPr>
        <w:pStyle w:val="4"/>
        <w:rPr>
          <w:rFonts w:hint="eastAsia"/>
          <w:lang w:val="en-US" w:eastAsia="zh-CN"/>
        </w:rPr>
      </w:pPr>
      <w:r>
        <w:rPr>
          <w:rFonts w:hint="eastAsia"/>
          <w:lang w:val="en-US" w:eastAsia="zh-CN"/>
        </w:rPr>
        <w:drawing>
          <wp:inline distT="0" distB="0" distL="114300" distR="114300">
            <wp:extent cx="2569210" cy="3063875"/>
            <wp:effectExtent l="0" t="0" r="2540" b="3175"/>
            <wp:docPr id="4" name="图片 4" descr="ac56978483b54081d2f14e8e6edf4b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c56978483b54081d2f14e8e6edf4bc5"/>
                    <pic:cNvPicPr>
                      <a:picLocks noChangeAspect="1"/>
                    </pic:cNvPicPr>
                  </pic:nvPicPr>
                  <pic:blipFill>
                    <a:blip r:embed="rId7"/>
                    <a:stretch>
                      <a:fillRect/>
                    </a:stretch>
                  </pic:blipFill>
                  <pic:spPr>
                    <a:xfrm>
                      <a:off x="0" y="0"/>
                      <a:ext cx="2569210" cy="3063875"/>
                    </a:xfrm>
                    <a:prstGeom prst="rect">
                      <a:avLst/>
                    </a:prstGeom>
                  </pic:spPr>
                </pic:pic>
              </a:graphicData>
            </a:graphic>
          </wp:inline>
        </w:drawing>
      </w: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10"/>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（3）报价人有效的营业执照；（4）项目联系人身份证复印件及联系方式；（5）报价单位征信证明及无犯罪记录证明查询结果盖公章（见资格要求2和3）。</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3、投递地址：杭州萧山国际机场</w:t>
      </w:r>
      <w:r>
        <w:rPr>
          <w:rFonts w:hint="eastAsia" w:ascii="仿宋_GB2312" w:hAnsi="仿宋_GB2312" w:eastAsia="仿宋_GB2312" w:cs="仿宋_GB2312"/>
          <w:color w:val="000000"/>
          <w:sz w:val="28"/>
          <w:szCs w:val="28"/>
          <w:lang w:val="en-US" w:eastAsia="zh-CN"/>
        </w:rPr>
        <w:t>T3航站楼B0080房间</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4、截止日期:202</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3</w:t>
      </w:r>
      <w:bookmarkStart w:id="4" w:name="_GoBack"/>
      <w:bookmarkEnd w:id="4"/>
      <w:r>
        <w:rPr>
          <w:rFonts w:hint="eastAsia" w:ascii="仿宋_GB2312" w:hAnsi="仿宋_GB2312" w:eastAsia="仿宋_GB2312" w:cs="仿宋_GB2312"/>
          <w:color w:val="000000"/>
          <w:sz w:val="28"/>
          <w:szCs w:val="28"/>
        </w:rPr>
        <w:t>日上午09:00（北京时间）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246392109"/>
      <w:bookmarkStart w:id="1" w:name="_Toc144974556"/>
      <w:bookmarkStart w:id="2" w:name="_Toc152045589"/>
      <w:bookmarkStart w:id="3" w:name="_Toc152042366"/>
      <w:r>
        <w:rPr>
          <w:rFonts w:ascii="宋体"/>
          <w:b/>
          <w:sz w:val="28"/>
          <w:szCs w:val="28"/>
        </w:rPr>
        <w:tab/>
      </w:r>
    </w:p>
    <w:bookmarkEnd w:id="0"/>
    <w:bookmarkEnd w:id="1"/>
    <w:bookmarkEnd w:id="2"/>
    <w:bookmarkEnd w:id="3"/>
    <w:p>
      <w:pPr>
        <w:spacing w:line="360" w:lineRule="auto"/>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夏</w:t>
      </w:r>
      <w:r>
        <w:rPr>
          <w:rFonts w:hint="eastAsia" w:ascii="仿宋_GB2312" w:hAnsi="仿宋_GB2312" w:eastAsia="仿宋_GB2312" w:cs="仿宋_GB2312"/>
          <w:color w:val="000000"/>
          <w:sz w:val="28"/>
          <w:szCs w:val="28"/>
        </w:rPr>
        <w:t xml:space="preserve">工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w:t>
      </w:r>
      <w:r>
        <w:rPr>
          <w:rFonts w:hint="eastAsia" w:ascii="仿宋_GB2312" w:hAnsi="仿宋_GB2312" w:eastAsia="仿宋_GB2312" w:cs="仿宋_GB2312"/>
          <w:color w:val="000000"/>
          <w:sz w:val="28"/>
          <w:szCs w:val="28"/>
          <w:lang w:val="en-US" w:eastAsia="zh-CN"/>
        </w:rPr>
        <w:t>83837008</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947495825</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highlight w:val="yellow"/>
        </w:rPr>
      </w:pPr>
    </w:p>
    <w:p>
      <w:pPr>
        <w:spacing w:line="56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周恩利</w:t>
      </w:r>
      <w:r>
        <w:rPr>
          <w:rFonts w:hint="eastAsia" w:ascii="仿宋_GB2312" w:hAnsi="仿宋_GB2312" w:eastAsia="仿宋_GB2312" w:cs="仿宋_GB2312"/>
          <w:color w:val="000000"/>
          <w:sz w:val="28"/>
          <w:szCs w:val="28"/>
          <w:highlight w:val="none"/>
        </w:rPr>
        <w:t xml:space="preserve">          </w:t>
      </w:r>
    </w:p>
    <w:p>
      <w:pPr>
        <w:spacing w:line="560" w:lineRule="exact"/>
        <w:ind w:firstLine="560" w:firstLineChars="200"/>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联系电话：0571-8</w:t>
      </w:r>
      <w:r>
        <w:rPr>
          <w:rFonts w:hint="eastAsia" w:ascii="仿宋_GB2312" w:hAnsi="仿宋_GB2312" w:eastAsia="仿宋_GB2312" w:cs="仿宋_GB2312"/>
          <w:color w:val="000000"/>
          <w:sz w:val="28"/>
          <w:szCs w:val="28"/>
          <w:highlight w:val="none"/>
          <w:lang w:val="en-US" w:eastAsia="zh-CN"/>
        </w:rPr>
        <w:t>3837968</w:t>
      </w:r>
    </w:p>
    <w:p>
      <w:pPr>
        <w:jc w:val="both"/>
        <w:rPr>
          <w:rFonts w:hint="eastAsia" w:ascii="黑体" w:hAnsi="黑体" w:eastAsia="黑体"/>
          <w:color w:val="000000"/>
          <w:sz w:val="36"/>
          <w:szCs w:val="36"/>
        </w:rPr>
      </w:pPr>
    </w:p>
    <w:p>
      <w:pPr>
        <w:jc w:val="center"/>
        <w:rPr>
          <w:rFonts w:hint="eastAsia" w:ascii="黑体" w:hAnsi="黑体" w:eastAsia="黑体"/>
          <w:color w:val="000000"/>
          <w:sz w:val="36"/>
          <w:szCs w:val="36"/>
        </w:rPr>
      </w:pPr>
    </w:p>
    <w:p>
      <w:pPr>
        <w:jc w:val="center"/>
        <w:rPr>
          <w:rFonts w:hint="eastAsia" w:ascii="黑体" w:hAnsi="黑体" w:eastAsia="黑体"/>
          <w:color w:val="000000"/>
          <w:sz w:val="36"/>
          <w:szCs w:val="36"/>
        </w:rPr>
      </w:pPr>
    </w:p>
    <w:p>
      <w:pPr>
        <w:jc w:val="center"/>
        <w:rPr>
          <w:rFonts w:hint="eastAsia" w:ascii="黑体" w:hAnsi="黑体" w:eastAsia="黑体"/>
          <w:color w:val="000000"/>
          <w:sz w:val="36"/>
          <w:szCs w:val="36"/>
        </w:rPr>
      </w:pPr>
    </w:p>
    <w:p>
      <w:pPr>
        <w:jc w:val="center"/>
        <w:rPr>
          <w:rFonts w:hint="eastAsia" w:ascii="黑体" w:hAnsi="黑体" w:eastAsia="黑体"/>
          <w:color w:val="000000"/>
          <w:sz w:val="36"/>
          <w:szCs w:val="36"/>
        </w:rPr>
      </w:pPr>
    </w:p>
    <w:p>
      <w:pPr>
        <w:jc w:val="center"/>
        <w:rPr>
          <w:rFonts w:hint="eastAsia" w:ascii="黑体" w:hAnsi="黑体" w:eastAsia="黑体"/>
          <w:color w:val="000000"/>
          <w:sz w:val="36"/>
          <w:szCs w:val="36"/>
        </w:rPr>
      </w:pPr>
    </w:p>
    <w:p>
      <w:pPr>
        <w:jc w:val="center"/>
        <w:rPr>
          <w:rFonts w:hint="eastAsia" w:ascii="黑体" w:hAnsi="黑体" w:eastAsia="黑体"/>
          <w:color w:val="000000"/>
          <w:sz w:val="36"/>
          <w:szCs w:val="36"/>
        </w:rPr>
      </w:pPr>
    </w:p>
    <w:p>
      <w:pPr>
        <w:jc w:val="center"/>
        <w:rPr>
          <w:rFonts w:hint="eastAsia" w:ascii="黑体" w:hAnsi="黑体" w:eastAsia="黑体"/>
          <w:color w:val="000000"/>
          <w:sz w:val="36"/>
          <w:szCs w:val="36"/>
        </w:rPr>
      </w:pPr>
    </w:p>
    <w:p>
      <w:pPr>
        <w:jc w:val="center"/>
        <w:rPr>
          <w:rFonts w:hint="eastAsia" w:ascii="黑体" w:hAnsi="黑体" w:eastAsia="黑体"/>
          <w:color w:val="000000"/>
          <w:sz w:val="36"/>
          <w:szCs w:val="36"/>
        </w:rPr>
      </w:pPr>
    </w:p>
    <w:p>
      <w:pPr>
        <w:jc w:val="center"/>
        <w:rPr>
          <w:rFonts w:hint="eastAsia" w:ascii="黑体" w:hAnsi="黑体" w:eastAsia="黑体"/>
          <w:color w:val="000000"/>
          <w:sz w:val="36"/>
          <w:szCs w:val="36"/>
        </w:rPr>
      </w:pPr>
    </w:p>
    <w:p>
      <w:pPr>
        <w:jc w:val="center"/>
        <w:rPr>
          <w:rFonts w:hint="eastAsia" w:ascii="黑体" w:hAnsi="黑体" w:eastAsia="黑体"/>
          <w:color w:val="000000"/>
          <w:sz w:val="36"/>
          <w:szCs w:val="36"/>
        </w:rPr>
      </w:pPr>
    </w:p>
    <w:p>
      <w:pPr>
        <w:jc w:val="center"/>
        <w:rPr>
          <w:rFonts w:hint="eastAsia" w:ascii="黑体" w:hAnsi="黑体" w:eastAsia="黑体"/>
          <w:color w:val="000000"/>
          <w:sz w:val="36"/>
          <w:szCs w:val="36"/>
        </w:rPr>
      </w:pPr>
    </w:p>
    <w:p>
      <w:pPr>
        <w:jc w:val="center"/>
        <w:rPr>
          <w:rFonts w:hint="eastAsia" w:ascii="黑体" w:hAnsi="黑体" w:eastAsia="黑体"/>
          <w:color w:val="000000"/>
          <w:sz w:val="36"/>
          <w:szCs w:val="36"/>
        </w:rPr>
      </w:pPr>
    </w:p>
    <w:p>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pPr>
        <w:spacing w:line="560" w:lineRule="exact"/>
        <w:ind w:firstLine="560" w:firstLineChars="200"/>
        <w:rPr>
          <w:rFonts w:ascii="黑体" w:hAnsi="黑体" w:eastAsia="黑体"/>
          <w:color w:val="000000"/>
          <w:sz w:val="28"/>
          <w:szCs w:val="28"/>
        </w:rPr>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w:t>
      </w:r>
      <w:r>
        <w:rPr>
          <w:rFonts w:hint="eastAsia" w:ascii="黑体" w:hAnsi="黑体" w:eastAsia="黑体"/>
          <w:color w:val="000000"/>
          <w:sz w:val="28"/>
          <w:szCs w:val="28"/>
          <w:lang w:val="en-US" w:eastAsia="zh-CN"/>
        </w:rPr>
        <w:t>杭州萧山国际机场航站楼无障碍饮水机滤芯采购项目</w:t>
      </w:r>
      <w:r>
        <w:rPr>
          <w:rFonts w:hint="eastAsia" w:ascii="黑体" w:hAnsi="黑体" w:eastAsia="黑体"/>
          <w:color w:val="000000"/>
          <w:sz w:val="28"/>
          <w:szCs w:val="28"/>
        </w:rPr>
        <w:t>需求，现邀请你单位参与此次询价工作，具体需求明细如下：</w:t>
      </w:r>
    </w:p>
    <w:tbl>
      <w:tblPr>
        <w:tblStyle w:val="11"/>
        <w:tblW w:w="865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512"/>
        <w:gridCol w:w="2958"/>
        <w:gridCol w:w="570"/>
        <w:gridCol w:w="561"/>
        <w:gridCol w:w="959"/>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512"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2958"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570"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561"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数量</w:t>
            </w:r>
          </w:p>
        </w:tc>
        <w:tc>
          <w:tcPr>
            <w:tcW w:w="959" w:type="dxa"/>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045" w:type="dxa"/>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1512" w:type="dxa"/>
            <w:vAlign w:val="center"/>
          </w:tcPr>
          <w:p>
            <w:pPr>
              <w:jc w:val="center"/>
              <w:rPr>
                <w:rFonts w:hint="eastAsia" w:ascii="仿宋_GB2312" w:hAnsi="黑体" w:eastAsia="仿宋_GB2312"/>
                <w:color w:val="000000"/>
                <w:sz w:val="18"/>
                <w:szCs w:val="18"/>
                <w:lang w:eastAsia="zh-CN"/>
              </w:rPr>
            </w:pPr>
            <w:r>
              <w:rPr>
                <w:rFonts w:hint="eastAsia" w:ascii="宋体" w:hAnsi="宋体" w:eastAsia="宋体" w:cs="宋体"/>
                <w:b w:val="0"/>
                <w:bCs w:val="0"/>
                <w:color w:val="000000"/>
                <w:kern w:val="0"/>
                <w:sz w:val="22"/>
                <w:szCs w:val="22"/>
                <w:highlight w:val="none"/>
                <w:lang w:val="en-US" w:eastAsia="zh-CN" w:bidi="ar"/>
              </w:rPr>
              <w:t>PAC复合滤芯</w:t>
            </w:r>
          </w:p>
        </w:tc>
        <w:tc>
          <w:tcPr>
            <w:tcW w:w="2958" w:type="dxa"/>
            <w:vAlign w:val="center"/>
          </w:tcPr>
          <w:p>
            <w:pPr>
              <w:jc w:val="center"/>
              <w:rPr>
                <w:rFonts w:hint="eastAsia"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57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561"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30</w:t>
            </w:r>
          </w:p>
        </w:tc>
        <w:tc>
          <w:tcPr>
            <w:tcW w:w="959" w:type="dxa"/>
            <w:vAlign w:val="center"/>
          </w:tcPr>
          <w:p>
            <w:pPr>
              <w:spacing w:line="560" w:lineRule="exact"/>
              <w:jc w:val="center"/>
              <w:rPr>
                <w:rFonts w:ascii="仿宋_GB2312" w:hAnsi="黑体" w:eastAsia="仿宋_GB2312"/>
                <w:color w:val="000000"/>
                <w:sz w:val="24"/>
                <w:szCs w:val="24"/>
              </w:rPr>
            </w:pPr>
          </w:p>
        </w:tc>
        <w:tc>
          <w:tcPr>
            <w:tcW w:w="1045" w:type="dxa"/>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1512" w:type="dxa"/>
            <w:vAlign w:val="center"/>
          </w:tcPr>
          <w:p>
            <w:pPr>
              <w:jc w:val="center"/>
              <w:rPr>
                <w:rFonts w:hint="eastAsia" w:ascii="仿宋_GB2312" w:hAnsi="黑体" w:eastAsia="仿宋_GB2312"/>
                <w:color w:val="000000"/>
                <w:sz w:val="18"/>
                <w:szCs w:val="18"/>
                <w:lang w:val="en-US" w:eastAsia="zh-CN"/>
              </w:rPr>
            </w:pPr>
            <w:r>
              <w:rPr>
                <w:rFonts w:hint="eastAsia" w:ascii="宋体" w:hAnsi="宋体" w:eastAsia="宋体" w:cs="宋体"/>
                <w:b w:val="0"/>
                <w:bCs w:val="0"/>
                <w:color w:val="000000"/>
                <w:kern w:val="0"/>
                <w:sz w:val="22"/>
                <w:szCs w:val="22"/>
                <w:highlight w:val="none"/>
                <w:lang w:val="en-US" w:eastAsia="zh-CN" w:bidi="ar"/>
              </w:rPr>
              <w:t>RO反渗透膜滤芯</w:t>
            </w:r>
          </w:p>
        </w:tc>
        <w:tc>
          <w:tcPr>
            <w:tcW w:w="2958" w:type="dxa"/>
            <w:vAlign w:val="center"/>
          </w:tcPr>
          <w:p>
            <w:pPr>
              <w:jc w:val="center"/>
              <w:rPr>
                <w:rFonts w:hint="eastAsia"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57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561"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30</w:t>
            </w:r>
          </w:p>
        </w:tc>
        <w:tc>
          <w:tcPr>
            <w:tcW w:w="959" w:type="dxa"/>
            <w:vAlign w:val="center"/>
          </w:tcPr>
          <w:p>
            <w:pPr>
              <w:spacing w:line="560" w:lineRule="exact"/>
              <w:jc w:val="center"/>
              <w:rPr>
                <w:rFonts w:ascii="仿宋_GB2312" w:hAnsi="黑体" w:eastAsia="仿宋_GB2312"/>
                <w:color w:val="000000"/>
                <w:sz w:val="24"/>
                <w:szCs w:val="24"/>
              </w:rPr>
            </w:pPr>
          </w:p>
        </w:tc>
        <w:tc>
          <w:tcPr>
            <w:tcW w:w="1045" w:type="dxa"/>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w:t>
            </w:r>
          </w:p>
        </w:tc>
        <w:tc>
          <w:tcPr>
            <w:tcW w:w="1512" w:type="dxa"/>
            <w:vAlign w:val="center"/>
          </w:tcPr>
          <w:p>
            <w:pPr>
              <w:jc w:val="center"/>
              <w:rPr>
                <w:rFonts w:hint="eastAsia" w:ascii="仿宋_GB2312" w:hAnsi="黑体" w:eastAsia="仿宋_GB2312"/>
                <w:color w:val="000000"/>
                <w:sz w:val="18"/>
                <w:szCs w:val="18"/>
                <w:lang w:val="en-US" w:eastAsia="zh-CN"/>
              </w:rPr>
            </w:pPr>
            <w:r>
              <w:rPr>
                <w:rFonts w:hint="eastAsia" w:ascii="宋体" w:hAnsi="宋体" w:eastAsia="宋体" w:cs="宋体"/>
                <w:b w:val="0"/>
                <w:bCs w:val="0"/>
                <w:color w:val="000000"/>
                <w:kern w:val="0"/>
                <w:sz w:val="22"/>
                <w:szCs w:val="22"/>
                <w:highlight w:val="none"/>
                <w:lang w:val="en-US" w:eastAsia="zh-CN" w:bidi="ar"/>
              </w:rPr>
              <w:t>后置活性炭滤芯</w:t>
            </w:r>
          </w:p>
        </w:tc>
        <w:tc>
          <w:tcPr>
            <w:tcW w:w="2958" w:type="dxa"/>
            <w:vAlign w:val="center"/>
          </w:tcPr>
          <w:p>
            <w:pPr>
              <w:jc w:val="center"/>
              <w:rPr>
                <w:rFonts w:hint="eastAsia"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57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561"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30</w:t>
            </w:r>
          </w:p>
        </w:tc>
        <w:tc>
          <w:tcPr>
            <w:tcW w:w="959" w:type="dxa"/>
            <w:vAlign w:val="center"/>
          </w:tcPr>
          <w:p>
            <w:pPr>
              <w:spacing w:line="560" w:lineRule="exact"/>
              <w:jc w:val="center"/>
              <w:rPr>
                <w:rFonts w:ascii="仿宋_GB2312" w:hAnsi="黑体" w:eastAsia="仿宋_GB2312"/>
                <w:color w:val="000000"/>
                <w:sz w:val="24"/>
                <w:szCs w:val="24"/>
              </w:rPr>
            </w:pPr>
          </w:p>
        </w:tc>
        <w:tc>
          <w:tcPr>
            <w:tcW w:w="1045" w:type="dxa"/>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w:t>
            </w:r>
          </w:p>
        </w:tc>
        <w:tc>
          <w:tcPr>
            <w:tcW w:w="1512" w:type="dxa"/>
            <w:vAlign w:val="center"/>
          </w:tcPr>
          <w:p>
            <w:pPr>
              <w:jc w:val="center"/>
              <w:rPr>
                <w:rFonts w:hint="eastAsia" w:ascii="宋体" w:hAnsi="宋体" w:eastAsia="宋体" w:cs="宋体"/>
                <w:b w:val="0"/>
                <w:bCs w:val="0"/>
                <w:color w:val="000000"/>
                <w:kern w:val="0"/>
                <w:sz w:val="22"/>
                <w:szCs w:val="22"/>
                <w:highlight w:val="none"/>
                <w:lang w:val="en-US" w:eastAsia="zh-CN" w:bidi="ar"/>
              </w:rPr>
            </w:pPr>
            <w:r>
              <w:rPr>
                <w:rFonts w:hint="eastAsia" w:ascii="宋体" w:hAnsi="宋体" w:cs="宋体"/>
                <w:b w:val="0"/>
                <w:bCs w:val="0"/>
                <w:color w:val="000000"/>
                <w:kern w:val="0"/>
                <w:sz w:val="22"/>
                <w:szCs w:val="22"/>
                <w:highlight w:val="none"/>
                <w:lang w:val="en-US" w:eastAsia="zh-CN" w:bidi="ar"/>
              </w:rPr>
              <w:t>饮水机开关按键及标识</w:t>
            </w:r>
          </w:p>
        </w:tc>
        <w:tc>
          <w:tcPr>
            <w:tcW w:w="2958" w:type="dxa"/>
            <w:vAlign w:val="center"/>
          </w:tcPr>
          <w:p>
            <w:pPr>
              <w:jc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定制</w:t>
            </w:r>
          </w:p>
        </w:tc>
        <w:tc>
          <w:tcPr>
            <w:tcW w:w="57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套</w:t>
            </w:r>
          </w:p>
        </w:tc>
        <w:tc>
          <w:tcPr>
            <w:tcW w:w="561"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20</w:t>
            </w:r>
          </w:p>
        </w:tc>
        <w:tc>
          <w:tcPr>
            <w:tcW w:w="959" w:type="dxa"/>
            <w:vAlign w:val="center"/>
          </w:tcPr>
          <w:p>
            <w:pPr>
              <w:spacing w:line="560" w:lineRule="exact"/>
              <w:jc w:val="center"/>
              <w:rPr>
                <w:rFonts w:ascii="仿宋_GB2312" w:hAnsi="黑体" w:eastAsia="仿宋_GB2312"/>
                <w:color w:val="000000"/>
                <w:sz w:val="24"/>
                <w:szCs w:val="24"/>
              </w:rPr>
            </w:pPr>
          </w:p>
        </w:tc>
        <w:tc>
          <w:tcPr>
            <w:tcW w:w="1045" w:type="dxa"/>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w:t>
            </w:r>
          </w:p>
        </w:tc>
        <w:tc>
          <w:tcPr>
            <w:tcW w:w="1512" w:type="dxa"/>
            <w:vAlign w:val="center"/>
          </w:tcPr>
          <w:p>
            <w:pPr>
              <w:jc w:val="center"/>
              <w:rPr>
                <w:rFonts w:hint="eastAsia" w:ascii="宋体" w:hAnsi="宋体" w:cs="宋体"/>
                <w:b w:val="0"/>
                <w:bCs w:val="0"/>
                <w:color w:val="000000"/>
                <w:kern w:val="0"/>
                <w:sz w:val="22"/>
                <w:szCs w:val="22"/>
                <w:highlight w:val="none"/>
                <w:lang w:val="en-US" w:eastAsia="zh-CN" w:bidi="ar"/>
              </w:rPr>
            </w:pPr>
            <w:r>
              <w:rPr>
                <w:rFonts w:hint="eastAsia" w:ascii="宋体" w:hAnsi="宋体" w:cs="宋体"/>
                <w:b w:val="0"/>
                <w:bCs w:val="0"/>
                <w:color w:val="000000"/>
                <w:kern w:val="0"/>
                <w:sz w:val="22"/>
                <w:szCs w:val="22"/>
                <w:highlight w:val="none"/>
                <w:lang w:val="en-US" w:eastAsia="zh-CN" w:bidi="ar"/>
              </w:rPr>
              <w:t>配套电磁阀</w:t>
            </w:r>
          </w:p>
        </w:tc>
        <w:tc>
          <w:tcPr>
            <w:tcW w:w="2958" w:type="dxa"/>
            <w:vAlign w:val="center"/>
          </w:tcPr>
          <w:p>
            <w:pPr>
              <w:jc w:val="center"/>
              <w:rPr>
                <w:rFonts w:hint="eastAsia" w:ascii="宋体" w:hAnsi="宋体" w:cs="宋体"/>
                <w:sz w:val="22"/>
                <w:szCs w:val="22"/>
                <w:lang w:val="en-US" w:eastAsia="zh-CN"/>
              </w:rPr>
            </w:pPr>
            <w:r>
              <w:rPr>
                <w:rFonts w:hint="eastAsia" w:ascii="宋体" w:hAnsi="宋体" w:cs="宋体"/>
                <w:sz w:val="22"/>
                <w:szCs w:val="22"/>
                <w:lang w:val="en-US" w:eastAsia="zh-CN"/>
              </w:rPr>
              <w:t>定制</w:t>
            </w:r>
          </w:p>
        </w:tc>
        <w:tc>
          <w:tcPr>
            <w:tcW w:w="57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561"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959" w:type="dxa"/>
            <w:vAlign w:val="center"/>
          </w:tcPr>
          <w:p>
            <w:pPr>
              <w:spacing w:line="560" w:lineRule="exact"/>
              <w:jc w:val="center"/>
              <w:rPr>
                <w:rFonts w:ascii="仿宋_GB2312" w:hAnsi="黑体" w:eastAsia="仿宋_GB2312"/>
                <w:color w:val="000000"/>
                <w:sz w:val="24"/>
                <w:szCs w:val="24"/>
              </w:rPr>
            </w:pPr>
          </w:p>
        </w:tc>
        <w:tc>
          <w:tcPr>
            <w:tcW w:w="1045" w:type="dxa"/>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0" w:type="dxa"/>
            <w:gridSpan w:val="4"/>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不含税价格合计（元）</w:t>
            </w:r>
          </w:p>
        </w:tc>
        <w:tc>
          <w:tcPr>
            <w:tcW w:w="2565" w:type="dxa"/>
            <w:gridSpan w:val="3"/>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0" w:type="dxa"/>
            <w:gridSpan w:val="4"/>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税金（元）</w:t>
            </w:r>
          </w:p>
        </w:tc>
        <w:tc>
          <w:tcPr>
            <w:tcW w:w="2565" w:type="dxa"/>
            <w:gridSpan w:val="3"/>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0" w:type="dxa"/>
            <w:gridSpan w:val="4"/>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含税价格合计（元）</w:t>
            </w:r>
          </w:p>
        </w:tc>
        <w:tc>
          <w:tcPr>
            <w:tcW w:w="2565" w:type="dxa"/>
            <w:gridSpan w:val="3"/>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人民币大写：</w:t>
            </w:r>
            <w:r>
              <w:rPr>
                <w:rFonts w:hint="eastAsia" w:ascii="仿宋_GB2312" w:hAnsi="黑体" w:eastAsia="仿宋_GB2312"/>
                <w:color w:val="000000"/>
                <w:sz w:val="24"/>
                <w:szCs w:val="24"/>
                <w:lang w:val="en-US" w:eastAsia="zh-CN"/>
              </w:rPr>
              <w:t xml:space="preserve">  ，¥</w:t>
            </w:r>
          </w:p>
        </w:tc>
      </w:tr>
    </w:tbl>
    <w:p>
      <w:pPr>
        <w:spacing w:line="500" w:lineRule="exact"/>
        <w:ind w:firstLine="562" w:firstLineChars="200"/>
        <w:rPr>
          <w:rFonts w:hint="eastAsia" w:ascii="仿宋_GB2312" w:hAnsi="仿宋_GB2312" w:eastAsia="仿宋_GB2312" w:cs="仿宋_GB2312"/>
          <w:b/>
          <w:bCs/>
          <w:sz w:val="28"/>
          <w:szCs w:val="28"/>
        </w:rPr>
      </w:pPr>
    </w:p>
    <w:p>
      <w:pPr>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注意事项：</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1、报价方在需加盖公章予以确认，所报价格不得因任何原因进行调整。</w:t>
      </w:r>
    </w:p>
    <w:p>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2、报价方所报价格应为完成本次采购项目所发生的一切费用，包含但不限于货物的供货、运输、搬运费、包装费、安装费、</w:t>
      </w:r>
      <w:r>
        <w:rPr>
          <w:rFonts w:hint="eastAsia" w:ascii="仿宋_GB2312" w:hAnsi="仿宋_GB2312" w:eastAsia="仿宋_GB2312" w:cs="仿宋_GB2312"/>
          <w:sz w:val="28"/>
          <w:szCs w:val="28"/>
          <w:lang w:val="en-US" w:eastAsia="zh-CN"/>
        </w:rPr>
        <w:t>根据甲方要求对完成安装的货物进行微调费用、</w:t>
      </w:r>
      <w:r>
        <w:rPr>
          <w:rFonts w:hint="eastAsia" w:ascii="仿宋_GB2312" w:hAnsi="仿宋_GB2312" w:eastAsia="仿宋_GB2312" w:cs="仿宋_GB2312"/>
          <w:sz w:val="28"/>
          <w:szCs w:val="28"/>
        </w:rPr>
        <w:t>税费、验收及售后服务。</w:t>
      </w:r>
    </w:p>
    <w:p>
      <w:pPr>
        <w:spacing w:line="50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3、供货安装30日内完成。</w:t>
      </w:r>
    </w:p>
    <w:p>
      <w:pPr>
        <w:spacing w:line="5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、需提供增值税专用发票</w:t>
      </w:r>
      <w:r>
        <w:rPr>
          <w:rFonts w:hint="eastAsia" w:ascii="仿宋_GB2312" w:hAnsi="仿宋_GB2312" w:eastAsia="仿宋_GB2312" w:cs="仿宋_GB2312"/>
          <w:sz w:val="28"/>
          <w:szCs w:val="28"/>
          <w:lang w:eastAsia="zh-CN"/>
        </w:rPr>
        <w:t>，费用按实结算。</w:t>
      </w:r>
    </w:p>
    <w:p>
      <w:pPr>
        <w:spacing w:line="5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5、质保期两年。</w:t>
      </w:r>
    </w:p>
    <w:p>
      <w:pPr>
        <w:spacing w:line="500" w:lineRule="exact"/>
        <w:ind w:firstLine="560" w:firstLineChars="200"/>
        <w:rPr>
          <w:rFonts w:ascii="仿宋_GB2312" w:hAnsi="仿宋_GB2312" w:eastAsia="仿宋_GB2312" w:cs="仿宋_GB2312"/>
          <w:sz w:val="24"/>
          <w:szCs w:val="24"/>
        </w:rPr>
      </w:pPr>
      <w:r>
        <w:rPr>
          <w:rFonts w:hint="eastAsia" w:ascii="仿宋_GB2312" w:hAnsi="仿宋_GB2312" w:eastAsia="仿宋_GB2312" w:cs="仿宋_GB2312"/>
          <w:sz w:val="28"/>
          <w:szCs w:val="28"/>
        </w:rPr>
        <w:t xml:space="preserve">项目联系人：        联系电话： </w:t>
      </w:r>
      <w:r>
        <w:rPr>
          <w:rFonts w:hint="eastAsia" w:ascii="仿宋_GB2312" w:hAnsi="仿宋_GB2312" w:eastAsia="仿宋_GB2312" w:cs="仿宋_GB2312"/>
          <w:sz w:val="24"/>
          <w:szCs w:val="24"/>
        </w:rPr>
        <w:t xml:space="preserve">   </w:t>
      </w:r>
    </w:p>
    <w:p>
      <w:pPr>
        <w:wordWrap w:val="0"/>
        <w:spacing w:line="5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报价单位（盖章）：           </w:t>
      </w:r>
    </w:p>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pPr>
        <w:rPr>
          <w:rFonts w:hint="eastAsia" w:ascii="仿宋_GB2312" w:hAnsi="仿宋_GB2312" w:eastAsia="仿宋_GB2312" w:cs="仿宋_GB2312"/>
          <w:sz w:val="28"/>
          <w:szCs w:val="28"/>
          <w:lang w:val="en-US" w:eastAsia="zh-CN"/>
        </w:rPr>
      </w:pPr>
    </w:p>
    <w:p>
      <w:pPr>
        <w:rPr>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日 期：    </w:t>
      </w:r>
    </w:p>
    <w:p>
      <w:pPr>
        <w:rPr>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方正小标宋简体">
    <w:altName w:val="微软雅黑"/>
    <w:panose1 w:val="02000000000000000000"/>
    <w:charset w:val="86"/>
    <w:family w:val="script"/>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方正报宋简体">
    <w:altName w:val="宋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Arial Unicode MS">
    <w:altName w:val="宋体"/>
    <w:panose1 w:val="020B0604020202020204"/>
    <w:charset w:val="86"/>
    <w:family w:val="auto"/>
    <w:pitch w:val="default"/>
    <w:sig w:usb0="00000000" w:usb1="00000000"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8"/>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64D30ECB"/>
    <w:multiLevelType w:val="singleLevel"/>
    <w:tmpl w:val="64D30ECB"/>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A2F11"/>
    <w:rsid w:val="078C6020"/>
    <w:rsid w:val="0D2B0D75"/>
    <w:rsid w:val="1A5A07D4"/>
    <w:rsid w:val="248960F3"/>
    <w:rsid w:val="30DC1B55"/>
    <w:rsid w:val="31C76FF8"/>
    <w:rsid w:val="38865684"/>
    <w:rsid w:val="42057E07"/>
    <w:rsid w:val="43D82960"/>
    <w:rsid w:val="45A67663"/>
    <w:rsid w:val="4BA37A14"/>
    <w:rsid w:val="4BFC176E"/>
    <w:rsid w:val="4CC45453"/>
    <w:rsid w:val="53A81C76"/>
    <w:rsid w:val="5CA1152C"/>
    <w:rsid w:val="6B7B017A"/>
    <w:rsid w:val="6F7802D0"/>
    <w:rsid w:val="74CB52B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customStyle="1" w:styleId="2">
    <w:name w:val="样式 标题 1 + 四号 加粗"/>
    <w:basedOn w:val="3"/>
    <w:next w:val="4"/>
    <w:qFormat/>
    <w:uiPriority w:val="0"/>
    <w:rPr>
      <w:rFonts w:ascii="Times New Roman" w:hAnsi="Times New Roman" w:eastAsia="黑体"/>
    </w:rPr>
  </w:style>
  <w:style w:type="paragraph" w:styleId="3">
    <w:name w:val="Title"/>
    <w:basedOn w:val="1"/>
    <w:next w:val="1"/>
    <w:qFormat/>
    <w:uiPriority w:val="0"/>
    <w:pPr>
      <w:spacing w:before="240" w:after="60"/>
      <w:jc w:val="center"/>
      <w:outlineLvl w:val="0"/>
    </w:pPr>
    <w:rPr>
      <w:rFonts w:ascii="Cambria" w:hAnsi="Cambria" w:eastAsia="宋体" w:cs="Times New Roman"/>
      <w:b/>
      <w:bCs/>
      <w:kern w:val="0"/>
      <w:sz w:val="32"/>
      <w:szCs w:val="32"/>
    </w:rPr>
  </w:style>
  <w:style w:type="paragraph" w:styleId="5">
    <w:name w:val="Body Text First Indent"/>
    <w:basedOn w:val="6"/>
    <w:next w:val="1"/>
    <w:unhideWhenUsed/>
    <w:qFormat/>
    <w:uiPriority w:val="99"/>
    <w:pPr>
      <w:ind w:firstLine="420" w:firstLineChars="100"/>
    </w:pPr>
    <w:rPr>
      <w:rFonts w:ascii="Times New Roman" w:hAnsi="Times New Roman"/>
      <w:szCs w:val="24"/>
    </w:rPr>
  </w:style>
  <w:style w:type="paragraph" w:styleId="6">
    <w:name w:val="Body Text"/>
    <w:basedOn w:val="1"/>
    <w:next w:val="1"/>
    <w:unhideWhenUsed/>
    <w:qFormat/>
    <w:uiPriority w:val="99"/>
    <w:pPr>
      <w:spacing w:after="120"/>
    </w:pPr>
    <w:rPr>
      <w:kern w:val="0"/>
      <w:sz w:val="20"/>
      <w:szCs w:val="20"/>
    </w:rPr>
  </w:style>
  <w:style w:type="paragraph" w:styleId="7">
    <w:name w:val="Body Text Indent"/>
    <w:basedOn w:val="1"/>
    <w:next w:val="8"/>
    <w:qFormat/>
    <w:uiPriority w:val="0"/>
    <w:pPr>
      <w:spacing w:after="120"/>
      <w:ind w:left="420" w:leftChars="200"/>
    </w:pPr>
    <w:rPr>
      <w:rFonts w:ascii="Calibri" w:hAnsi="Calibri" w:eastAsia="宋体" w:cs="Times New Roman"/>
      <w:kern w:val="0"/>
      <w:sz w:val="20"/>
      <w:szCs w:val="24"/>
    </w:rPr>
  </w:style>
  <w:style w:type="paragraph" w:styleId="8">
    <w:name w:val="Body Text First Indent 2"/>
    <w:basedOn w:val="7"/>
    <w:qFormat/>
    <w:uiPriority w:val="0"/>
    <w:pPr>
      <w:numPr>
        <w:ilvl w:val="2"/>
        <w:numId w:val="1"/>
      </w:numPr>
      <w:adjustRightInd w:val="0"/>
      <w:spacing w:line="360" w:lineRule="atLeast"/>
      <w:ind w:left="420" w:firstLine="420" w:firstLineChars="200"/>
      <w:jc w:val="left"/>
      <w:textAlignment w:val="baseline"/>
    </w:pPr>
    <w:rPr>
      <w:szCs w:val="20"/>
    </w:rPr>
  </w:style>
  <w:style w:type="character" w:styleId="10">
    <w:name w:val="Hyperlink"/>
    <w:basedOn w:val="9"/>
    <w:qFormat/>
    <w:uiPriority w:val="0"/>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2023-08-09T09:45:00Z</dcterms:created>
  <dc:creator>admin</dc:creator>
  <cp:lastModifiedBy>夏聪</cp:lastModifiedBy>
  <dcterms:modified xsi:type="dcterms:W3CDTF">2025-11-25T01:10:31Z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